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i w:val="false"/>
          <w:iCs w:val="false"/>
          <w:color w:val="1d4d36"/>
          <w:sz w:val="40"/>
          <w:szCs w:val="40"/>
        </w:rPr>
        <w:t xml:space="preserve">Carbon Next · OneCapture</w:t>
      </w:r>
    </w:p>
    <w:p>
      <w:pPr>
        <w:spacing w:after="60"/>
      </w:pPr>
      <w:r>
        <w:rPr>
          <w:b/>
          <w:bCs/>
          <w:i w:val="false"/>
          <w:iCs w:val="false"/>
          <w:sz w:val="30"/>
          <w:szCs w:val="30"/>
        </w:rPr>
        <w:t xml:space="preserve">Startup Requirements Specification — v1.2</w:t>
      </w:r>
    </w:p>
    <w:p>
      <w:pPr>
        <w:spacing w:after="60"/>
      </w:pPr>
      <w:r>
        <w:rPr>
          <w:b w:val="false"/>
          <w:bCs w:val="false"/>
          <w:i/>
          <w:iCs/>
          <w:color w:val="666666"/>
          <w:sz w:val="22"/>
          <w:szCs w:val="22"/>
        </w:rPr>
        <w:t xml:space="preserve">Scope re-baseline: premium-first build, ERP-first capture for AP/AR, Carbon Next as the sole v1 destination</w:t>
      </w:r>
    </w:p>
    <w:p>
      <w:pPr>
        <w:spacing w:after="40"/>
      </w:pPr>
      <w:r>
        <w:rPr>
          <w:b w:val="false"/>
          <w:bCs w:val="false"/>
          <w:i w:val="false"/>
          <w:iCs w:val="false"/>
          <w:sz w:val="20"/>
          <w:szCs w:val="20"/>
        </w:rPr>
        <w:t xml:space="preserve">Version 1.2 — 12 June 2026 · Supersedes v1.1 (12 June 2026) and v1.0 (10 June 2026)</w:t>
      </w:r>
    </w:p>
    <w:p>
      <w:pPr>
        <w:spacing w:after="40"/>
      </w:pPr>
      <w:r>
        <w:rPr>
          <w:b w:val="false"/>
          <w:bCs w:val="false"/>
          <w:i w:val="false"/>
          <w:iCs w:val="false"/>
          <w:sz w:val="20"/>
          <w:szCs w:val="20"/>
        </w:rPr>
        <w:t xml:space="preserve">Status: Approved scope baseline for programmer handover</w:t>
      </w:r>
    </w:p>
    <w:p>
      <w:pPr>
        <w:spacing w:after="240"/>
      </w:pPr>
      <w:r>
        <w:rPr>
          <w:b w:val="false"/>
          <w:bCs w:val="false"/>
          <w:i w:val="false"/>
          <w:iCs w:val="false"/>
          <w:color w:val="666666"/>
          <w:sz w:val="20"/>
          <w:szCs w:val="20"/>
        </w:rPr>
        <w:t xml:space="preserve">Inputs: v1.1 baseline; ERP-first scope decision of 12 June; updated prototype suite (Hub, e-Claim, ERP Sync, AP, AR, Claims) — six HTML files revised in lockstep with this document.</w:t>
      </w:r>
    </w:p>
    <w:p>
      <w:pPr>
        <w:pStyle w:val="Heading1"/>
      </w:pPr>
      <w:r>
        <w:t xml:space="preserve">Change log — v1.1 → v1.2 (read this first)</w:t>
      </w:r>
    </w:p>
    <w:p>
      <w:pPr>
        <w:spacing w:after="120"/>
      </w:pPr>
      <w:r>
        <w:rPr>
          <w:b w:val="false"/>
          <w:bCs w:val="false"/>
          <w:i/>
          <w:iCs/>
        </w:rPr>
        <w:t xml:space="preserve">v1.2 adds the ERP-first capture decision. Where v1.1 and v1.2 conflict, v1.2 governs.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BBBBBB" w:sz="1"/>
              <w:left w:val="single" w:color="BBBBBB" w:sz="1"/>
              <w:bottom w:val="single" w:color="BBBBBB" w:sz="1"/>
              <w:right w:val="single" w:color="BBBBBB" w:sz="1"/>
            </w:tcBorders>
            <w:shd w:fill="e8f0ea" w:val="clear"/>
            <w:tcMar>
              <w:top w:type="dxa" w:w="70"/>
              <w:left w:type="dxa" w:w="110"/>
              <w:bottom w:type="dxa" w:w="70"/>
              <w:right w:type="dxa" w:w="110"/>
            </w:tcMar>
          </w:tcPr>
          <w:p>
            <w:pPr>
              <w:spacing w:after="40"/>
            </w:pPr>
            <w:r>
              <w:rPr>
                <w:b/>
                <w:bCs/>
                <w:sz w:val="19"/>
                <w:szCs w:val="19"/>
              </w:rPr>
              <w:t xml:space="preserve">Ref</w:t>
            </w:r>
          </w:p>
        </w:tc>
        <w:tc>
          <w:tcPr>
            <w:tcW w:type="dxa" w:w="7526"/>
            <w:tcBorders>
              <w:top w:val="single" w:color="BBBBBB" w:sz="1"/>
              <w:left w:val="single" w:color="BBBBBB" w:sz="1"/>
              <w:bottom w:val="single" w:color="BBBBBB" w:sz="1"/>
              <w:right w:val="single" w:color="BBBBBB" w:sz="1"/>
            </w:tcBorders>
            <w:shd w:fill="e8f0ea" w:val="clear"/>
            <w:tcMar>
              <w:top w:type="dxa" w:w="70"/>
              <w:left w:type="dxa" w:w="110"/>
              <w:bottom w:type="dxa" w:w="70"/>
              <w:right w:type="dxa" w:w="110"/>
            </w:tcMar>
          </w:tcPr>
          <w:p>
            <w:pPr>
              <w:spacing w:after="40"/>
            </w:pPr>
            <w:r>
              <w:rPr>
                <w:b/>
                <w:bCs/>
                <w:sz w:val="19"/>
                <w:szCs w:val="19"/>
              </w:rPr>
              <w:t xml:space="preserve">Change</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CL-9</w:t>
            </w:r>
          </w:p>
        </w:tc>
        <w:tc>
          <w:tcPr>
            <w:tcW w:type="dxa" w:w="75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New module: ERP Sync — ERP-first capture for AP/AR. Large and listed clients already have every supplier and customer invoice inside their ERP, entered by their own finance team. Re-keying those documents into OneCapture is duplicate data entry and a deal-killer. ERP Sync reads the invoices from the ERP (read-only), maps carbon-relevant lines through a versioned rules engine, routes exceptions to a human review queue (the carbon classification sign-off), and releases to Carbon Next under the identical batch hash + RFC 3161 TSA gate as e-Claim. Document-intake AP/AR are demoted to the Phase 3/4 financial-automation roadmap.</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CL-10</w:t>
            </w:r>
          </w:p>
        </w:tc>
        <w:tc>
          <w:tcPr>
            <w:tcW w:type="dxa" w:w="75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Integration ladder keeps ERP risk off the v1 critical path. v1 ERP Sync ships in import mode: a standardised AP invoice listing template (CSV/XLSX) exported monthly from any ERP — SAP B1, AutoCount, SQL Account, Xero — with zero integration work. Phase 2 automates the same pipeline with a SAP B1 Service Layer read-only connector and adds AR listings + the Scope 3.11 product factor master. The LHDN MyInvois e-invoice API is logged for evaluation as a future standardised source (D16).</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CL-11</w:t>
            </w:r>
          </w:p>
        </w:tc>
        <w:tc>
          <w:tcPr>
            <w:tcW w:type="dxa" w:w="75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Phasing re-cut. Phase 0 adds the import-template specification and sample SAP B1 extraction queries. Phase 1 (v1) = Hub + e-Claim + ERP Sync import mode. Phase 2 = live read connectors + AR listings / Scope 3.11. Phase 3 = financial layer (ERP posting, GL rules engine, three-way matching, document-intake AP, LHDN tax-audit pack). Phase 4 = AR document intake, additional ERPs, free-tier revisit.</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CL-12</w:t>
            </w:r>
          </w:p>
        </w:tc>
        <w:tc>
          <w:tcPr>
            <w:tcW w:type="dxa" w:w="75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Double counting designed out. A per-client category ownership matrix assigns each carbon category to exactly one channel (staff fuel claims → e-Claim; fleet/bulk fuel, utilities, refrigerant → ERP Sync), backed by cross-channel document-number dedup and a planted-duplicate acceptance test.</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CL-13</w:t>
            </w:r>
          </w:p>
        </w:tc>
        <w:tc>
          <w:tcPr>
            <w:tcW w:type="dxa" w:w="75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Decisions D13–D16 added: per-client ERP read connectivity mode; spend-based EEIO factor source; category ownership defaults; MyInvois evaluation. D10 price defensibility is materially improved — the v1 pitch becomes "we read your ERP; nobody types anything twice."</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CL-14</w:t>
            </w:r>
          </w:p>
        </w:tc>
        <w:tc>
          <w:tcPr>
            <w:tcW w:type="dxa" w:w="75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Mockups updated in lockstep: new 05_erpsync.html prototype (7 screens — coverage dashboard, sources / integration ladder, import wizard with validation report, review queue, release gate, mapping rules, audit trail); the Hub gains an ERP Sync nav item and firm-overview screen; the AP prototype ribbon and Hub AP copy are re-scoped to Phase 3.</w:t>
            </w:r>
          </w:p>
        </w:tc>
      </w:tr>
    </w:tbl>
    <w:p>
      <w:pPr>
        <w:spacing w:after="200"/>
      </w:pPr>
      <w:r>
        <w:rPr>
          <w:b w:val="false"/>
          <w:bCs w:val="false"/>
          <w:i w:val="false"/>
          <w:iCs w:val="false"/>
        </w:rPr>
        <w:t xml:space="preserve"/>
      </w:r>
    </w:p>
    <w:p>
      <w:pPr>
        <w:pStyle w:val="Heading1"/>
      </w:pPr>
      <w:r>
        <w:t xml:space="preserve">Change log — v1.0 → v1.1</w:t>
      </w:r>
    </w:p>
    <w:p>
      <w:pPr>
        <w:spacing w:after="120"/>
      </w:pPr>
      <w:r>
        <w:rPr>
          <w:b w:val="false"/>
          <w:bCs w:val="false"/>
          <w:i/>
          <w:iCs/>
        </w:rPr>
        <w:t xml:space="preserve">Retained for traceability. Where v1.0 and v1.1 conflict, v1.1 governs; v1.2 governs over both.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BBBBBB" w:sz="1"/>
              <w:left w:val="single" w:color="BBBBBB" w:sz="1"/>
              <w:bottom w:val="single" w:color="BBBBBB" w:sz="1"/>
              <w:right w:val="single" w:color="BBBBBB" w:sz="1"/>
            </w:tcBorders>
            <w:shd w:fill="e8f0ea" w:val="clear"/>
            <w:tcMar>
              <w:top w:type="dxa" w:w="70"/>
              <w:left w:type="dxa" w:w="110"/>
              <w:bottom w:type="dxa" w:w="70"/>
              <w:right w:type="dxa" w:w="110"/>
            </w:tcMar>
          </w:tcPr>
          <w:p>
            <w:pPr>
              <w:spacing w:after="40"/>
            </w:pPr>
            <w:r>
              <w:rPr>
                <w:b/>
                <w:bCs/>
                <w:sz w:val="19"/>
                <w:szCs w:val="19"/>
              </w:rPr>
              <w:t xml:space="preserve">Ref</w:t>
            </w:r>
          </w:p>
        </w:tc>
        <w:tc>
          <w:tcPr>
            <w:tcW w:type="dxa" w:w="7526"/>
            <w:tcBorders>
              <w:top w:val="single" w:color="BBBBBB" w:sz="1"/>
              <w:left w:val="single" w:color="BBBBBB" w:sz="1"/>
              <w:bottom w:val="single" w:color="BBBBBB" w:sz="1"/>
              <w:right w:val="single" w:color="BBBBBB" w:sz="1"/>
            </w:tcBorders>
            <w:shd w:fill="e8f0ea" w:val="clear"/>
            <w:tcMar>
              <w:top w:type="dxa" w:w="70"/>
              <w:left w:type="dxa" w:w="110"/>
              <w:bottom w:type="dxa" w:w="70"/>
              <w:right w:type="dxa" w:w="110"/>
            </w:tcMar>
          </w:tcPr>
          <w:p>
            <w:pPr>
              <w:spacing w:after="40"/>
            </w:pPr>
            <w:r>
              <w:rPr>
                <w:b/>
                <w:bCs/>
                <w:sz w:val="19"/>
                <w:szCs w:val="19"/>
              </w:rPr>
              <w:t xml:space="preserve">Change</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CL-1</w:t>
            </w:r>
          </w:p>
        </w:tc>
        <w:tc>
          <w:tcPr>
            <w:tcW w:type="dxa" w:w="75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Build order reversed. v1 ships the premium product (OneCapture Hub + e-Claim). The free Carbon Next · Claims tier is DEFERRED — not built, not marketed — to avoid selling against our own free tier while the premium lacks ERP differentiation. Decision D1 is answered. Free tier is revisited at Phase 4.</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CL-2</w:t>
            </w:r>
          </w:p>
        </w:tc>
        <w:tc>
          <w:tcPr>
            <w:tcW w:type="dxa" w:w="75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v1 destination is Carbon Next only. The product reads documents from users, extracts, approves, and posts emission entries to the Carbon Next carbon-accounting system. No ERP posting in v1. SAP B1 and every ERP question (cloud vs on-premise, DI API vs Service Layer) move to the Phase 3 financial layer. Decision D2 is answered for v1.</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CL-3</w:t>
            </w:r>
          </w:p>
        </w:tc>
        <w:tc>
          <w:tcPr>
            <w:tcW w:type="dxa" w:w="75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Phasing rewritten. Phase 0 spikes lose the SAP B1 item and gain the Carbon Next ingestion API contract. Phase 1 = Hub + e-Claim → Carbon Next (v1 launch). Phase 2 = AP carbon intake only. Phase 3 = financial layer (ERP posting, GL rules engine, three-way matching, LHDN tax-audit pack). Phase 4 = AR, additional ERPs, free-tier revisit.</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CL-4</w:t>
            </w:r>
          </w:p>
        </w:tc>
        <w:tc>
          <w:tcPr>
            <w:tcW w:type="dxa" w:w="75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GL machinery deferred; GL data retained. The GL coding rules engine, chart-of-accounts import, and ERP posting are Phase 3. v1 still extracts financial fields (gross amount, tax, supplier tax ID, payment method), carries one GL export code per claim category, and ships a CSV export so the accountant can make manual ERP entries.</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CL-5</w:t>
            </w:r>
          </w:p>
        </w:tc>
        <w:tc>
          <w:tcPr>
            <w:tcW w:type="dxa" w:w="75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Tax-audit pack descoped to "evidence pack" for v1: a regenerable PDF bundle of source images, OCR extractions, approval signatures, and hashes. The LHDN-grade tax-audit pack (with GL trail) returns in Phase 3. Do not market "LHDN-ready" before Phase 3.</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CL-6</w:t>
            </w:r>
          </w:p>
        </w:tc>
        <w:tc>
          <w:tcPr>
            <w:tcW w:type="dxa" w:w="75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Integration register: six external integrations become five external (WhatsApp, email-in, OCR, RFC 3161 TSA, Entra ID) plus one internal (Carbon Next ingestion API, our own contract). SAP B1 moves to a deferred Phase 3 integration note.</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CL-7</w:t>
            </w:r>
          </w:p>
        </w:tc>
        <w:tc>
          <w:tcPr>
            <w:tcW w:type="dxa" w:w="75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Screen counts corrected: Claims 18 (deferred), Hub 12, e-Claim 15, AP 14, AR 16 — 57 screens across the OneCapture suite (v1.0 said ~54).</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CL-8</w:t>
            </w:r>
          </w:p>
        </w:tc>
        <w:tc>
          <w:tcPr>
            <w:tcW w:type="dxa" w:w="75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Mockups updated in lockstep: SAP B1 destination chips removed from e-Claim review/submit; "Posted" screen renamed "Released" with Carbon record column and TSA-anchored metric; categories now map to carbon scope + emission factor + GL export code; audit trail shows TSA anchor event instead of SAP post; Hub copy re-scoped with phase tags; AP/AR/Claims prototypes carry roadmap/deferred ribbons.</w:t>
            </w:r>
          </w:p>
        </w:tc>
      </w:tr>
    </w:tbl>
    <w:p>
      <w:pPr>
        <w:spacing w:after="200"/>
      </w:pPr>
      <w:r>
        <w:rPr>
          <w:b w:val="false"/>
          <w:bCs w:val="false"/>
          <w:i w:val="false"/>
          <w:iCs w:val="false"/>
        </w:rPr>
        <w:t xml:space="preserve"/>
      </w:r>
    </w:p>
    <w:p>
      <w:pPr>
        <w:pStyle w:val="Heading1"/>
      </w:pPr>
      <w:r>
        <w:t xml:space="preserve">1. Purpose of this document</w:t>
      </w:r>
    </w:p>
    <w:p>
      <w:pPr>
        <w:spacing w:after="120"/>
      </w:pPr>
      <w:r>
        <w:rPr>
          <w:b w:val="false"/>
          <w:bCs w:val="false"/>
          <w:i w:val="false"/>
          <w:iCs w:val="false"/>
        </w:rPr>
        <w:t xml:space="preserve">This document converts the OneCapture mockups into a startup requirements baseline that a development team can be contracted against. The mockups (six interactive HTML prototypes plus the System Overview) define the user-facing happy path well, but they are demonstration artifacts, not engineering specifications. This document records: the v1 scope decisions, what the mockups establish, what they leave unspecified, the decisions still open before any build contract is signed, and the acceptance framework.</w:t>
      </w:r>
    </w:p>
    <w:p>
      <w:pPr>
        <w:spacing w:after="120"/>
      </w:pPr>
      <w:r>
        <w:rPr>
          <w:b w:val="false"/>
          <w:bCs w:val="false"/>
          <w:i w:val="false"/>
          <w:iCs w:val="false"/>
        </w:rPr>
        <w:t xml:space="preserve">How to use it: the Change log and Sections 4–9 are the requirements baseline. Section 10 is the decision register — every OPEN row must be answered and signed off before handover. Section 12 is the risk register to carry into project governance. This document, together with the six updated prototypes, is the single source of truth; any translation or AI-generated summary of it is a working aid only and does not govern.</w:t>
      </w:r>
    </w:p>
    <w:p>
      <w:pPr>
        <w:pStyle w:val="Heading1"/>
      </w:pPr>
      <w:r>
        <w:t xml:space="preserve">2. Executive assessment</w:t>
      </w:r>
    </w:p>
    <w:p>
      <w:pPr>
        <w:spacing w:after="120"/>
      </w:pPr>
      <w:r>
        <w:rPr>
          <w:b w:val="false"/>
          <w:bCs w:val="false"/>
          <w:i w:val="false"/>
          <w:iCs w:val="false"/>
        </w:rPr>
        <w:t xml:space="preserve">The architectural anchors are unchanged and must be preserved: end-users submit with no accounts (identity = channel binding against the claimants master); the accountant firm is the release gate; every document is hash-anchored to an RFC 3161 TSA; release is irreversible; every table is multi-tenant (firm_id + client_id).</w:t>
      </w:r>
    </w:p>
    <w:p>
      <w:pPr>
        <w:spacing w:after="120"/>
      </w:pPr>
      <w:r>
        <w:rPr>
          <w:b w:val="false"/>
          <w:bCs w:val="false"/>
          <w:i w:val="false"/>
          <w:iCs w:val="false"/>
        </w:rPr>
        <w:t xml:space="preserve">What changed is the commercial sequencing. v1.0 recommended building the free Claims tier first as a funnel. The owner has reversed this: revenue first. v1 is the premium OneCapture product — and because v1 posts only to Carbon Next, a free Claims tier launched alongside it would be functionally adjacent and would undercut the licence. The free tier is therefore parked (CL-1). The premium price in v1 is justified by: ERP-read carbon automation (ERP Sync — no duplicate data entry), multi-channel capture automation, OCR with human review, multi-tier approval, the audit-grade chain of custody, the evidence pack, CSV financial export, per-client configuration, and the contractually visible Phase 3 ERP roadmap.</w:t>
      </w:r>
    </w:p>
    <w:p>
      <w:pPr>
        <w:spacing w:after="120"/>
      </w:pPr>
      <w:r>
        <w:rPr>
          <w:b w:val="false"/>
          <w:bCs w:val="false"/>
          <w:i w:val="false"/>
          <w:iCs w:val="false"/>
        </w:rPr>
        <w:t xml:space="preserve">v1.2 adds the second structural decision: ERP-first capture for AP/AR. For any sizeable client the supplier and customer invoices already live inside the ERP, entered under finance controls that the carbon system should reuse, not duplicate. ERP Sync reads those records (read-only), classifies the carbon dimension through versioned mapping rules, resolves quantities from invoice lines where present and falls back to spend-based factors (flagged) where absent, queues exceptions for human sign-off, and releases through the same irreversible hash + TSA gate. e-Claim stays document-first because expense receipts never reach the ERP with activity data (litres, km) — the receipt photo is the only carbon evidence for that slice.</w:t>
      </w:r>
    </w:p>
    <w:p>
      <w:pPr>
        <w:spacing w:after="120"/>
      </w:pPr>
      <w:r>
        <w:rPr>
          <w:b w:val="false"/>
          <w:bCs w:val="false"/>
          <w:i w:val="false"/>
          <w:iCs w:val="false"/>
        </w:rPr>
        <w:t xml:space="preserve">The prototype-coverage warning from v1.0 stands. The prototypes cover roughly 25–35% of the real build. Everything behind the screens is simulated: OCR, WhatsApp intake, hash anchoring, authentication, notifications, and all administrative configuration. A build estimate produced from the mockups alone will be materially wrong.</w:t>
      </w:r>
    </w:p>
    <w:p>
      <w:pPr>
        <w:spacing w:after="120"/>
      </w:pPr>
      <w:r>
        <w:rPr>
          <w:b/>
          <w:bCs/>
          <w:i w:val="false"/>
          <w:iCs w:val="false"/>
        </w:rPr>
        <w:t xml:space="preserve">Top-level recommendations:</w:t>
      </w:r>
    </w:p>
    <w:p>
      <w:pPr>
        <w:pStyle w:val="ListParagraph"/>
        <w:numPr>
          <w:ilvl w:val="0"/>
          <w:numId w:val="2"/>
        </w:numPr>
        <w:spacing w:after="80"/>
      </w:pPr>
      <w:r>
        <w:rPr>
          <w:b/>
          <w:bCs/>
        </w:rPr>
        <w:t xml:space="preserve">Integrations are the project.</w:t>
      </w:r>
      <w:r>
        <w:t xml:space="preserve"> Treat the five external integrations (WhatsApp Business API, email intake, OCR, RFC 3161 TSA, Microsoft Entra ID) as separate workstreams with their own specifications. The Carbon Next ingestion API is internal but still needs a written contract before Phase 1.</w:t>
      </w:r>
    </w:p>
    <w:p>
      <w:pPr>
        <w:pStyle w:val="ListParagraph"/>
        <w:numPr>
          <w:ilvl w:val="0"/>
          <w:numId w:val="2"/>
        </w:numPr>
        <w:spacing w:after="80"/>
      </w:pPr>
      <w:r>
        <w:rPr>
          <w:b/>
          <w:bCs/>
        </w:rPr>
        <w:t xml:space="preserve">D5 before build.</w:t>
      </w:r>
      <w:r>
        <w:t xml:space="preserve"> Obtain assurance-partner sign-off on the chain-of-custody design (hash chain + TSA anchoring + segregation of duties + irreversible release) before build. This is decision D5 and remains the hardest gate. Nothing about removing ERP from v1 changes it.</w:t>
      </w:r>
    </w:p>
    <w:p>
      <w:pPr>
        <w:pStyle w:val="ListParagraph"/>
        <w:numPr>
          <w:ilvl w:val="0"/>
          <w:numId w:val="2"/>
        </w:numPr>
        <w:spacing w:after="80"/>
      </w:pPr>
      <w:r>
        <w:rPr>
          <w:b/>
          <w:bCs/>
        </w:rPr>
        <w:t xml:space="preserve">Specify the invisible half:</w:t>
      </w:r>
      <w:r>
        <w:t xml:space="preserve"> Tenant onboarding, claimants master import, approval threshold configuration, category and emission-factor management, the notification engine, and every error, empty, and retry state. These are roughly half the build effort and none of them appear in any prototype.</w:t>
      </w:r>
    </w:p>
    <w:p>
      <w:pPr>
        <w:pStyle w:val="ListParagraph"/>
        <w:numPr>
          <w:ilvl w:val="0"/>
          <w:numId w:val="2"/>
        </w:numPr>
        <w:spacing w:after="80"/>
      </w:pPr>
      <w:r>
        <w:rPr>
          <w:b/>
          <w:bCs/>
        </w:rPr>
        <w:t xml:space="preserve">Pricing guardrail:</w:t>
      </w:r>
      <w:r>
        <w:t xml:space="preserve"> Price Phases 0–1 firmly; option Phases 2–4. Sign nothing fixed-price for the whole family until the decision register is answered — integration unknowns in Phase 0 invalidate every downstream estimate.</w:t>
      </w:r>
    </w:p>
    <w:p>
      <w:pPr>
        <w:pStyle w:val="Heading1"/>
      </w:pPr>
      <w:r>
        <w:t xml:space="preserve">3. What the mockups already establish</w:t>
      </w:r>
    </w:p>
    <w:p>
      <w:pPr>
        <w:spacing w:after="120"/>
      </w:pPr>
      <w:r>
        <w:rPr>
          <w:b w:val="false"/>
          <w:bCs w:val="false"/>
          <w:i w:val="false"/>
          <w:iCs w:val="false"/>
        </w:rPr>
        <w:t xml:space="preserve">Well-specified by the prototypes and System Overview, and carried into the build with little ambiguity:</w:t>
      </w:r>
    </w:p>
    <w:p>
      <w:pPr>
        <w:pStyle w:val="ListParagraph"/>
        <w:numPr>
          <w:ilvl w:val="0"/>
          <w:numId w:val="2"/>
        </w:numPr>
        <w:spacing w:after="80"/>
      </w:pPr>
      <w:r>
        <w:rPr>
          <w:b/>
          <w:bCs/>
        </w:rPr>
        <w:t xml:space="preserve">Happy-path workflows (v1):</w:t>
      </w:r>
      <w:r>
        <w:t xml:space="preserve"> two intake patterns into one control layer. Document-first (e-Claim): capture (WhatsApp / email / upload) → OCR with confidence → review → multi-tier approval → release (batch hash + TSA) → Carbon Next. ERP-first (ERP Sync): read AP invoices from the client ERP (listing import in v1, connector in Phase 2) → mapping rules → quantity / spend resolution → review queue → the same release gate → Carbon Next. Document-intake AP (Phase 3) and AR (Phase 4) are previewed in their prototypes.</w:t>
      </w:r>
    </w:p>
    <w:p>
      <w:pPr>
        <w:pStyle w:val="ListParagraph"/>
        <w:numPr>
          <w:ilvl w:val="0"/>
          <w:numId w:val="2"/>
        </w:numPr>
        <w:spacing w:after="80"/>
      </w:pPr>
      <w:r>
        <w:rPr>
          <w:b/>
          <w:bCs/>
        </w:rPr>
        <w:t xml:space="preserve">Screen inventory:</w:t>
      </w:r>
      <w:r>
        <w:t xml:space="preserve"> Claims 18 screens (deferred), Hub 13 (incl. the new ERP Sync overview), e-Claim 15, ERP Sync 7, AP 14, AR 16 — with navigation structure, modals, and the shared visual design language. The prototypes are the visual source of truth for layout, navigation, and terminology.</w:t>
      </w:r>
    </w:p>
    <w:p>
      <w:pPr>
        <w:pStyle w:val="ListParagraph"/>
        <w:numPr>
          <w:ilvl w:val="0"/>
          <w:numId w:val="2"/>
        </w:numPr>
        <w:spacing w:after="80"/>
      </w:pPr>
      <w:r>
        <w:rPr>
          <w:b/>
          <w:bCs/>
        </w:rPr>
        <w:t xml:space="preserve">Role model:</w:t>
      </w:r>
      <w:r>
        <w:t xml:space="preserve"> Partner and Manager (firm-wide scope), Approver and Viewer (client scope), Submitter (virtual, no account), with authority limits and the multi-tier ladder (Approver / Manager / Director / CFO).</w:t>
      </w:r>
    </w:p>
    <w:p>
      <w:pPr>
        <w:pStyle w:val="ListParagraph"/>
        <w:numPr>
          <w:ilvl w:val="0"/>
          <w:numId w:val="2"/>
        </w:numPr>
        <w:spacing w:after="80"/>
      </w:pPr>
      <w:r>
        <w:rPr>
          <w:b/>
          <w:bCs/>
        </w:rPr>
        <w:t xml:space="preserve">Core entity set (v1):</w:t>
      </w:r>
      <w:r>
        <w:t xml:space="preserve"> claims, claimants, clients, categories with emission factors and GL export codes, ERP source records, import batches, mapping rules, audit events, release batches, evidence packs. Document-intake invoices/POs/GRNs and journal entries exist in the data model but activate in Phase 3.</w:t>
      </w:r>
    </w:p>
    <w:p>
      <w:pPr>
        <w:pStyle w:val="ListParagraph"/>
        <w:numPr>
          <w:ilvl w:val="0"/>
          <w:numId w:val="2"/>
        </w:numPr>
        <w:spacing w:after="80"/>
      </w:pPr>
      <w:r>
        <w:rPr>
          <w:b/>
          <w:bCs/>
        </w:rPr>
        <w:t xml:space="preserve">Audit posture:</w:t>
      </w:r>
      <w:r>
        <w:t xml:space="preserve"> per-document hashing, continuous audit chain, RFC 3161 anchoring, irreversible release, full chain of custody from source photo to Carbon Next ledger entry.</w:t>
      </w:r>
    </w:p>
    <w:p>
      <w:pPr>
        <w:spacing w:after="120"/>
      </w:pPr>
      <w:r>
        <w:rPr>
          <w:b w:val="false"/>
          <w:bCs w:val="false"/>
          <w:i w:val="false"/>
          <w:iCs w:val="false"/>
        </w:rPr>
        <w:t xml:space="preserve">What the mockups do NOT establish (and a build team will silently invent if not specified): every backend behaviour, every administrative surface, every failure mode, all integration contracts, all non-functional requirements, and the entire onboarding lifecycle for firms, clients, and claimants.</w:t>
      </w:r>
    </w:p>
    <w:p>
      <w:pPr>
        <w:pStyle w:val="Heading1"/>
      </w:pPr>
      <w:r>
        <w:t xml:space="preserve">4. Scope contract and phasing</w:t>
      </w:r>
    </w:p>
    <w:p>
      <w:pPr>
        <w:spacing w:after="120"/>
      </w:pPr>
      <w:r>
        <w:rPr>
          <w:b w:val="false"/>
          <w:bCs w:val="false"/>
          <w:i w:val="false"/>
          <w:iCs w:val="false"/>
        </w:rPr>
        <w:t xml:space="preserve">Do not contract the whole family as one build. Phases, each independently shippable and acceptance-tested: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2050"/>
        <w:gridCol w:w="3926"/>
        <w:gridCol w:w="1800"/>
      </w:tblGrid>
      <w:tr>
        <w:trPr>
          <w:tblHeader/>
        </w:trPr>
        <w:tc>
          <w:tcPr>
            <w:tcW w:type="dxa" w:w="1250"/>
            <w:tcBorders>
              <w:top w:val="single" w:color="BBBBBB" w:sz="1"/>
              <w:left w:val="single" w:color="BBBBBB" w:sz="1"/>
              <w:bottom w:val="single" w:color="BBBBBB" w:sz="1"/>
              <w:right w:val="single" w:color="BBBBBB" w:sz="1"/>
            </w:tcBorders>
            <w:shd w:fill="e8f0ea" w:val="clear"/>
            <w:tcMar>
              <w:top w:type="dxa" w:w="70"/>
              <w:left w:type="dxa" w:w="110"/>
              <w:bottom w:type="dxa" w:w="70"/>
              <w:right w:type="dxa" w:w="110"/>
            </w:tcMar>
          </w:tcPr>
          <w:p>
            <w:pPr>
              <w:spacing w:after="40"/>
            </w:pPr>
            <w:r>
              <w:rPr>
                <w:b/>
                <w:bCs/>
                <w:sz w:val="19"/>
                <w:szCs w:val="19"/>
              </w:rPr>
              <w:t xml:space="preserve">Phase</w:t>
            </w:r>
          </w:p>
        </w:tc>
        <w:tc>
          <w:tcPr>
            <w:tcW w:type="dxa" w:w="2050"/>
            <w:tcBorders>
              <w:top w:val="single" w:color="BBBBBB" w:sz="1"/>
              <w:left w:val="single" w:color="BBBBBB" w:sz="1"/>
              <w:bottom w:val="single" w:color="BBBBBB" w:sz="1"/>
              <w:right w:val="single" w:color="BBBBBB" w:sz="1"/>
            </w:tcBorders>
            <w:shd w:fill="e8f0ea" w:val="clear"/>
            <w:tcMar>
              <w:top w:type="dxa" w:w="70"/>
              <w:left w:type="dxa" w:w="110"/>
              <w:bottom w:type="dxa" w:w="70"/>
              <w:right w:type="dxa" w:w="110"/>
            </w:tcMar>
          </w:tcPr>
          <w:p>
            <w:pPr>
              <w:spacing w:after="40"/>
            </w:pPr>
            <w:r>
              <w:rPr>
                <w:b/>
                <w:bCs/>
                <w:sz w:val="19"/>
                <w:szCs w:val="19"/>
              </w:rPr>
              <w:t xml:space="preserve">Scope</w:t>
            </w:r>
          </w:p>
        </w:tc>
        <w:tc>
          <w:tcPr>
            <w:tcW w:type="dxa" w:w="3926"/>
            <w:tcBorders>
              <w:top w:val="single" w:color="BBBBBB" w:sz="1"/>
              <w:left w:val="single" w:color="BBBBBB" w:sz="1"/>
              <w:bottom w:val="single" w:color="BBBBBB" w:sz="1"/>
              <w:right w:val="single" w:color="BBBBBB" w:sz="1"/>
            </w:tcBorders>
            <w:shd w:fill="e8f0ea" w:val="clear"/>
            <w:tcMar>
              <w:top w:type="dxa" w:w="70"/>
              <w:left w:type="dxa" w:w="110"/>
              <w:bottom w:type="dxa" w:w="70"/>
              <w:right w:type="dxa" w:w="110"/>
            </w:tcMar>
          </w:tcPr>
          <w:p>
            <w:pPr>
              <w:spacing w:after="40"/>
            </w:pPr>
            <w:r>
              <w:rPr>
                <w:b/>
                <w:bCs/>
                <w:sz w:val="19"/>
                <w:szCs w:val="19"/>
              </w:rPr>
              <w:t xml:space="preserve">Contents</w:t>
            </w:r>
          </w:p>
        </w:tc>
        <w:tc>
          <w:tcPr>
            <w:tcW w:type="dxa" w:w="1800"/>
            <w:tcBorders>
              <w:top w:val="single" w:color="BBBBBB" w:sz="1"/>
              <w:left w:val="single" w:color="BBBBBB" w:sz="1"/>
              <w:bottom w:val="single" w:color="BBBBBB" w:sz="1"/>
              <w:right w:val="single" w:color="BBBBBB" w:sz="1"/>
            </w:tcBorders>
            <w:shd w:fill="e8f0ea" w:val="clear"/>
            <w:tcMar>
              <w:top w:type="dxa" w:w="70"/>
              <w:left w:type="dxa" w:w="110"/>
              <w:bottom w:type="dxa" w:w="70"/>
              <w:right w:type="dxa" w:w="110"/>
            </w:tcMar>
          </w:tcPr>
          <w:p>
            <w:pPr>
              <w:spacing w:after="40"/>
            </w:pPr>
            <w:r>
              <w:rPr>
                <w:b/>
                <w:bCs/>
                <w:sz w:val="19"/>
                <w:szCs w:val="19"/>
              </w:rPr>
              <w:t xml:space="preserve">Exit criterion</w:t>
            </w:r>
          </w:p>
        </w:tc>
      </w:tr>
      <w:tr>
        <w:tc>
          <w:tcPr>
            <w:tcW w:type="dxa" w:w="12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Phase 0</w:t>
            </w:r>
          </w:p>
        </w:tc>
        <w:tc>
          <w:tcPr>
            <w:tcW w:type="dxa" w:w="2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Foundations + integration spikes</w:t>
            </w:r>
          </w:p>
        </w:tc>
        <w:tc>
          <w:tcPr>
            <w:tcW w:type="dxa" w:w="39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Multi-tenant data model; Entra ID SSO; audit-chain service + TSA anchoring proof; WhatsApp Business API proof-of-intake; email-in proof; OCR vendor bake-off on 500 real Malaysian receipts; Carbon Next ingestion API contract agreed and stubbed; ERP listing-import template specified with sample SAP B1 extraction queries; assurance-partner design review (D5).</w:t>
            </w:r>
          </w:p>
        </w:tc>
        <w:tc>
          <w:tcPr>
            <w:tcW w:type="dxa" w:w="1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Every integration proven end-to-end with real credentials; OCR accuracy measured, not assumed; import template validated against one real B1 export; D5 sign-off in writing.</w:t>
            </w:r>
          </w:p>
        </w:tc>
      </w:tr>
      <w:tr>
        <w:tc>
          <w:tcPr>
            <w:tcW w:type="dxa" w:w="12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Phase 1 (v1 launch)</w:t>
            </w:r>
          </w:p>
        </w:tc>
        <w:tc>
          <w:tcPr>
            <w:tcW w:type="dxa" w:w="2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Hub + e-Claim + ERP Sync (import mode) → Carbon Next</w:t>
            </w:r>
          </w:p>
        </w:tc>
        <w:tc>
          <w:tcPr>
            <w:tcW w:type="dxa" w:w="39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Separate licensing/login; Hub shell (dashboard, clients, approvals, audit trail, Carbon Next link, ERP Sync overview, settings). e-Claim full workflow: WhatsApp/email/upload intake; OCR review queue; duplicate + anomaly detection; multi-tier approval with send-back; release with batch hash + TSA anchor; post to Carbon Next; WhatsApp confirmations; claimants master import; categories (carbon scope + emission factor + GL export code); CSV export; evidence pack; notification engine. ERP Sync import mode: AP invoice listing template; per-client column presets; validation report; mapping rules engine (item → vendor → GL precedence); quantity vs spend-based resolution with data-quality flags; review queue; coverage + reconciliation tie-out; cross-channel dedup; same release gate.</w:t>
            </w:r>
          </w:p>
        </w:tc>
        <w:tc>
          <w:tcPr>
            <w:tcW w:type="dxa" w:w="1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Pilot firm + one pilot client live for one month; 100% reconciliation between released batches and Carbon Next ledger; one month of real B1 AP listing imported with measured auto-map rate; planted duplicate caught; assurance partner accepts both evidence chains (photo and ERP snapshot).</w:t>
            </w:r>
          </w:p>
        </w:tc>
      </w:tr>
      <w:tr>
        <w:tc>
          <w:tcPr>
            <w:tcW w:type="dxa" w:w="12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Phase 2</w:t>
            </w:r>
          </w:p>
        </w:tc>
        <w:tc>
          <w:tcPr>
            <w:tcW w:type="dxa" w:w="2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ERP Sync — live connectors + AR / Scope 3.11</w:t>
            </w:r>
          </w:p>
        </w:tc>
        <w:tc>
          <w:tcPr>
            <w:tcW w:type="dxa" w:w="39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SAP B1 Service Layer read-only connector (PurchaseInvoices, Invoices, BusinessPartners, ChartOfAccounts, Items; delta pull by DocEntry watermark; least-privilege read user); on-premise fallback (read agent or scheduled query-export job); AR invoice listings + product emission-factor master for Scope 3.11; MyInvois e-invoice API evaluation (D16).</w:t>
            </w:r>
          </w:p>
        </w:tc>
        <w:tc>
          <w:tcPr>
            <w:tcW w:type="dxa" w:w="1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Pilot client runs a full month on automated daily pull with zero manual imports; Scope 3.11 staged from AR listings for one product family.</w:t>
            </w:r>
          </w:p>
        </w:tc>
      </w:tr>
      <w:tr>
        <w:tc>
          <w:tcPr>
            <w:tcW w:type="dxa" w:w="12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Phase 3</w:t>
            </w:r>
          </w:p>
        </w:tc>
        <w:tc>
          <w:tcPr>
            <w:tcW w:type="dxa" w:w="2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Financial layer (premium upsell)</w:t>
            </w:r>
          </w:p>
        </w:tc>
        <w:tc>
          <w:tcPr>
            <w:tcW w:type="dxa" w:w="39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ERP posting — SAP B1 first behind an abstraction layer (deployment model per D2 decided with the first Phase-3 client); GL coding rules engine + chart-of-accounts import; three-way matching PO/GRN/invoice with configurable tolerances (PO/GRN sourced from the ERP); dual-post atomicity with compensation logic; document-intake AP (supplier invoice capture by email/upload with OCR, for clients wanting capture automation — the 03_ap prototype); LHDN tax-audit pack.</w:t>
            </w:r>
          </w:p>
        </w:tc>
        <w:tc>
          <w:tcPr>
            <w:tcW w:type="dxa" w:w="1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Dual post reconciles 100% against SAP B1 for the pilot client; tax-audit pack accepted by a tax practitioner.</w:t>
            </w:r>
          </w:p>
        </w:tc>
      </w:tr>
      <w:tr>
        <w:tc>
          <w:tcPr>
            <w:tcW w:type="dxa" w:w="12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Phase 4 (deferred)</w:t>
            </w:r>
          </w:p>
        </w:tc>
        <w:tc>
          <w:tcPr>
            <w:tcW w:type="dxa" w:w="2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AR document intake + additional ERPs + free-tier revisit</w:t>
            </w:r>
          </w:p>
        </w:tc>
        <w:tc>
          <w:tcPr>
            <w:tcW w:type="dxa" w:w="39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AR document intake (customer POs, signed DOs, payment advice) as evidence automation, only on committed demand — Scope 3.11 itself is already sourced from AR listings in Phase 2; Xero / QuickBooks / AutoCount / Oracle native connectors on signed demand; reassess the free Claims tier once ERP differentiation exists.</w:t>
            </w:r>
          </w:p>
        </w:tc>
        <w:tc>
          <w:tcPr>
            <w:tcW w:type="dxa" w:w="1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Build only against a committed paying client.</w:t>
            </w:r>
          </w:p>
        </w:tc>
      </w:tr>
    </w:tbl>
    <w:p>
      <w:pPr>
        <w:spacing w:after="120"/>
      </w:pPr>
      <w:r>
        <w:rPr>
          <w:b w:val="false"/>
          <w:bCs w:val="false"/>
          <w:i/>
          <w:iCs/>
        </w:rPr>
        <w:t xml:space="preserve">Pricing guardrail: price Phases 0–1 firmly; option Phases 2–4. The risk in fixed-pricing the whole family is that integration unknowns in Phase 0 invalidate every downstream estimate.</w:t>
      </w:r>
    </w:p>
    <w:p>
      <w:pPr>
        <w:pStyle w:val="Heading1"/>
      </w:pPr>
      <w:r>
        <w:t xml:space="preserve">5. Functional requirements baseline</w:t>
      </w:r>
    </w:p>
    <w:p>
      <w:pPr>
        <w:spacing w:after="120"/>
      </w:pPr>
      <w:r>
        <w:rPr>
          <w:b w:val="false"/>
          <w:bCs w:val="false"/>
          <w:i w:val="false"/>
          <w:iCs w:val="false"/>
        </w:rPr>
        <w:t xml:space="preserve">The prototypes are the visual specification. The table records functional requirements per module at estimation level; each row must be expanded into user stories with acceptance criteria during detailed design. Phase tags govern when each block is built.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6976"/>
      </w:tblGrid>
      <w:tr>
        <w:trPr>
          <w:tblHeader/>
        </w:trPr>
        <w:tc>
          <w:tcPr>
            <w:tcW w:type="dxa" w:w="2050"/>
            <w:tcBorders>
              <w:top w:val="single" w:color="BBBBBB" w:sz="1"/>
              <w:left w:val="single" w:color="BBBBBB" w:sz="1"/>
              <w:bottom w:val="single" w:color="BBBBBB" w:sz="1"/>
              <w:right w:val="single" w:color="BBBBBB" w:sz="1"/>
            </w:tcBorders>
            <w:shd w:fill="e8f0ea" w:val="clear"/>
            <w:tcMar>
              <w:top w:type="dxa" w:w="70"/>
              <w:left w:type="dxa" w:w="110"/>
              <w:bottom w:type="dxa" w:w="70"/>
              <w:right w:type="dxa" w:w="110"/>
            </w:tcMar>
          </w:tcPr>
          <w:p>
            <w:pPr>
              <w:spacing w:after="40"/>
            </w:pPr>
            <w:r>
              <w:rPr>
                <w:b/>
                <w:bCs/>
                <w:sz w:val="19"/>
                <w:szCs w:val="19"/>
              </w:rPr>
              <w:t xml:space="preserve">Module</w:t>
            </w:r>
          </w:p>
        </w:tc>
        <w:tc>
          <w:tcPr>
            <w:tcW w:type="dxa" w:w="6976"/>
            <w:tcBorders>
              <w:top w:val="single" w:color="BBBBBB" w:sz="1"/>
              <w:left w:val="single" w:color="BBBBBB" w:sz="1"/>
              <w:bottom w:val="single" w:color="BBBBBB" w:sz="1"/>
              <w:right w:val="single" w:color="BBBBBB" w:sz="1"/>
            </w:tcBorders>
            <w:shd w:fill="e8f0ea" w:val="clear"/>
            <w:tcMar>
              <w:top w:type="dxa" w:w="70"/>
              <w:left w:type="dxa" w:w="110"/>
              <w:bottom w:type="dxa" w:w="70"/>
              <w:right w:type="dxa" w:w="110"/>
            </w:tcMar>
          </w:tcPr>
          <w:p>
            <w:pPr>
              <w:spacing w:after="40"/>
            </w:pPr>
            <w:r>
              <w:rPr>
                <w:b/>
                <w:bCs/>
                <w:sz w:val="19"/>
                <w:szCs w:val="19"/>
              </w:rPr>
              <w:t xml:space="preserve">Functional requirements</w:t>
            </w:r>
          </w:p>
        </w:tc>
      </w:tr>
      <w:tr>
        <w:tc>
          <w:tcPr>
            <w:tcW w:type="dxa" w:w="2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OneCapture Hub (Phase 1)</w:t>
            </w:r>
          </w:p>
        </w:tc>
        <w:tc>
          <w:tcPr>
            <w:tcW w:type="dxa" w:w="697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FR-H1 Module launcher, cross-client firm dashboard, client portfolio, firm-wide approvals view, firm audit trail, settings; separate OneCapture login with Entra ID SSO. FR-H2 Multi-client management: per-client module activation, per-client configuration isolation. FR-H3 Carbon Next link screen: sent/acknowledged/retry health, test connection, per-client connector status.</w:t>
            </w:r>
          </w:p>
        </w:tc>
      </w:tr>
      <w:tr>
        <w:tc>
          <w:tcPr>
            <w:tcW w:type="dxa" w:w="2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e-Claim (Phase 1)</w:t>
            </w:r>
          </w:p>
        </w:tc>
        <w:tc>
          <w:tcPr>
            <w:tcW w:type="dxa" w:w="697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FR-E1 Intake via WhatsApp, email-in, web upload, and one-time mobile link; sender bound to claimants master; no end-user accounts. FR-E2 OCR extraction of carbon fields (litres/kWh/km, fuel type, vendor, date) AND financial fields (gross amount, tax, supplier tax ID, payment method) with per-field confidence; below-threshold extractions route to a human review queue. FR-E3 Duplicate detection (image hash + field match) and anomaly detection against claimant history, with override-and-justify. FR-E4 Multi-tier approval ladder driven by configurable monetary thresholds (Approver / Manager / Director / CFO); send-back-for-correction with resubmission. FR-E5 Release: batch review, random spot-check sampling, batch hash, RFC 3161 TSA anchor, post emission entries to Carbon Next, WhatsApp confirmation to submitter. Release is irreversible; corrections are by reversing entry only. FR-E6 Continuous audit trail: channel binding, source-document hash, field provenance, approver/releaser identity with timestamp, IP, device. FR-E7 CSV export of approved/released claims carrying the GL export code per category, for manual ERP entry by the firm. FR-E8 Evidence pack: regenerable PDF bundle (source images, OCR extractions, approvals, hashes) per client/period. FR-E9 Cost-centre dimension captured per claim and passed to Carbon Next for facility-level attribution.</w:t>
            </w:r>
          </w:p>
        </w:tc>
      </w:tr>
      <w:tr>
        <w:tc>
          <w:tcPr>
            <w:tcW w:type="dxa" w:w="2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ERP Sync (Phase 1 import · Phase 2 connectors)</w:t>
            </w:r>
          </w:p>
        </w:tc>
        <w:tc>
          <w:tcPr>
            <w:tcW w:type="dxa" w:w="697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FR-S1 Standardised AP invoice listing import (CSV/XLSX): per-client column presets; validation report (clean / warning / duplicate / rejected); whole-batch commit — nothing imports partially; idempotent re-import keyed by ERP document ID; file SHA-256 retained as evidence. FR-S2 Read-only connectors (Phase 2): SAP B1 Service Layer — PurchaseInvoices (OPCH/PCH1), Invoices (OINV/INV1), BusinessPartners (OCRD), ChartOfAccounts (OACT), Items (OITM); scheduled delta pull by DocEntry watermark; least-privilege read user; on-premise fallback = read agent or scheduled query-export job. FR-S3 Mapping rules engine: precedence item → vendor → GL; the matched rule fixes category, scope, and quantity basis; versioned per client; draft-rule suggestions for unmapped vendors. FR-S4 Quantity resolution: line quantity + UoM where present (activity-based: kWh, litres, m³, kg); spend-based EEIO fallback where absent, flagged as lower data quality (D14); reviewer can supply quantities. FR-S5 Review queue — the carbon classification sign-off (finance already approved the invoice in the ERP): unmapped vendors, missing quantity, anomalies vs vendor baseline, low-confidence maps; override-and-justify; bulk-approve clean suggestions. FR-S6 Release gate identical to e-Claim: batch review, batch hash, RFC 3161 TSA anchor, irreversible, idempotent post to Carbon Next. FR-S7 Coverage and reconciliation: mapped ÷ carbon-relevant spend; tie-out against ERP GL totals; held-back list included in the evidence pack. FR-S8 Cross-channel dedup: per-client category ownership matrix + document-number match against e-Claim. FR-S9 Evidence = hashed snapshot of the pulled ERP record; chain: B1 record → rule version → reviewer identity → batch hash → TSA token → Carbon Next ID.</w:t>
            </w:r>
          </w:p>
        </w:tc>
      </w:tr>
      <w:tr>
        <w:tc>
          <w:tcPr>
            <w:tcW w:type="dxa" w:w="2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Financial layer (Phase 3)</w:t>
            </w:r>
          </w:p>
        </w:tc>
        <w:tc>
          <w:tcPr>
            <w:tcW w:type="dxa" w:w="697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FR-F1 GL coding rules engine: category-to-GL mapping per client chart of accounts, cost-centre routing, tax treatment; editable, versioned. FR-F2 ERP posting: SAP B1 first behind an abstraction layer; idempotency keys to prevent double posting. FR-F3 Three-way match against PO and GRN with rule-based tolerances (price, quantity, terms), PO/GRN sourced via the Phase-2 read connector; exception queue. FR-F4 Dual-post atomicity: emission entry must not post if the journal fails (and vice versa); compensation logic and dead-letter queue. FR-F5 LHDN tax-audit pack: on-demand regenerable bundle per GL account/period — source images, OCR, approvals, journal entries, hashes. FR-F6 Document-intake AP (clients wanting capture automation): supplier invoice intake by email/upload, supplier master, OCR, exception queue — the 03_ap prototype.</w:t>
            </w:r>
          </w:p>
        </w:tc>
      </w:tr>
      <w:tr>
        <w:tc>
          <w:tcPr>
            <w:tcW w:type="dxa" w:w="2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AR (Phase 4)</w:t>
            </w:r>
          </w:p>
        </w:tc>
        <w:tc>
          <w:tcPr>
            <w:tcW w:type="dxa" w:w="697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FR-R1 Customer document intake (PO received, signed DO, payment advice); auto-link to AR invoices via linking rules with confidence thresholds; unlinked-document queue. Note: Scope 3.11 emissions are already sourced from AR invoice listings in ERP Sync (Phase 2) — this module is document-evidence automation only.</w:t>
            </w:r>
          </w:p>
        </w:tc>
      </w:tr>
      <w:tr>
        <w:tc>
          <w:tcPr>
            <w:tcW w:type="dxa" w:w="2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Carbon Next · Claims (free tier)</w:t>
            </w:r>
          </w:p>
        </w:tc>
        <w:tc>
          <w:tcPr>
            <w:tcW w:type="dxa" w:w="697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DEFERRED — not in the build. The prototype is retained for reference with a deferral ribbon. Revisit at Phase 4 once ERP differentiation justifies a stripped free funnel beneath the premium product.</w:t>
            </w:r>
          </w:p>
        </w:tc>
      </w:tr>
    </w:tbl>
    <w:p>
      <w:pPr>
        <w:pStyle w:val="Heading1"/>
      </w:pPr>
      <w:r>
        <w:t xml:space="preserve">6. Missing functional areas — must be specified before handover</w:t>
      </w:r>
    </w:p>
    <w:p>
      <w:pPr>
        <w:spacing w:after="120"/>
      </w:pPr>
      <w:r>
        <w:rPr>
          <w:b w:val="false"/>
          <w:bCs w:val="false"/>
          <w:i w:val="false"/>
          <w:iCs w:val="false"/>
        </w:rPr>
        <w:t xml:space="preserve">None of the following exists in any prototype. Together they represent roughly half the build effort. Each needs written requirements (not necessarily screens) before a team can estimate honestly.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4076"/>
        <w:gridCol w:w="3100"/>
      </w:tblGrid>
      <w:tr>
        <w:trPr>
          <w:tblHeader/>
        </w:trPr>
        <w:tc>
          <w:tcPr>
            <w:tcW w:type="dxa" w:w="1850"/>
            <w:tcBorders>
              <w:top w:val="single" w:color="BBBBBB" w:sz="1"/>
              <w:left w:val="single" w:color="BBBBBB" w:sz="1"/>
              <w:bottom w:val="single" w:color="BBBBBB" w:sz="1"/>
              <w:right w:val="single" w:color="BBBBBB" w:sz="1"/>
            </w:tcBorders>
            <w:shd w:fill="e8f0ea" w:val="clear"/>
            <w:tcMar>
              <w:top w:type="dxa" w:w="70"/>
              <w:left w:type="dxa" w:w="110"/>
              <w:bottom w:type="dxa" w:w="70"/>
              <w:right w:type="dxa" w:w="110"/>
            </w:tcMar>
          </w:tcPr>
          <w:p>
            <w:pPr>
              <w:spacing w:after="40"/>
            </w:pPr>
            <w:r>
              <w:rPr>
                <w:b/>
                <w:bCs/>
                <w:sz w:val="19"/>
                <w:szCs w:val="19"/>
              </w:rPr>
              <w:t xml:space="preserve">Area</w:t>
            </w:r>
          </w:p>
        </w:tc>
        <w:tc>
          <w:tcPr>
            <w:tcW w:type="dxa" w:w="4076"/>
            <w:tcBorders>
              <w:top w:val="single" w:color="BBBBBB" w:sz="1"/>
              <w:left w:val="single" w:color="BBBBBB" w:sz="1"/>
              <w:bottom w:val="single" w:color="BBBBBB" w:sz="1"/>
              <w:right w:val="single" w:color="BBBBBB" w:sz="1"/>
            </w:tcBorders>
            <w:shd w:fill="e8f0ea" w:val="clear"/>
            <w:tcMar>
              <w:top w:type="dxa" w:w="70"/>
              <w:left w:type="dxa" w:w="110"/>
              <w:bottom w:type="dxa" w:w="70"/>
              <w:right w:type="dxa" w:w="110"/>
            </w:tcMar>
          </w:tcPr>
          <w:p>
            <w:pPr>
              <w:spacing w:after="40"/>
            </w:pPr>
            <w:r>
              <w:rPr>
                <w:b/>
                <w:bCs/>
                <w:sz w:val="19"/>
                <w:szCs w:val="19"/>
              </w:rPr>
              <w:t xml:space="preserve">What must be specified</w:t>
            </w:r>
          </w:p>
        </w:tc>
        <w:tc>
          <w:tcPr>
            <w:tcW w:type="dxa" w:w="3100"/>
            <w:tcBorders>
              <w:top w:val="single" w:color="BBBBBB" w:sz="1"/>
              <w:left w:val="single" w:color="BBBBBB" w:sz="1"/>
              <w:bottom w:val="single" w:color="BBBBBB" w:sz="1"/>
              <w:right w:val="single" w:color="BBBBBB" w:sz="1"/>
            </w:tcBorders>
            <w:shd w:fill="e8f0ea" w:val="clear"/>
            <w:tcMar>
              <w:top w:type="dxa" w:w="70"/>
              <w:left w:type="dxa" w:w="110"/>
              <w:bottom w:type="dxa" w:w="70"/>
              <w:right w:type="dxa" w:w="110"/>
            </w:tcMar>
          </w:tcPr>
          <w:p>
            <w:pPr>
              <w:spacing w:after="40"/>
            </w:pPr>
            <w:r>
              <w:rPr>
                <w:b/>
                <w:bCs/>
                <w:sz w:val="19"/>
                <w:szCs w:val="19"/>
              </w:rPr>
              <w:t xml:space="preserve">Why it is critical</w:t>
            </w:r>
          </w:p>
        </w:tc>
      </w:tr>
      <w:tr>
        <w:tc>
          <w:tcPr>
            <w:tcW w:type="dxa" w:w="18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Tenant &amp; client onboarding</w:t>
            </w:r>
          </w:p>
        </w:tc>
        <w:tc>
          <w:tcPr>
            <w:tcW w:type="dxa" w:w="407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Firm signup, client activation, module licensing flags, per-client WhatsApp number provisioning, claimants master import (format, validation, dedupe); ERP Sync onboarding: listing-template handoff and per-client column-preset setup. Chart-of-accounts import moves to Phase 3.</w:t>
            </w:r>
          </w:p>
        </w:tc>
        <w:tc>
          <w:tcPr>
            <w:tcW w:type="dxa" w:w="31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First-run experience determines channel adoption; per-client WhatsApp numbers are an operational and cost decision (D3).</w:t>
            </w:r>
          </w:p>
        </w:tc>
      </w:tr>
      <w:tr>
        <w:tc>
          <w:tcPr>
            <w:tcW w:type="dxa" w:w="18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Administration screens</w:t>
            </w:r>
          </w:p>
        </w:tc>
        <w:tc>
          <w:tcPr>
            <w:tcW w:type="dxa" w:w="407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Approval threshold configuration (Phase 1); category master + emission-factor management with version propagation (Phase 1); carbon mapping rules editor + category ownership matrix (Phase 1 — the ERP Sync prototype shows both); user/role management (Phase 1); GL mapping rule editor and matching-tolerance editors (Phase 3).</w:t>
            </w:r>
          </w:p>
        </w:tc>
        <w:tc>
          <w:tcPr>
            <w:tcW w:type="dxa" w:w="31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Mockups show rules in action but no way to create or change them. Without these, every configuration change is a support ticket.</w:t>
            </w:r>
          </w:p>
        </w:tc>
      </w:tr>
      <w:tr>
        <w:tc>
          <w:tcPr>
            <w:tcW w:type="dxa" w:w="18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Notification engine</w:t>
            </w:r>
          </w:p>
        </w:tc>
        <w:tc>
          <w:tcPr>
            <w:tcW w:type="dxa" w:w="407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Templates (WhatsApp, email), trigger matrix per workflow event, language (BM/English), delivery audit, retry on failure, WhatsApp template pre-approval workflow with Meta lead times.</w:t>
            </w:r>
          </w:p>
        </w:tc>
        <w:tc>
          <w:tcPr>
            <w:tcW w:type="dxa" w:w="31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WhatsApp business messaging requires Meta-approved templates with lead time; this cannot be improvised at the end.</w:t>
            </w:r>
          </w:p>
        </w:tc>
      </w:tr>
      <w:tr>
        <w:tc>
          <w:tcPr>
            <w:tcW w:type="dxa" w:w="18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Failure &amp; exception states</w:t>
            </w:r>
          </w:p>
        </w:tc>
        <w:tc>
          <w:tcPr>
            <w:tcW w:type="dxa" w:w="407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Per workflow: OCR failure, unreadable image, unknown sender, duplicate, claimant resubmission, TSA unavailable, Carbon Next API unavailable or rejecting (retry/backoff, idempotent re-send, no partial batch), partial batch failure; ERP Sync: malformed listing, schema drift, duplicate import attempt, connector pull failure (Phase 2). Empty and loading states for every screen. ERP posting rejection/timeout joins in Phase 3.</w:t>
            </w:r>
          </w:p>
        </w:tc>
        <w:tc>
          <w:tcPr>
            <w:tcW w:type="dxa" w:w="31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The prototypes show zero error states. Unspecified failure handling is the single largest source of mid-project scope disputes.</w:t>
            </w:r>
          </w:p>
        </w:tc>
      </w:tr>
      <w:tr>
        <w:tc>
          <w:tcPr>
            <w:tcW w:type="dxa" w:w="18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Reporting &amp; export</w:t>
            </w:r>
          </w:p>
        </w:tc>
        <w:tc>
          <w:tcPr>
            <w:tcW w:type="dxa" w:w="407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Operational reports (cycle time, exception rates, release volumes), CSV/PDF export, external auditor read-only access.</w:t>
            </w:r>
          </w:p>
        </w:tc>
        <w:tc>
          <w:tcPr>
            <w:tcW w:type="dxa" w:w="31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The overview promises auditor drill-down; nothing in the mockups defines it.</w:t>
            </w:r>
          </w:p>
        </w:tc>
      </w:tr>
      <w:tr>
        <w:tc>
          <w:tcPr>
            <w:tcW w:type="dxa" w:w="18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Data lifecycle</w:t>
            </w:r>
          </w:p>
        </w:tc>
        <w:tc>
          <w:tcPr>
            <w:tcW w:type="dxa" w:w="407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Retention per record class (LHDN requires 7 years for financial records), archival, client offboarding/export, PDPA subject-access and deletion versus immutable audit chain (crypto-shredding of personal data held outside the chain is the proposed resolution — D6).</w:t>
            </w:r>
          </w:p>
        </w:tc>
        <w:tc>
          <w:tcPr>
            <w:tcW w:type="dxa" w:w="31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Immutability and PDPA deletion rights conflict; the resolution is a design decision, not an afterthought.</w:t>
            </w:r>
          </w:p>
        </w:tc>
      </w:tr>
    </w:tbl>
    <w:p>
      <w:pPr>
        <w:pStyle w:val="Heading1"/>
      </w:pPr>
      <w:r>
        <w:t xml:space="preserve">7. Data model baseline</w:t>
      </w:r>
    </w:p>
    <w:p>
      <w:pPr>
        <w:spacing w:after="120"/>
      </w:pPr>
      <w:r>
        <w:rPr>
          <w:b w:val="false"/>
          <w:bCs w:val="false"/>
          <w:i w:val="false"/>
          <w:iCs w:val="false"/>
        </w:rPr>
        <w:t xml:space="preserve">Entities implied by the prototypes. Detailed design must produce a full schema with field types, constraints, and tenancy keys; every table is scoped by firm and client (multi-tenant). Phase tags mark when an entity activates.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BBBBB" w:sz="1"/>
              <w:left w:val="single" w:color="BBBBBB" w:sz="1"/>
              <w:bottom w:val="single" w:color="BBBBBB" w:sz="1"/>
              <w:right w:val="single" w:color="BBBBBB" w:sz="1"/>
            </w:tcBorders>
            <w:shd w:fill="e8f0ea" w:val="clear"/>
            <w:tcMar>
              <w:top w:type="dxa" w:w="70"/>
              <w:left w:type="dxa" w:w="110"/>
              <w:bottom w:type="dxa" w:w="70"/>
              <w:right w:type="dxa" w:w="110"/>
            </w:tcMar>
          </w:tcPr>
          <w:p>
            <w:pPr>
              <w:spacing w:after="40"/>
            </w:pPr>
            <w:r>
              <w:rPr>
                <w:b/>
                <w:bCs/>
                <w:sz w:val="19"/>
                <w:szCs w:val="19"/>
              </w:rPr>
              <w:t xml:space="preserve">Entity</w:t>
            </w:r>
          </w:p>
        </w:tc>
        <w:tc>
          <w:tcPr>
            <w:tcW w:type="dxa" w:w="6726"/>
            <w:tcBorders>
              <w:top w:val="single" w:color="BBBBBB" w:sz="1"/>
              <w:left w:val="single" w:color="BBBBBB" w:sz="1"/>
              <w:bottom w:val="single" w:color="BBBBBB" w:sz="1"/>
              <w:right w:val="single" w:color="BBBBBB" w:sz="1"/>
            </w:tcBorders>
            <w:shd w:fill="e8f0ea" w:val="clear"/>
            <w:tcMar>
              <w:top w:type="dxa" w:w="70"/>
              <w:left w:type="dxa" w:w="110"/>
              <w:bottom w:type="dxa" w:w="70"/>
              <w:right w:type="dxa" w:w="110"/>
            </w:tcMar>
          </w:tcPr>
          <w:p>
            <w:pPr>
              <w:spacing w:after="40"/>
            </w:pPr>
            <w:r>
              <w:rPr>
                <w:b/>
                <w:bCs/>
                <w:sz w:val="19"/>
                <w:szCs w:val="19"/>
              </w:rPr>
              <w:t xml:space="preserve">Key attributes</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Firm / Client</w:t>
            </w:r>
          </w:p>
        </w:tc>
        <w:tc>
          <w:tcPr>
            <w:tcW w:type="dxa" w:w="67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Firm (accountant practice, firm-wide users); Client (company, module activations, approval thresholds, WhatsApp number binding, cost centres). Chart of accounts joins in Phase 3.</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User / Role</w:t>
            </w:r>
          </w:p>
        </w:tc>
        <w:tc>
          <w:tcPr>
            <w:tcW w:type="dxa" w:w="67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Partner, Manager (firm scope); Approver, Viewer (client scope); authority limits; SoD constraints (submitter ≠ approver) enforced at the API.</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Claimant</w:t>
            </w:r>
          </w:p>
        </w:tc>
        <w:tc>
          <w:tcPr>
            <w:tcW w:type="dxa" w:w="67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Name, phone (WhatsApp identity), email, employee ref, client binding, cost-centre assignment, status. No login credentials — identity is channel binding.</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Claim / Document</w:t>
            </w:r>
          </w:p>
        </w:tc>
        <w:tc>
          <w:tcPr>
            <w:tcW w:type="dxa" w:w="67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Source image(s), channel, received timestamp, OCR fields + per-field confidence, financial fields (gross, tax, supplier tax ID, payment method), category, cost centre, status lifecycle (submitted → review → approved → released / sent-back / rejected), anomaly flags.</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Category</w:t>
            </w:r>
          </w:p>
        </w:tc>
        <w:tc>
          <w:tcPr>
            <w:tcW w:type="dxa" w:w="67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Name, carbon scope, emission factor reference, GL export code, default limit, approval policy, status.</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Emission factor</w:t>
            </w:r>
          </w:p>
        </w:tc>
        <w:tc>
          <w:tcPr>
            <w:tcW w:type="dxa" w:w="67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Source (DEFRA/IPCC/EPA), version, effective period, central maintenance with propagation to all clients.</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Emission entry</w:t>
            </w:r>
          </w:p>
        </w:tc>
        <w:tc>
          <w:tcPr>
            <w:tcW w:type="dxa" w:w="67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Scope, category, factor version, quantity, tCO₂e, source-document hash, batch ID, idempotency key, Carbon Next ledger reference, acknowledgement status.</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Audit event / Release batch</w:t>
            </w:r>
          </w:p>
        </w:tc>
        <w:tc>
          <w:tcPr>
            <w:tcW w:type="dxa" w:w="67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Hash, previous-hash link, TSA anchor token, actor, timestamp, IP, device; release batches with batch hash and TSA token.</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Evidence pack</w:t>
            </w:r>
          </w:p>
        </w:tc>
        <w:tc>
          <w:tcPr>
            <w:tcW w:type="dxa" w:w="67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Generation parameters (client, period), regenerable, content manifest. Becomes the LHDN tax-audit pack (with GL trail) in Phase 3.</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ERP source record (Phase 1)</w:t>
            </w:r>
          </w:p>
        </w:tc>
        <w:tc>
          <w:tcPr>
            <w:tcW w:type="dxa" w:w="67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Raw snapshot of the imported/pulled ERP line: vendor, GL account, item, quantity, UoM, amount, ERP document ID (B1 DocEntry / doc no); snapshot hash; import batch reference; mapping result + rule version; data-quality flag; review decision.</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Import batch / Mapping rule (Phase 1)</w:t>
            </w:r>
          </w:p>
        </w:tc>
        <w:tc>
          <w:tcPr>
            <w:tcW w:type="dxa" w:w="67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Import batch: file name + SHA-256, period, counts (clean / warning / duplicate / rejected), idempotency by ERP document ID. Mapping rule: type (item / vendor / GL), match expression, category, scope, quantity basis, factor reference, version, status. Category ownership matrix per client (e-Claim vs ERP Sync).</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Invoice / PO / GRN (Phase 3)</w:t>
            </w:r>
          </w:p>
        </w:tc>
        <w:tc>
          <w:tcPr>
            <w:tcW w:type="dxa" w:w="67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Supplier, amounts, lines (document-intake AP, Phase 3); match status, exception reasons, tolerances applied (PO/GRN via the Phase-2 read connector).</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Journal entry (Phase 3)</w:t>
            </w:r>
          </w:p>
        </w:tc>
        <w:tc>
          <w:tcPr>
            <w:tcW w:type="dxa" w:w="67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GL lines (Dr/Cr), cost centre, tax lines, ERP post reference, batch ID, reconciliation status.</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GL account / Mapping rule (Phase 3)</w:t>
            </w:r>
          </w:p>
        </w:tc>
        <w:tc>
          <w:tcPr>
            <w:tcW w:type="dxa" w:w="67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Chart of accounts per client; category-to-GL rules; versioned; effective dates.</w:t>
            </w:r>
          </w:p>
        </w:tc>
      </w:tr>
    </w:tbl>
    <w:p>
      <w:pPr>
        <w:pStyle w:val="Heading1"/>
      </w:pPr>
      <w:r>
        <w:t xml:space="preserve">8. Integration requirements</w:t>
      </w:r>
    </w:p>
    <w:p>
      <w:pPr>
        <w:spacing w:after="120"/>
      </w:pPr>
      <w:r>
        <w:rPr>
          <w:b w:val="false"/>
          <w:bCs w:val="false"/>
          <w:i w:val="false"/>
          <w:iCs w:val="false"/>
        </w:rPr>
        <w:t xml:space="preserve">Five external integrations, one internal API, and the ERP read integration. Each needs its own one-to-two-page specification including failure behaviour. These components dominate cost and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4026"/>
        <w:gridCol w:w="2950"/>
      </w:tblGrid>
      <w:tr>
        <w:trPr>
          <w:tblHeader/>
        </w:trPr>
        <w:tc>
          <w:tcPr>
            <w:tcW w:type="dxa" w:w="2050"/>
            <w:tcBorders>
              <w:top w:val="single" w:color="BBBBBB" w:sz="1"/>
              <w:left w:val="single" w:color="BBBBBB" w:sz="1"/>
              <w:bottom w:val="single" w:color="BBBBBB" w:sz="1"/>
              <w:right w:val="single" w:color="BBBBBB" w:sz="1"/>
            </w:tcBorders>
            <w:shd w:fill="e8f0ea" w:val="clear"/>
            <w:tcMar>
              <w:top w:type="dxa" w:w="70"/>
              <w:left w:type="dxa" w:w="110"/>
              <w:bottom w:type="dxa" w:w="70"/>
              <w:right w:type="dxa" w:w="110"/>
            </w:tcMar>
          </w:tcPr>
          <w:p>
            <w:pPr>
              <w:spacing w:after="40"/>
            </w:pPr>
            <w:r>
              <w:rPr>
                <w:b/>
                <w:bCs/>
                <w:sz w:val="19"/>
                <w:szCs w:val="19"/>
              </w:rPr>
              <w:t xml:space="preserve">Integration</w:t>
            </w:r>
          </w:p>
        </w:tc>
        <w:tc>
          <w:tcPr>
            <w:tcW w:type="dxa" w:w="4026"/>
            <w:tcBorders>
              <w:top w:val="single" w:color="BBBBBB" w:sz="1"/>
              <w:left w:val="single" w:color="BBBBBB" w:sz="1"/>
              <w:bottom w:val="single" w:color="BBBBBB" w:sz="1"/>
              <w:right w:val="single" w:color="BBBBBB" w:sz="1"/>
            </w:tcBorders>
            <w:shd w:fill="e8f0ea" w:val="clear"/>
            <w:tcMar>
              <w:top w:type="dxa" w:w="70"/>
              <w:left w:type="dxa" w:w="110"/>
              <w:bottom w:type="dxa" w:w="70"/>
              <w:right w:type="dxa" w:w="110"/>
            </w:tcMar>
          </w:tcPr>
          <w:p>
            <w:pPr>
              <w:spacing w:after="40"/>
            </w:pPr>
            <w:r>
              <w:rPr>
                <w:b/>
                <w:bCs/>
                <w:sz w:val="19"/>
                <w:szCs w:val="19"/>
              </w:rPr>
              <w:t xml:space="preserve">Specification must answer</w:t>
            </w:r>
          </w:p>
        </w:tc>
        <w:tc>
          <w:tcPr>
            <w:tcW w:type="dxa" w:w="2950"/>
            <w:tcBorders>
              <w:top w:val="single" w:color="BBBBBB" w:sz="1"/>
              <w:left w:val="single" w:color="BBBBBB" w:sz="1"/>
              <w:bottom w:val="single" w:color="BBBBBB" w:sz="1"/>
              <w:right w:val="single" w:color="BBBBBB" w:sz="1"/>
            </w:tcBorders>
            <w:shd w:fill="e8f0ea" w:val="clear"/>
            <w:tcMar>
              <w:top w:type="dxa" w:w="70"/>
              <w:left w:type="dxa" w:w="110"/>
              <w:bottom w:type="dxa" w:w="70"/>
              <w:right w:type="dxa" w:w="110"/>
            </w:tcMar>
          </w:tcPr>
          <w:p>
            <w:pPr>
              <w:spacing w:after="40"/>
            </w:pPr>
            <w:r>
              <w:rPr>
                <w:b/>
                <w:bCs/>
                <w:sz w:val="19"/>
                <w:szCs w:val="19"/>
              </w:rPr>
              <w:t xml:space="preserve">Failure behaviour to define</w:t>
            </w:r>
          </w:p>
        </w:tc>
      </w:tr>
      <w:tr>
        <w:tc>
          <w:tcPr>
            <w:tcW w:type="dxa" w:w="2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IR-1 WhatsApp Business API (external)</w:t>
            </w:r>
          </w:p>
        </w:tc>
        <w:tc>
          <w:tcPr>
            <w:tcW w:type="dxa" w:w="40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BSP selection (Meta direct vs partner); one number per client vs shared number with routing; template message approval workflow and lead times; 24-hour session rules; per-message cost model passed to pricing; media size limits.</w:t>
            </w:r>
          </w:p>
        </w:tc>
        <w:tc>
          <w:tcPr>
            <w:tcW w:type="dxa" w:w="29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Message receive failure, media download failure, sender not in claimants master (quarantine, never silently drop), Meta policy rejection of templates.</w:t>
            </w:r>
          </w:p>
        </w:tc>
      </w:tr>
      <w:tr>
        <w:tc>
          <w:tcPr>
            <w:tcW w:type="dxa" w:w="2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IR-2 Email intake (external)</w:t>
            </w:r>
          </w:p>
        </w:tc>
        <w:tc>
          <w:tcPr>
            <w:tcW w:type="dxa" w:w="40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Per-client intake addresses; SPF/DKIM handling; attachment formats (PDF, images); spam/abuse filtering. Supplier e-invoice formats for document-intake AP join in Phase 3.</w:t>
            </w:r>
          </w:p>
        </w:tc>
        <w:tc>
          <w:tcPr>
            <w:tcW w:type="dxa" w:w="29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Malformed attachments, unknown sender, oversized files.</w:t>
            </w:r>
          </w:p>
        </w:tc>
      </w:tr>
      <w:tr>
        <w:tc>
          <w:tcPr>
            <w:tcW w:type="dxa" w:w="2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IR-3 OCR (external)</w:t>
            </w:r>
          </w:p>
        </w:tc>
        <w:tc>
          <w:tcPr>
            <w:tcW w:type="dxa" w:w="40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Vendor selected by measured accuracy on real Malaysian documents (thermal receipts, BM/English/Chinese mix, handwriting) — the D4 bake-off; per-field confidence output; cost per page; data residency of the OCR service (cloud API vs locally deployed model is part of the bake-off decision).</w:t>
            </w:r>
          </w:p>
        </w:tc>
        <w:tc>
          <w:tcPr>
            <w:tcW w:type="dxa" w:w="29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Below-threshold confidence → human review queue; total extraction failure → manual entry path.</w:t>
            </w:r>
          </w:p>
        </w:tc>
      </w:tr>
      <w:tr>
        <w:tc>
          <w:tcPr>
            <w:tcW w:type="dxa" w:w="2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IR-4 RFC 3161 TSA (external)</w:t>
            </w:r>
          </w:p>
        </w:tc>
        <w:tc>
          <w:tcPr>
            <w:tcW w:type="dxa" w:w="40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Provider selection (Malaysian-recognised option if required by the assurance partner); anchoring frequency (per release batch); long-term validation strategy when TSA certificates expire.</w:t>
            </w:r>
          </w:p>
        </w:tc>
        <w:tc>
          <w:tcPr>
            <w:tcW w:type="dxa" w:w="29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TSA unreachable at release time — queue or block? The assurance partner must agree the behaviour (part of D5).</w:t>
            </w:r>
          </w:p>
        </w:tc>
      </w:tr>
      <w:tr>
        <w:tc>
          <w:tcPr>
            <w:tcW w:type="dxa" w:w="2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IR-5 Identity — Entra ID (external)</w:t>
            </w:r>
          </w:p>
        </w:tc>
        <w:tc>
          <w:tcPr>
            <w:tcW w:type="dxa" w:w="40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OneCapture accounts with Entra ID SSO; MFA policy; session management; provisioning/deprovisioning (SCIM?).</w:t>
            </w:r>
          </w:p>
        </w:tc>
        <w:tc>
          <w:tcPr>
            <w:tcW w:type="dxa" w:w="29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SSO outage fallback; account lifecycle on staff departure.</w:t>
            </w:r>
          </w:p>
        </w:tc>
      </w:tr>
      <w:tr>
        <w:tc>
          <w:tcPr>
            <w:tcW w:type="dxa" w:w="2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IR-6 Carbon Next ingestion API (internal)</w:t>
            </w:r>
          </w:p>
        </w:tc>
        <w:tc>
          <w:tcPr>
            <w:tcW w:type="dxa" w:w="40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Emission-entry schema (client ID, scope/category, emission-factor version, quantity, tCO₂e, source-document hash, batch ID, idempotency key); authentication between the two products; acknowledgement contract; retry/backoff policy; reconciliation report between OneCapture release batches and the Carbon Next ledger.</w:t>
            </w:r>
          </w:p>
        </w:tc>
        <w:tc>
          <w:tcPr>
            <w:tcW w:type="dxa" w:w="29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Carbon Next unavailable or rejecting at release: queue the batch with its TSA anchor intact, re-send idempotently, never produce a partial batch; duplicate suppression by idempotency key.</w:t>
            </w:r>
          </w:p>
        </w:tc>
      </w:tr>
      <w:tr>
        <w:tc>
          <w:tcPr>
            <w:tcW w:type="dxa" w:w="2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IR-7 ERP read — ERP Sync (v1 import · Phase 2 connector)</w:t>
            </w:r>
          </w:p>
        </w:tc>
        <w:tc>
          <w:tcPr>
            <w:tcW w:type="dxa" w:w="40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v1 import mode: listing-template specification (columns, encodings, UoM list), per-client column presets, file-hash evidence, idempotency by ERP document ID. Phase 2 connector: SAP B1 Service Layer read-only — PurchaseInvoices, Invoices, BusinessPartners, ChartOfAccounts, Items; delta strategy (DocEntry watermark); paging and rate limits; least-privilege read user; on-premise fallback (read agent or scheduled query-export job). MyInvois e-invoice API tracked as a future standardised source (D16).</w:t>
            </w:r>
          </w:p>
        </w:tc>
        <w:tc>
          <w:tcPr>
            <w:tcW w:type="dxa" w:w="29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Import: malformed or missing columns → validation report, whole batch rejected, nothing partial. Connector: pull-failure alerting, idempotent re-pull, schema-drift detection, credential expiry handling.</w:t>
            </w:r>
          </w:p>
        </w:tc>
      </w:tr>
    </w:tbl>
    <w:p>
      <w:pPr>
        <w:spacing w:after="120"/>
      </w:pPr>
      <w:r>
        <w:rPr>
          <w:b w:val="false"/>
          <w:bCs w:val="false"/>
          <w:i/>
          <w:iCs/>
        </w:rPr>
        <w:t xml:space="preserve">Deferred to Phase 3 — SAP B1 posting (former IR-4 of v1.0): DI API vs Service Layer; cloud vs on-premise connectivity (on-prem needs an agent or VPN); posting user permissions; document type mapping; idempotency; dual-post compensation logic. The specification is written when Phase 3 is commissioned, with the deployment model decided against the first Phase-3 client (D2).</w:t>
      </w:r>
    </w:p>
    <w:p>
      <w:pPr>
        <w:pStyle w:val="Heading1"/>
      </w:pPr>
      <w:r>
        <w:t xml:space="preserve">9.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6976"/>
      </w:tblGrid>
      <w:tr>
        <w:trPr>
          <w:tblHeader/>
        </w:trPr>
        <w:tc>
          <w:tcPr>
            <w:tcW w:type="dxa" w:w="2050"/>
            <w:tcBorders>
              <w:top w:val="single" w:color="BBBBBB" w:sz="1"/>
              <w:left w:val="single" w:color="BBBBBB" w:sz="1"/>
              <w:bottom w:val="single" w:color="BBBBBB" w:sz="1"/>
              <w:right w:val="single" w:color="BBBBBB" w:sz="1"/>
            </w:tcBorders>
            <w:shd w:fill="e8f0ea" w:val="clear"/>
            <w:tcMar>
              <w:top w:type="dxa" w:w="70"/>
              <w:left w:type="dxa" w:w="110"/>
              <w:bottom w:type="dxa" w:w="70"/>
              <w:right w:type="dxa" w:w="110"/>
            </w:tcMar>
          </w:tcPr>
          <w:p>
            <w:pPr>
              <w:spacing w:after="40"/>
            </w:pPr>
            <w:r>
              <w:rPr>
                <w:b/>
                <w:bCs/>
                <w:sz w:val="19"/>
                <w:szCs w:val="19"/>
              </w:rPr>
              <w:t xml:space="preserve">Category</w:t>
            </w:r>
          </w:p>
        </w:tc>
        <w:tc>
          <w:tcPr>
            <w:tcW w:type="dxa" w:w="6976"/>
            <w:tcBorders>
              <w:top w:val="single" w:color="BBBBBB" w:sz="1"/>
              <w:left w:val="single" w:color="BBBBBB" w:sz="1"/>
              <w:bottom w:val="single" w:color="BBBBBB" w:sz="1"/>
              <w:right w:val="single" w:color="BBBBBB" w:sz="1"/>
            </w:tcBorders>
            <w:shd w:fill="e8f0ea" w:val="clear"/>
            <w:tcMar>
              <w:top w:type="dxa" w:w="70"/>
              <w:left w:type="dxa" w:w="110"/>
              <w:bottom w:type="dxa" w:w="70"/>
              <w:right w:type="dxa" w:w="110"/>
            </w:tcMar>
          </w:tcPr>
          <w:p>
            <w:pPr>
              <w:spacing w:after="40"/>
            </w:pPr>
            <w:r>
              <w:rPr>
                <w:b/>
                <w:bCs/>
                <w:sz w:val="19"/>
                <w:szCs w:val="19"/>
              </w:rPr>
              <w:t xml:space="preserve">Requirement to be confirmed and contracted</w:t>
            </w:r>
          </w:p>
        </w:tc>
      </w:tr>
      <w:tr>
        <w:tc>
          <w:tcPr>
            <w:tcW w:type="dxa" w:w="2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Volumes &amp; performance</w:t>
            </w:r>
          </w:p>
        </w:tc>
        <w:tc>
          <w:tcPr>
            <w:tcW w:type="dxa" w:w="697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v1 sizing basis: hundreds of claims per client per month; up to 800+ registered submitters per large client; firm portfolios of dozens of clients. Define target concurrent users, OCR throughput, and release batch sizes; confirm with real pilot-firm numbers. ERP Sync v1: hundreds of AP invoice lines per client per month via listing import; 2,000+ invoices/month at a large client sizes the Phase 2 connector.</w:t>
            </w:r>
          </w:p>
        </w:tc>
      </w:tr>
      <w:tr>
        <w:tc>
          <w:tcPr>
            <w:tcW w:type="dxa" w:w="2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Availability &amp; intake durability</w:t>
            </w:r>
          </w:p>
        </w:tc>
        <w:tc>
          <w:tcPr>
            <w:tcW w:type="dxa" w:w="697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Business-hours availability target (suggest 99.5% initially). WhatsApp and email intake must buffer asynchronously during downtime — target 99.9% message durability; intake is never lost, only delayed.</w:t>
            </w:r>
          </w:p>
        </w:tc>
      </w:tr>
      <w:tr>
        <w:tc>
          <w:tcPr>
            <w:tcW w:type="dxa" w:w="2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Data residency &amp; PDPA</w:t>
            </w:r>
          </w:p>
        </w:tc>
        <w:tc>
          <w:tcPr>
            <w:tcW w:type="dxa" w:w="697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Decide hosting region (Malaysia residency likely expected by banks and LHDN-adjacent use) — D7. PDPA: consent basis for claimant phone numbers, subject access, deletion vs audit immutability resolved per D6 (crypto-shredding proposed).</w:t>
            </w:r>
          </w:p>
        </w:tc>
      </w:tr>
      <w:tr>
        <w:tc>
          <w:tcPr>
            <w:tcW w:type="dxa" w:w="2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Security &amp; RMiT</w:t>
            </w:r>
          </w:p>
        </w:tc>
        <w:tc>
          <w:tcPr>
            <w:tcW w:type="dxa" w:w="697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Produce an actual BNM RMiT control mapping. Encryption at rest/in transit, key management for the hash chain, penetration test before Phase 1 go-live, audit logging of admin actions.</w:t>
            </w:r>
          </w:p>
        </w:tc>
      </w:tr>
      <w:tr>
        <w:tc>
          <w:tcPr>
            <w:tcW w:type="dxa" w:w="2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Certifications claimed</w:t>
            </w:r>
          </w:p>
        </w:tc>
        <w:tc>
          <w:tcPr>
            <w:tcW w:type="dxa" w:w="697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ISO 27001 and ISAE 3410 readiness are stated in marketing. Decide which are genuinely committed for v1 (D11) and budget certification effort separately from the build.</w:t>
            </w:r>
          </w:p>
        </w:tc>
      </w:tr>
      <w:tr>
        <w:tc>
          <w:tcPr>
            <w:tcW w:type="dxa" w:w="2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OCR quality bar</w:t>
            </w:r>
          </w:p>
        </w:tc>
        <w:tc>
          <w:tcPr>
            <w:tcW w:type="dxa" w:w="697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Contract a measurable threshold after the D4 bake-off. Working targets pending measurement: ≥95% field-level accuracy on the pilot corpus for core fields (amount, date, vendor, volume) at ≥0.9 confidence; 100% of low-confidence extractions routed to human review. These numbers are targets, not commitments, until the bake-off measures them. Do not accept "AI-powered OCR" as a requirement.</w:t>
            </w:r>
          </w:p>
        </w:tc>
      </w:tr>
      <w:tr>
        <w:tc>
          <w:tcPr>
            <w:tcW w:type="dxa" w:w="2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Retention</w:t>
            </w:r>
          </w:p>
        </w:tc>
        <w:tc>
          <w:tcPr>
            <w:tcW w:type="dxa" w:w="697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7-year financial record retention (LHDN); archival tier; evidence pack regenerability across the full period.</w:t>
            </w:r>
          </w:p>
        </w:tc>
      </w:tr>
      <w:tr>
        <w:tc>
          <w:tcPr>
            <w:tcW w:type="dxa" w:w="2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Localisation</w:t>
            </w:r>
          </w:p>
        </w:tc>
        <w:tc>
          <w:tcPr>
            <w:tcW w:type="dxa" w:w="697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BM and English at minimum for submitter-facing WhatsApp messages; UI language scope for v1.</w:t>
            </w:r>
          </w:p>
        </w:tc>
      </w:tr>
    </w:tbl>
    <w:p>
      <w:pPr>
        <w:pStyle w:val="Heading1"/>
      </w:pPr>
      <w:r>
        <w:t xml:space="preserve">10. Decision register</w:t>
      </w:r>
    </w:p>
    <w:p>
      <w:pPr>
        <w:spacing w:after="120"/>
      </w:pPr>
      <w:r>
        <w:rPr>
          <w:b w:val="false"/>
          <w:bCs w:val="false"/>
          <w:i w:val="false"/>
          <w:iCs w:val="false"/>
        </w:rPr>
        <w:t xml:space="preserve">Every OPEN row needs an owner and a written answer before a build contract is signed. Unanswered rows are unpriceable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226"/>
        <w:gridCol w:w="1700"/>
        <w:gridCol w:w="2400"/>
      </w:tblGrid>
      <w:tr>
        <w:trPr>
          <w:tblHeader/>
        </w:trPr>
        <w:tc>
          <w:tcPr>
            <w:tcW w:type="dxa" w:w="700"/>
            <w:tcBorders>
              <w:top w:val="single" w:color="BBBBBB" w:sz="1"/>
              <w:left w:val="single" w:color="BBBBBB" w:sz="1"/>
              <w:bottom w:val="single" w:color="BBBBBB" w:sz="1"/>
              <w:right w:val="single" w:color="BBBBBB" w:sz="1"/>
            </w:tcBorders>
            <w:shd w:fill="e8f0ea" w:val="clear"/>
            <w:tcMar>
              <w:top w:type="dxa" w:w="70"/>
              <w:left w:type="dxa" w:w="110"/>
              <w:bottom w:type="dxa" w:w="70"/>
              <w:right w:type="dxa" w:w="110"/>
            </w:tcMar>
          </w:tcPr>
          <w:p>
            <w:pPr>
              <w:spacing w:after="40"/>
            </w:pPr>
            <w:r>
              <w:rPr>
                <w:b/>
                <w:bCs/>
                <w:sz w:val="19"/>
                <w:szCs w:val="19"/>
              </w:rPr>
              <w:t xml:space="preserve">#</w:t>
            </w:r>
          </w:p>
        </w:tc>
        <w:tc>
          <w:tcPr>
            <w:tcW w:type="dxa" w:w="4226"/>
            <w:tcBorders>
              <w:top w:val="single" w:color="BBBBBB" w:sz="1"/>
              <w:left w:val="single" w:color="BBBBBB" w:sz="1"/>
              <w:bottom w:val="single" w:color="BBBBBB" w:sz="1"/>
              <w:right w:val="single" w:color="BBBBBB" w:sz="1"/>
            </w:tcBorders>
            <w:shd w:fill="e8f0ea" w:val="clear"/>
            <w:tcMar>
              <w:top w:type="dxa" w:w="70"/>
              <w:left w:type="dxa" w:w="110"/>
              <w:bottom w:type="dxa" w:w="70"/>
              <w:right w:type="dxa" w:w="110"/>
            </w:tcMar>
          </w:tcPr>
          <w:p>
            <w:pPr>
              <w:spacing w:after="40"/>
            </w:pPr>
            <w:r>
              <w:rPr>
                <w:b/>
                <w:bCs/>
                <w:sz w:val="19"/>
                <w:szCs w:val="19"/>
              </w:rPr>
              <w:t xml:space="preserve">Decision</w:t>
            </w:r>
          </w:p>
        </w:tc>
        <w:tc>
          <w:tcPr>
            <w:tcW w:type="dxa" w:w="1700"/>
            <w:tcBorders>
              <w:top w:val="single" w:color="BBBBBB" w:sz="1"/>
              <w:left w:val="single" w:color="BBBBBB" w:sz="1"/>
              <w:bottom w:val="single" w:color="BBBBBB" w:sz="1"/>
              <w:right w:val="single" w:color="BBBBBB" w:sz="1"/>
            </w:tcBorders>
            <w:shd w:fill="e8f0ea" w:val="clear"/>
            <w:tcMar>
              <w:top w:type="dxa" w:w="70"/>
              <w:left w:type="dxa" w:w="110"/>
              <w:bottom w:type="dxa" w:w="70"/>
              <w:right w:type="dxa" w:w="110"/>
            </w:tcMar>
          </w:tcPr>
          <w:p>
            <w:pPr>
              <w:spacing w:after="40"/>
            </w:pPr>
            <w:r>
              <w:rPr>
                <w:b/>
                <w:bCs/>
                <w:sz w:val="19"/>
                <w:szCs w:val="19"/>
              </w:rPr>
              <w:t xml:space="preserve">Owner / forum</w:t>
            </w:r>
          </w:p>
        </w:tc>
        <w:tc>
          <w:tcPr>
            <w:tcW w:type="dxa" w:w="2400"/>
            <w:tcBorders>
              <w:top w:val="single" w:color="BBBBBB" w:sz="1"/>
              <w:left w:val="single" w:color="BBBBBB" w:sz="1"/>
              <w:bottom w:val="single" w:color="BBBBBB" w:sz="1"/>
              <w:right w:val="single" w:color="BBBBBB" w:sz="1"/>
            </w:tcBorders>
            <w:shd w:fill="e8f0ea" w:val="clear"/>
            <w:tcMar>
              <w:top w:type="dxa" w:w="70"/>
              <w:left w:type="dxa" w:w="110"/>
              <w:bottom w:type="dxa" w:w="70"/>
              <w:right w:type="dxa" w:w="110"/>
            </w:tcMar>
          </w:tcPr>
          <w:p>
            <w:pPr>
              <w:spacing w:after="40"/>
            </w:pPr>
            <w:r>
              <w:rPr>
                <w:b/>
                <w:bCs/>
                <w:sz w:val="19"/>
                <w:szCs w:val="19"/>
              </w:rPr>
              <w:t xml:space="preserve">Status — 12 Jun 2026</w:t>
            </w:r>
          </w:p>
        </w:tc>
      </w:tr>
      <w:tr>
        <w:tc>
          <w:tcPr>
            <w:tcW w:type="dxa" w:w="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D1</w:t>
            </w:r>
          </w:p>
        </w:tc>
        <w:tc>
          <w:tcPr>
            <w:tcW w:type="dxa" w:w="42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MVP boundary.</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Product owner</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ANSWERED: v1 = OneCapture Hub + e-Claim. Free Claims tier deferred to Phase 4 review.</w:t>
            </w:r>
          </w:p>
        </w:tc>
      </w:tr>
      <w:tr>
        <w:tc>
          <w:tcPr>
            <w:tcW w:type="dxa" w:w="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D2</w:t>
            </w:r>
          </w:p>
        </w:tc>
        <w:tc>
          <w:tcPr>
            <w:tcW w:type="dxa" w:w="42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ERP scope.</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Product owner + first Phase-3 client</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ANSWERED for v1: no ERP posting in v1; ERP Sync reads via listing import. SAP B1 Service Layer read connector in Phase 2 (read mode per client = D13); posting + deployment model decided at Phase 3.</w:t>
            </w:r>
          </w:p>
        </w:tc>
      </w:tr>
      <w:tr>
        <w:tc>
          <w:tcPr>
            <w:tcW w:type="dxa" w:w="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D3</w:t>
            </w:r>
          </w:p>
        </w:tc>
        <w:tc>
          <w:tcPr>
            <w:tcW w:type="dxa" w:w="42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WhatsApp architecture: BSP choice, number-per-client vs shared, who bears per-message cost.</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Product + finance</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OPEN</w:t>
            </w:r>
          </w:p>
        </w:tc>
      </w:tr>
      <w:tr>
        <w:tc>
          <w:tcPr>
            <w:tcW w:type="dxa" w:w="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D4</w:t>
            </w:r>
          </w:p>
        </w:tc>
        <w:tc>
          <w:tcPr>
            <w:tcW w:type="dxa" w:w="42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OCR vendor, selected by bake-off on a real 500-document Malaysian corpus.</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Engineering lead</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OPEN — corpus collection to start now</w:t>
            </w:r>
          </w:p>
        </w:tc>
      </w:tr>
      <w:tr>
        <w:tc>
          <w:tcPr>
            <w:tcW w:type="dxa" w:w="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D5</w:t>
            </w:r>
          </w:p>
        </w:tc>
        <w:tc>
          <w:tcPr>
            <w:tcW w:type="dxa" w:w="42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Assurance partner sign-off of audit-chain design (hash chain, TSA, SoD, irreversible release).</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Audit/assurance partner</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OPEN — BLOCKER, before build</w:t>
            </w:r>
          </w:p>
        </w:tc>
      </w:tr>
      <w:tr>
        <w:tc>
          <w:tcPr>
            <w:tcW w:type="dxa" w:w="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D6</w:t>
            </w:r>
          </w:p>
        </w:tc>
        <w:tc>
          <w:tcPr>
            <w:tcW w:type="dxa" w:w="42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PDPA deletion vs immutable chain: chosen technical resolution.</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Legal + engineering</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OPEN — crypto-shredding proposed</w:t>
            </w:r>
          </w:p>
        </w:tc>
      </w:tr>
      <w:tr>
        <w:tc>
          <w:tcPr>
            <w:tcW w:type="dxa" w:w="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D7</w:t>
            </w:r>
          </w:p>
        </w:tc>
        <w:tc>
          <w:tcPr>
            <w:tcW w:type="dxa" w:w="42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Hosting region and data residency commitment.</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Management</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OPEN — Malaysia residency expected</w:t>
            </w:r>
          </w:p>
        </w:tc>
      </w:tr>
      <w:tr>
        <w:tc>
          <w:tcPr>
            <w:tcW w:type="dxa" w:w="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D8</w:t>
            </w:r>
          </w:p>
        </w:tc>
        <w:tc>
          <w:tcPr>
            <w:tcW w:type="dxa" w:w="42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Build vs buy for OCR review UI, notification infrastructure, and evidence-pack PDF generation.</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Engineering lead</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OPEN</w:t>
            </w:r>
          </w:p>
        </w:tc>
      </w:tr>
      <w:tr>
        <w:tc>
          <w:tcPr>
            <w:tcW w:type="dxa" w:w="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D9</w:t>
            </w:r>
          </w:p>
        </w:tc>
        <w:tc>
          <w:tcPr>
            <w:tcW w:type="dxa" w:w="42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Pilot firm and pilot client named and committed for Phase 1 acceptance.</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Management / channel</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OPEN</w:t>
            </w:r>
          </w:p>
        </w:tc>
      </w:tr>
      <w:tr>
        <w:tc>
          <w:tcPr>
            <w:tcW w:type="dxa" w:w="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D10</w:t>
            </w:r>
          </w:p>
        </w:tc>
        <w:tc>
          <w:tcPr>
            <w:tcW w:type="dxa" w:w="42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OneCapture pricing confirmed against measured cost. The v1 price is carried by ERP-read carbon automation (ERP Sync) + capture automation + the audit chain; ERP posting remains Phase 3.</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Management</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OPEN — materially improved by ERP Sync ("read your ERP — nobody types twice")</w:t>
            </w:r>
          </w:p>
        </w:tc>
      </w:tr>
      <w:tr>
        <w:tc>
          <w:tcPr>
            <w:tcW w:type="dxa" w:w="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D11</w:t>
            </w:r>
          </w:p>
        </w:tc>
        <w:tc>
          <w:tcPr>
            <w:tcW w:type="dxa" w:w="42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Which compliance claims (ISAE 3410, ISO 27001, RMiT) are contractual v1 commitments vs roadmap.</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Management + legal</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OPEN</w:t>
            </w:r>
          </w:p>
        </w:tc>
      </w:tr>
      <w:tr>
        <w:tc>
          <w:tcPr>
            <w:tcW w:type="dxa" w:w="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D12</w:t>
            </w:r>
          </w:p>
        </w:tc>
        <w:tc>
          <w:tcPr>
            <w:tcW w:type="dxa" w:w="42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In-house build vs outsourced vendor; if outsourced: IP ownership, escrow, handover terms.</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Management</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OPEN</w:t>
            </w:r>
          </w:p>
        </w:tc>
      </w:tr>
      <w:tr>
        <w:tc>
          <w:tcPr>
            <w:tcW w:type="dxa" w:w="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D13</w:t>
            </w:r>
          </w:p>
        </w:tc>
        <w:tc>
          <w:tcPr>
            <w:tcW w:type="dxa" w:w="42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Per-client ERP read connectivity for ERP Sync: listing template vs Service Layer connector vs read agent — decided at client onboarding.</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Onboarding + engineering</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OPEN — default = listing template</w:t>
            </w:r>
          </w:p>
        </w:tc>
      </w:tr>
      <w:tr>
        <w:tc>
          <w:tcPr>
            <w:tcW w:type="dxa" w:w="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D14</w:t>
            </w:r>
          </w:p>
        </w:tc>
        <w:tc>
          <w:tcPr>
            <w:tcW w:type="dxa" w:w="42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Spend-based emission factor set (EEIO) for missing-quantity lines, and the data-quality flagging policy.</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Carbon lead</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OPEN</w:t>
            </w:r>
          </w:p>
        </w:tc>
      </w:tr>
      <w:tr>
        <w:tc>
          <w:tcPr>
            <w:tcW w:type="dxa" w:w="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D15</w:t>
            </w:r>
          </w:p>
        </w:tc>
        <w:tc>
          <w:tcPr>
            <w:tcW w:type="dxa" w:w="42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Category ownership matrix defaults (e-Claim vs ERP Sync) to prevent double counting; per-client overrides allowed.</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Carbon lead + product</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OPEN — defaults drafted in prototype</w:t>
            </w:r>
          </w:p>
        </w:tc>
      </w:tr>
      <w:tr>
        <w:tc>
          <w:tcPr>
            <w:tcW w:type="dxa" w:w="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D16</w:t>
            </w:r>
          </w:p>
        </w:tc>
        <w:tc>
          <w:tcPr>
            <w:tcW w:type="dxa" w:w="42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MyInvois e-invoice API as a standardised invoice source: coverage of the client base and API access timeline.</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Product + engineering</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OPEN — evaluation</w:t>
            </w:r>
          </w:p>
        </w:tc>
      </w:tr>
    </w:tbl>
    <w:p>
      <w:pPr>
        <w:pStyle w:val="Heading1"/>
      </w:pPr>
      <w:r>
        <w:t xml:space="preserve">11. Acceptance criteria framework</w:t>
      </w:r>
    </w:p>
    <w:p>
      <w:pPr>
        <w:spacing w:after="120"/>
      </w:pPr>
      <w:r>
        <w:rPr>
          <w:b w:val="false"/>
          <w:bCs w:val="false"/>
          <w:i w:val="false"/>
          <w:iCs w:val="false"/>
        </w:rPr>
        <w:t xml:space="preserve">Acceptance is defined per workflow and must include the unhappy paths. Minimum acceptance set for Phase 1 (Hub + e-Claim + ERP Sync import mode):</w:t>
      </w:r>
    </w:p>
    <w:p>
      <w:pPr>
        <w:pStyle w:val="ListParagraph"/>
        <w:numPr>
          <w:ilvl w:val="0"/>
          <w:numId w:val="2"/>
        </w:numPr>
        <w:spacing w:after="80"/>
      </w:pPr>
      <w:r>
        <w:rPr>
          <w:b/>
          <w:bCs/>
        </w:rPr>
        <w:t xml:space="preserve">End-to-end:</w:t>
      </w:r>
      <w:r>
        <w:t xml:space="preserve"> a real receipt photographed and sent by WhatsApp from a registered claimant appears in the review/approval queue within 60 seconds with correct OCR fields, and after multi-tier approval and release appears in the Carbon Next ledger with a verifiable hash chain back to the image.</w:t>
      </w:r>
    </w:p>
    <w:p>
      <w:pPr>
        <w:pStyle w:val="ListParagraph"/>
        <w:numPr>
          <w:ilvl w:val="0"/>
          <w:numId w:val="2"/>
        </w:numPr>
        <w:spacing w:after="80"/>
      </w:pPr>
      <w:r>
        <w:rPr>
          <w:b/>
          <w:bCs/>
        </w:rPr>
        <w:t xml:space="preserve">Carbon Next reconciliation:</w:t>
      </w:r>
      <w:r>
        <w:t xml:space="preserve"> 100% of released emission entries reconcile between OneCapture release batches and the Carbon Next ledger for the pilot month; an induced double-send is suppressed by the idempotency key.</w:t>
      </w:r>
    </w:p>
    <w:p>
      <w:pPr>
        <w:pStyle w:val="ListParagraph"/>
        <w:numPr>
          <w:ilvl w:val="0"/>
          <w:numId w:val="2"/>
        </w:numPr>
        <w:spacing w:after="80"/>
      </w:pPr>
      <w:r>
        <w:rPr>
          <w:b/>
          <w:bCs/>
        </w:rPr>
        <w:t xml:space="preserve">Unknown sender:</w:t>
      </w:r>
      <w:r>
        <w:t xml:space="preserve"> a WhatsApp message from a number not in the claimants master is quarantined, not silently dropped, and surfaced to the firm.</w:t>
      </w:r>
    </w:p>
    <w:p>
      <w:pPr>
        <w:pStyle w:val="ListParagraph"/>
        <w:numPr>
          <w:ilvl w:val="0"/>
          <w:numId w:val="2"/>
        </w:numPr>
        <w:spacing w:after="80"/>
      </w:pPr>
      <w:r>
        <w:rPr>
          <w:b/>
          <w:bCs/>
        </w:rPr>
        <w:t xml:space="preserve">Duplicate:</w:t>
      </w:r>
      <w:r>
        <w:t xml:space="preserve"> the same receipt submitted twice is flagged before approval.</w:t>
      </w:r>
    </w:p>
    <w:p>
      <w:pPr>
        <w:pStyle w:val="ListParagraph"/>
        <w:numPr>
          <w:ilvl w:val="0"/>
          <w:numId w:val="2"/>
        </w:numPr>
        <w:spacing w:after="80"/>
      </w:pPr>
      <w:r>
        <w:rPr>
          <w:b/>
          <w:bCs/>
        </w:rPr>
        <w:t xml:space="preserve">Send-back:</w:t>
      </w:r>
      <w:r>
        <w:t xml:space="preserve"> an approver returns a claim with a reason; the submitter receives the WhatsApp notification and can resubmit; the audit trail shows both versions.</w:t>
      </w:r>
    </w:p>
    <w:p>
      <w:pPr>
        <w:pStyle w:val="ListParagraph"/>
        <w:numPr>
          <w:ilvl w:val="0"/>
          <w:numId w:val="2"/>
        </w:numPr>
        <w:spacing w:after="80"/>
      </w:pPr>
      <w:r>
        <w:rPr>
          <w:b/>
          <w:bCs/>
        </w:rPr>
        <w:t xml:space="preserve">Low-confidence OCR:</w:t>
      </w:r>
      <w:r>
        <w:t xml:space="preserve"> a faded thermal receipt routes to manual review rather than auto-populating wrong values.</w:t>
      </w:r>
    </w:p>
    <w:p>
      <w:pPr>
        <w:pStyle w:val="ListParagraph"/>
        <w:numPr>
          <w:ilvl w:val="0"/>
          <w:numId w:val="2"/>
        </w:numPr>
        <w:spacing w:after="80"/>
      </w:pPr>
      <w:r>
        <w:rPr>
          <w:b/>
          <w:bCs/>
        </w:rPr>
        <w:t xml:space="preserve">Multi-tier + SoD:</w:t>
      </w:r>
      <w:r>
        <w:t xml:space="preserve"> approval routing honours configured thresholds including boundary amounts; submitter-equals-approver is blocked at the API, not just hidden in the UI.</w:t>
      </w:r>
    </w:p>
    <w:p>
      <w:pPr>
        <w:pStyle w:val="ListParagraph"/>
        <w:numPr>
          <w:ilvl w:val="0"/>
          <w:numId w:val="2"/>
        </w:numPr>
        <w:spacing w:after="80"/>
      </w:pPr>
      <w:r>
        <w:rPr>
          <w:b/>
          <w:bCs/>
        </w:rPr>
        <w:t xml:space="preserve">TSA outage:</w:t>
      </w:r>
      <w:r>
        <w:t xml:space="preserve"> releases during a simulated TSA outage behave exactly as agreed with the assurance partner (queue or block), and the audit chain remains verifiable afterwards.</w:t>
      </w:r>
    </w:p>
    <w:p>
      <w:pPr>
        <w:pStyle w:val="ListParagraph"/>
        <w:numPr>
          <w:ilvl w:val="0"/>
          <w:numId w:val="2"/>
        </w:numPr>
        <w:spacing w:after="80"/>
      </w:pPr>
      <w:r>
        <w:rPr>
          <w:b/>
          <w:bCs/>
        </w:rPr>
        <w:t xml:space="preserve">Irreversibility:</w:t>
      </w:r>
      <w:r>
        <w:t xml:space="preserve"> a released batch cannot be edited by any role, including Partner; correction is by reversing entry with full trail.</w:t>
      </w:r>
    </w:p>
    <w:p>
      <w:pPr>
        <w:pStyle w:val="ListParagraph"/>
        <w:numPr>
          <w:ilvl w:val="0"/>
          <w:numId w:val="2"/>
        </w:numPr>
        <w:spacing w:after="80"/>
      </w:pPr>
      <w:r>
        <w:rPr>
          <w:b/>
          <w:bCs/>
        </w:rPr>
        <w:t xml:space="preserve">Tenancy isolation:</w:t>
      </w:r>
      <w:r>
        <w:t xml:space="preserve"> an approver at client A can never retrieve client B data — verified by automated tests, not inspection.</w:t>
      </w:r>
    </w:p>
    <w:p>
      <w:pPr>
        <w:pStyle w:val="ListParagraph"/>
        <w:numPr>
          <w:ilvl w:val="0"/>
          <w:numId w:val="2"/>
        </w:numPr>
        <w:spacing w:after="80"/>
      </w:pPr>
      <w:r>
        <w:rPr>
          <w:b/>
          <w:bCs/>
        </w:rPr>
        <w:t xml:space="preserve">Export &amp; evidence pack:</w:t>
      </w:r>
      <w:r>
        <w:t xml:space="preserve"> CSV export totals tie to released batch totals; an evidence pack regenerated for a closed period matches the original.</w:t>
      </w:r>
    </w:p>
    <w:p>
      <w:pPr>
        <w:pStyle w:val="ListParagraph"/>
        <w:numPr>
          <w:ilvl w:val="0"/>
          <w:numId w:val="2"/>
        </w:numPr>
        <w:spacing w:after="80"/>
      </w:pPr>
      <w:r>
        <w:rPr>
          <w:b/>
          <w:bCs/>
        </w:rPr>
        <w:t xml:space="preserve">ERP Sync import:</w:t>
      </w:r>
      <w:r>
        <w:t xml:space="preserve"> one month of a real SAP B1 AP listing imports cleanly; the auto-map rate is measured (the contracted target is set from pilot data, not assumed); every unmapped or missing-quantity line lands in the review queue; re-importing the same file produces zero duplicates.</w:t>
      </w:r>
    </w:p>
    <w:p>
      <w:pPr>
        <w:pStyle w:val="ListParagraph"/>
        <w:numPr>
          <w:ilvl w:val="0"/>
          <w:numId w:val="2"/>
        </w:numPr>
        <w:spacing w:after="80"/>
      </w:pPr>
      <w:r>
        <w:rPr>
          <w:b/>
          <w:bCs/>
        </w:rPr>
        <w:t xml:space="preserve">Cross-channel dedup:</w:t>
      </w:r>
      <w:r>
        <w:t xml:space="preserve"> a fuel invoice planted in both the AP listing and an e-Claim submission is caught by the dedup guard before release.</w:t>
      </w:r>
    </w:p>
    <w:p>
      <w:pPr>
        <w:pStyle w:val="ListParagraph"/>
        <w:numPr>
          <w:ilvl w:val="0"/>
          <w:numId w:val="2"/>
        </w:numPr>
        <w:spacing w:after="80"/>
      </w:pPr>
      <w:r>
        <w:rPr>
          <w:b/>
          <w:bCs/>
        </w:rPr>
        <w:t xml:space="preserve">Coverage tie-out:</w:t>
      </w:r>
      <w:r>
        <w:t xml:space="preserve"> the coverage report ties out against ERP GL totals for the carbon-relevant accounts; the held-back list appears in the evidence pack so completeness is visible, not just what was posted.</w:t>
      </w:r>
    </w:p>
    <w:p>
      <w:pPr>
        <w:spacing w:after="120"/>
      </w:pPr>
      <w:r>
        <w:rPr>
          <w:b w:val="false"/>
          <w:bCs w:val="false"/>
          <w:i w:val="false"/>
          <w:iCs w:val="false"/>
        </w:rPr>
        <w:t xml:space="preserve">Phase 3 adds, at minimum: dual-post atomicity under induced SAP B1 failure; 100% monthly reconciliation between posted journals and the ERP; LHDN tax-audit pack regenerated for a closed period matches the original.</w:t>
      </w:r>
    </w:p>
    <w:p>
      <w:pPr>
        <w:pStyle w:val="Heading1"/>
      </w:pPr>
      <w:r>
        <w:t xml:space="preserve">12.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tcBorders>
              <w:top w:val="single" w:color="BBBBBB" w:sz="1"/>
              <w:left w:val="single" w:color="BBBBBB" w:sz="1"/>
              <w:bottom w:val="single" w:color="BBBBBB" w:sz="1"/>
              <w:right w:val="single" w:color="BBBBBB" w:sz="1"/>
            </w:tcBorders>
            <w:shd w:fill="e8f0ea" w:val="clear"/>
            <w:tcMar>
              <w:top w:type="dxa" w:w="70"/>
              <w:left w:type="dxa" w:w="110"/>
              <w:bottom w:type="dxa" w:w="70"/>
              <w:right w:type="dxa" w:w="110"/>
            </w:tcMar>
          </w:tcPr>
          <w:p>
            <w:pPr>
              <w:spacing w:after="40"/>
            </w:pPr>
            <w:r>
              <w:rPr>
                <w:b/>
                <w:bCs/>
                <w:sz w:val="19"/>
                <w:szCs w:val="19"/>
              </w:rPr>
              <w:t xml:space="preserve">Risk</w:t>
            </w:r>
          </w:p>
        </w:tc>
        <w:tc>
          <w:tcPr>
            <w:tcW w:type="dxa" w:w="2800"/>
            <w:tcBorders>
              <w:top w:val="single" w:color="BBBBBB" w:sz="1"/>
              <w:left w:val="single" w:color="BBBBBB" w:sz="1"/>
              <w:bottom w:val="single" w:color="BBBBBB" w:sz="1"/>
              <w:right w:val="single" w:color="BBBBBB" w:sz="1"/>
            </w:tcBorders>
            <w:shd w:fill="e8f0ea" w:val="clear"/>
            <w:tcMar>
              <w:top w:type="dxa" w:w="70"/>
              <w:left w:type="dxa" w:w="110"/>
              <w:bottom w:type="dxa" w:w="70"/>
              <w:right w:type="dxa" w:w="110"/>
            </w:tcMar>
          </w:tcPr>
          <w:p>
            <w:pPr>
              <w:spacing w:after="40"/>
            </w:pPr>
            <w:r>
              <w:rPr>
                <w:b/>
                <w:bCs/>
                <w:sz w:val="19"/>
                <w:szCs w:val="19"/>
              </w:rPr>
              <w:t xml:space="preserve">Impact</w:t>
            </w:r>
          </w:p>
        </w:tc>
        <w:tc>
          <w:tcPr>
            <w:tcW w:type="dxa" w:w="3826"/>
            <w:tcBorders>
              <w:top w:val="single" w:color="BBBBBB" w:sz="1"/>
              <w:left w:val="single" w:color="BBBBBB" w:sz="1"/>
              <w:bottom w:val="single" w:color="BBBBBB" w:sz="1"/>
              <w:right w:val="single" w:color="BBBBBB" w:sz="1"/>
            </w:tcBorders>
            <w:shd w:fill="e8f0ea" w:val="clear"/>
            <w:tcMar>
              <w:top w:type="dxa" w:w="70"/>
              <w:left w:type="dxa" w:w="110"/>
              <w:bottom w:type="dxa" w:w="70"/>
              <w:right w:type="dxa" w:w="110"/>
            </w:tcMar>
          </w:tcPr>
          <w:p>
            <w:pPr>
              <w:spacing w:after="40"/>
            </w:pPr>
            <w:r>
              <w:rPr>
                <w:b/>
                <w:bCs/>
                <w:sz w:val="19"/>
                <w:szCs w:val="19"/>
              </w:rPr>
              <w:t xml:space="preserve">Mitigation</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OCR accuracy on real Malaysian receipts below demo expectations</w:t>
            </w:r>
          </w:p>
        </w:tc>
        <w:tc>
          <w:tcPr>
            <w:tcW w:type="dxa" w:w="2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Manual review load destroys the time-savings value proposition</w:t>
            </w:r>
          </w:p>
        </w:tc>
        <w:tc>
          <w:tcPr>
            <w:tcW w:type="dxa" w:w="38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Phase 0 bake-off on a real corpus; contract a measurable accuracy bar after measurement; design the human-review queue as a first-class feature</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WhatsApp platform dependency (Meta policy, template approvals, pricing changes)</w:t>
            </w:r>
          </w:p>
        </w:tc>
        <w:tc>
          <w:tcPr>
            <w:tcW w:type="dxa" w:w="2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Primary intake channel throttled or cost structure changes</w:t>
            </w:r>
          </w:p>
        </w:tc>
        <w:tc>
          <w:tcPr>
            <w:tcW w:type="dxa" w:w="38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Email and upload channels at parity from day one; BSP contract review; monitor per-message economics (D3)</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v1 price defensibility</w:t>
            </w:r>
          </w:p>
        </w:tc>
        <w:tc>
          <w:tcPr>
            <w:tcW w:type="dxa" w:w="2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Channel pushback; discounting erodes the model before Phase 3 lands</w:t>
            </w:r>
          </w:p>
        </w:tc>
        <w:tc>
          <w:tcPr>
            <w:tcW w:type="dxa" w:w="38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Substantially mitigated by ERP Sync: "we read your ERP — nobody types twice." D10 cost model still required; Phase 3 posting roadmap contractually visible</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Double counting across e-Claim and ERP Sync</w:t>
            </w:r>
          </w:p>
        </w:tc>
        <w:tc>
          <w:tcPr>
            <w:tcW w:type="dxa" w:w="2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Overstated inventory; assurance findings</w:t>
            </w:r>
          </w:p>
        </w:tc>
        <w:tc>
          <w:tcPr>
            <w:tcW w:type="dxa" w:w="38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Category ownership matrix (D15) + cross-channel document-number dedup; planted-duplicate acceptance test</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Spend-based factor credibility on missing-quantity lines</w:t>
            </w:r>
          </w:p>
        </w:tc>
        <w:tc>
          <w:tcPr>
            <w:tcW w:type="dxa" w:w="2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Auditor challenges EEIO-derived figures</w:t>
            </w:r>
          </w:p>
        </w:tc>
        <w:tc>
          <w:tcPr>
            <w:tcW w:type="dxa" w:w="38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Data-quality flag on every spend-based entry; factor source documented (D14); review queue can supply quantities</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ERP listing data quality (garbage in)</w:t>
            </w:r>
          </w:p>
        </w:tc>
        <w:tc>
          <w:tcPr>
            <w:tcW w:type="dxa" w:w="2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Wrong mappings or coverage gaps undermine the inventory</w:t>
            </w:r>
          </w:p>
        </w:tc>
        <w:tc>
          <w:tcPr>
            <w:tcW w:type="dxa" w:w="38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Validation report on import; reconciliation tie-out vs ERP GL totals; the coverage metric exposes gaps instead of hiding them</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Free-tier promise drift — earlier materials describe Claims as free inside Carbon Next</w:t>
            </w:r>
          </w:p>
        </w:tc>
        <w:tc>
          <w:tcPr>
            <w:tcW w:type="dxa" w:w="2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Channel or client expects the free tier; undercuts v1 licence</w:t>
            </w:r>
          </w:p>
        </w:tc>
        <w:tc>
          <w:tcPr>
            <w:tcW w:type="dxa" w:w="38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Update the System Overview and all sales materials before client conversations; Claims prototype carries a deferral ribbon; revisit at Phase 4</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Assurance partner rejects audit-chain design after build</w:t>
            </w:r>
          </w:p>
        </w:tc>
        <w:tc>
          <w:tcPr>
            <w:tcW w:type="dxa" w:w="2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Core architecture rework; compliance claims withdrawn</w:t>
            </w:r>
          </w:p>
        </w:tc>
        <w:tc>
          <w:tcPr>
            <w:tcW w:type="dxa" w:w="38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D5: written sign-off before build; engage the partner in Phase 0</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Scope creep from the four-ERP promise and AR module</w:t>
            </w:r>
          </w:p>
        </w:tc>
        <w:tc>
          <w:tcPr>
            <w:tcW w:type="dxa" w:w="2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Budget and schedule overrun; nothing ships well</w:t>
            </w:r>
          </w:p>
        </w:tc>
        <w:tc>
          <w:tcPr>
            <w:tcW w:type="dxa" w:w="38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Scope contract in Section 4; ERP additions are client-funded Phase 3/4 options</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PDPA deletion vs immutability unresolved</w:t>
            </w:r>
          </w:p>
        </w:tc>
        <w:tc>
          <w:tcPr>
            <w:tcW w:type="dxa" w:w="2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Legal exposure or audit-chain compromise</w:t>
            </w:r>
          </w:p>
        </w:tc>
        <w:tc>
          <w:tcPr>
            <w:tcW w:type="dxa" w:w="38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D6 resolved in design phase with legal review (crypto-shredding proposed)</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Single pilot dependency</w:t>
            </w:r>
          </w:p>
        </w:tc>
        <w:tc>
          <w:tcPr>
            <w:tcW w:type="dxa" w:w="2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Acceptance criteria untestable without a committed firm/client</w:t>
            </w:r>
          </w:p>
        </w:tc>
        <w:tc>
          <w:tcPr>
            <w:tcW w:type="dxa" w:w="38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D9: name pilot participants before contract signature</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Mockup treated as full specification by vendor</w:t>
            </w:r>
          </w:p>
        </w:tc>
        <w:tc>
          <w:tcPr>
            <w:tcW w:type="dxa" w:w="2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Vendor prices only the visible ~30%; disputes mid-project</w:t>
            </w:r>
          </w:p>
        </w:tc>
        <w:tc>
          <w:tcPr>
            <w:tcW w:type="dxa" w:w="38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This document attached to the contract; the missing-areas table (Section 6) explicitly priced; the English v1.2 governs over any summary or translation</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SAP B1 connectivity at Phase-3 clients (cloud vs on-premise)</w:t>
            </w:r>
          </w:p>
        </w:tc>
        <w:tc>
          <w:tcPr>
            <w:tcW w:type="dxa" w:w="2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Phase 3 dual-post blocked for on-prem clients</w:t>
            </w:r>
          </w:p>
        </w:tc>
        <w:tc>
          <w:tcPr>
            <w:tcW w:type="dxa" w:w="38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19"/>
                <w:szCs w:val="19"/>
              </w:rPr>
              <w:t xml:space="preserve">Deployment model decided per D2 against the first committed Phase-3 client; connector agent built only if that client needs it</w:t>
            </w:r>
          </w:p>
        </w:tc>
      </w:tr>
    </w:tbl>
    <w:p>
      <w:pPr>
        <w:spacing w:after="120"/>
      </w:pPr>
      <w:r>
        <w:rPr>
          <w:b w:val="false"/>
          <w:bCs w:val="false"/>
          <w:i w:val="false"/>
          <w:iCs w:val="false"/>
        </w:rPr>
        <w:t xml:space="preserve"/>
      </w:r>
    </w:p>
    <w:p>
      <w:pPr>
        <w:spacing w:after="120"/>
      </w:pPr>
      <w:r>
        <w:rPr>
          <w:b w:val="false"/>
          <w:bCs w:val="false"/>
          <w:i/>
          <w:iCs/>
          <w:color w:val="666666"/>
          <w:sz w:val="18"/>
          <w:szCs w:val="18"/>
        </w:rPr>
        <w:t xml:space="preserve">Prepared 12 June 2026. v1.2 supersedes v1.1 and v1.0 in full. This is a requirements baseline for internal decision-making and programmer handover; legal, tax, and audit positions should be confirmed with the respective professional advisers.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6"/>
        <w:szCs w:val="16"/>
      </w:rPr>
      <w:t xml:space="preserve">OneCapture Startup Requirements v1.2 — 12 Jun 2026</w:t>
    </w:r>
    <w:r>
      <w:rPr>
        <w:sz w:val="16"/>
        <w:szCs w:val="16"/>
      </w:rPr>
      <w:t xml:space="preserv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d4d36"/>
      <w:sz w:val="28"/>
      <w:szCs w:val="28"/>
    </w:rPr>
  </w:style>
  <w:style w:type="paragraph" w:styleId="Heading2">
    <w:name w:val="Heading 2"/>
    <w:basedOn w:val="Normal"/>
    <w:next w:val="Normal"/>
    <w:qFormat/>
    <w:pPr>
      <w:spacing w:after="120" w:before="2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2026-06-12T12:11:33.978Z</dcterms:created>
  <dcterms:modified xsi:type="dcterms:W3CDTF">2026-06-12T12:11:33.990Z</dcterms:modified>
</cp:coreProperties>
</file>

<file path=docProps/custom.xml><?xml version="1.0" encoding="utf-8"?>
<Properties xmlns="http://schemas.openxmlformats.org/officeDocument/2006/custom-properties" xmlns:vt="http://schemas.openxmlformats.org/officeDocument/2006/docPropsVTypes"/>
</file>