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9A31C" w14:textId="47A8E5C1" w:rsidR="005D5CD4" w:rsidRPr="00BE67F2" w:rsidRDefault="00BE67F2" w:rsidP="00BE67F2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E67F2">
        <w:rPr>
          <w:rFonts w:ascii="Times New Roman" w:hAnsi="Times New Roman" w:cs="Times New Roman"/>
          <w:b/>
          <w:bCs/>
          <w:sz w:val="26"/>
          <w:szCs w:val="26"/>
        </w:rPr>
        <w:t>Atividade Teoria das Organizações – Escola Contingencial</w:t>
      </w:r>
    </w:p>
    <w:p w14:paraId="6B3B9D56" w14:textId="096E6E48" w:rsidR="00BE67F2" w:rsidRDefault="00BE67F2" w:rsidP="00BE67F2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Francisco B. Queiroz</w:t>
      </w:r>
    </w:p>
    <w:p w14:paraId="6EF80D1A" w14:textId="541FBAD0" w:rsidR="00BE67F2" w:rsidRDefault="00BE67F2" w:rsidP="00BE67F2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16866166</w:t>
      </w:r>
    </w:p>
    <w:p w14:paraId="0FE84BCF" w14:textId="7270CB1A" w:rsidR="00BE67F2" w:rsidRPr="00BE67F2" w:rsidRDefault="00BE67F2" w:rsidP="00BE67F2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67F2">
        <w:rPr>
          <w:rFonts w:ascii="Times New Roman" w:hAnsi="Times New Roman" w:cs="Times New Roman"/>
          <w:sz w:val="24"/>
          <w:szCs w:val="24"/>
        </w:rPr>
        <w:t xml:space="preserve">A estratégia de crescimento agressivo da Agência GANA, que visa atingir 30% do mercado de Sertãozinho e um lucro líquido de R$ 500 mil até 2032, exige uma reconfiguração de sua estrutura para superar gargalos internos. Atualmente, a empresa enfrenta "pontos fracos" críticos, como dificuldade de comunicação </w:t>
      </w:r>
      <w:r w:rsidRPr="00BE67F2">
        <w:rPr>
          <w:rFonts w:ascii="Times New Roman" w:hAnsi="Times New Roman" w:cs="Times New Roman"/>
          <w:sz w:val="24"/>
          <w:szCs w:val="24"/>
        </w:rPr>
        <w:t>interna,</w:t>
      </w:r>
      <w:r w:rsidRPr="00BE67F2">
        <w:rPr>
          <w:rFonts w:ascii="Times New Roman" w:hAnsi="Times New Roman" w:cs="Times New Roman"/>
          <w:sz w:val="24"/>
          <w:szCs w:val="24"/>
        </w:rPr>
        <w:t xml:space="preserve"> estouro em prazos e ineficiência no pós-venda.</w:t>
      </w:r>
    </w:p>
    <w:p w14:paraId="5DB106F5" w14:textId="77777777" w:rsidR="00BE67F2" w:rsidRDefault="00BE67F2" w:rsidP="00BE67F2">
      <w:pPr>
        <w:pStyle w:val="Pargrafoda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67F2">
        <w:rPr>
          <w:rFonts w:ascii="Times New Roman" w:hAnsi="Times New Roman" w:cs="Times New Roman"/>
          <w:sz w:val="24"/>
          <w:szCs w:val="24"/>
        </w:rPr>
        <w:t xml:space="preserve">Para que a estrutura siga a estratégia, o desenho organizacional deve abandonar silos rígidos e fomentar a integração. Por exemplo, a meta estratégica de aumentar a satisfação dos clientes e eliminar atrasos demanda que o departamento de Produção e o Atendimento (Marketing) trabalhem de forma coordenada, e não isolada. Além disso, a estratégia de liderança de mercado depende diretamente da retenção de talentos; logo, a estrutura de Recursos Humanos deve deixar de ser meramente operacional para assumir um papel tático central, focado em diminuir o </w:t>
      </w:r>
      <w:r w:rsidRPr="00BE67F2">
        <w:rPr>
          <w:rFonts w:ascii="Times New Roman" w:hAnsi="Times New Roman" w:cs="Times New Roman"/>
          <w:i/>
          <w:iCs/>
          <w:sz w:val="24"/>
          <w:szCs w:val="24"/>
        </w:rPr>
        <w:t>turnover</w:t>
      </w:r>
      <w:r w:rsidRPr="00BE67F2">
        <w:rPr>
          <w:rFonts w:ascii="Times New Roman" w:hAnsi="Times New Roman" w:cs="Times New Roman"/>
          <w:sz w:val="24"/>
          <w:szCs w:val="24"/>
        </w:rPr>
        <w:t xml:space="preserve"> e desenvolver planos de carreira.</w:t>
      </w:r>
    </w:p>
    <w:p w14:paraId="010282FE" w14:textId="77777777" w:rsidR="00BE67F2" w:rsidRDefault="00BE67F2" w:rsidP="00BE67F2">
      <w:pPr>
        <w:pStyle w:val="Pargrafoda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9B9627" w14:textId="05AFDAB8" w:rsidR="00BE67F2" w:rsidRPr="00BE67F2" w:rsidRDefault="00BE67F2" w:rsidP="00BE67F2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67F2">
        <w:rPr>
          <w:rFonts w:ascii="Times New Roman" w:eastAsiaTheme="majorEastAsia" w:hAnsi="Times New Roman" w:cs="Times New Roman"/>
          <w:kern w:val="0"/>
          <w:sz w:val="24"/>
          <w:szCs w:val="24"/>
          <w:lang w:eastAsia="pt-BR"/>
          <w14:ligatures w14:val="none"/>
        </w:rPr>
        <w:t>O planejamento das atividades da Agência GANA caracteriza-se pela conexão direta entre ações táticas imediatas e seu objetivo estratégico de longo prazo. O horizonte temporal da organização está fixado em 2032, ano para o qual foi estabelecida a meta financeira de alcançar um lucro líquido de R$ 500 mil anuais e conquistar 30% do mercado de Sertãozinho. Para sustentar essa visão futura, a empresa desdobrou suas diretrizes em processos de curto e médio prazo voltados à eficiência operacional e à correção de gargalos, estabelecendo metas como a redução de 20% nos custos operacionais e a otimização da qualidade dos serviços em 15%. Esse planejamento integra também a alocação estratégica de recursos, destinando verbas específicas para a valorização de investimentos e para a participação de profissionais em congressos nacionais e internacionais, garantindo assim que a qualificação da equipe e a sustentabilidade financeira sirvam de alicerce para o atingimento do objetivo maior da organização</w:t>
      </w:r>
      <w:r>
        <w:rPr>
          <w:rFonts w:ascii="Times New Roman" w:eastAsiaTheme="majorEastAsia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7223DF91" w14:textId="77777777" w:rsidR="00BE67F2" w:rsidRPr="00BE67F2" w:rsidRDefault="00BE67F2" w:rsidP="00BE67F2">
      <w:pPr>
        <w:pStyle w:val="Pargrafoda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84180B" w14:textId="738A0520" w:rsidR="00BE67F2" w:rsidRDefault="00BE67F2" w:rsidP="00BE67F2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67F2">
        <w:rPr>
          <w:rFonts w:ascii="Times New Roman" w:hAnsi="Times New Roman" w:cs="Times New Roman"/>
          <w:sz w:val="24"/>
          <w:szCs w:val="24"/>
        </w:rPr>
        <w:lastRenderedPageBreak/>
        <w:t xml:space="preserve">A Agência GANA garantiu a clareza das orientações estratégicas através do método de desdobramento de metas, traduzindo o objetivo corporativo global de 2032 em Planos Táticos específicos para cada área funcional. A estratégia foi "cascateada" de modo que cada departamento recebesse diretrizes alinhadas à sua </w:t>
      </w:r>
      <w:r w:rsidRPr="00BE67F2">
        <w:rPr>
          <w:rFonts w:ascii="Times New Roman" w:hAnsi="Times New Roman" w:cs="Times New Roman"/>
          <w:i/>
          <w:iCs/>
          <w:sz w:val="24"/>
          <w:szCs w:val="24"/>
        </w:rPr>
        <w:t>expertise</w:t>
      </w:r>
      <w:r w:rsidRPr="00BE67F2">
        <w:rPr>
          <w:rFonts w:ascii="Times New Roman" w:hAnsi="Times New Roman" w:cs="Times New Roman"/>
          <w:sz w:val="24"/>
          <w:szCs w:val="24"/>
        </w:rPr>
        <w:t xml:space="preserve"> técnica, contribuindo para o todo: enquanto o Marketing foi incumbido de uma expansão agressiva para atingir a liderança de mercado e aumentar a carteira de clientes em 40</w:t>
      </w:r>
      <w:r w:rsidRPr="00BE67F2">
        <w:rPr>
          <w:rFonts w:ascii="Times New Roman" w:hAnsi="Times New Roman" w:cs="Times New Roman"/>
          <w:sz w:val="24"/>
          <w:szCs w:val="24"/>
        </w:rPr>
        <w:t>%,</w:t>
      </w:r>
      <w:r w:rsidRPr="00BE67F2">
        <w:rPr>
          <w:rFonts w:ascii="Times New Roman" w:hAnsi="Times New Roman" w:cs="Times New Roman"/>
          <w:sz w:val="24"/>
          <w:szCs w:val="24"/>
        </w:rPr>
        <w:t xml:space="preserve"> o setor de Recursos Humanos recebeu a missão crítica de estabilizar o clima organizacional, com a meta explícita de reduzir a rotatividade em 50%. Simultaneamente, a Produção focou na excelência operacional com metas de qualidade e cumprimento rigoroso de </w:t>
      </w:r>
      <w:r w:rsidRPr="00BE67F2">
        <w:rPr>
          <w:rFonts w:ascii="Times New Roman" w:hAnsi="Times New Roman" w:cs="Times New Roman"/>
          <w:sz w:val="24"/>
          <w:szCs w:val="24"/>
        </w:rPr>
        <w:t>prazos,</w:t>
      </w:r>
      <w:r w:rsidRPr="00BE67F2">
        <w:rPr>
          <w:rFonts w:ascii="Times New Roman" w:hAnsi="Times New Roman" w:cs="Times New Roman"/>
          <w:sz w:val="24"/>
          <w:szCs w:val="24"/>
        </w:rPr>
        <w:t xml:space="preserve"> e o Financeiro concentrou-se na sustentabilidade do negócio através da redução de custos e gestão de liquidez, assegurando assim que todas as áreas caminhassem sinergicamente para o mesmo objetivo final.</w:t>
      </w:r>
    </w:p>
    <w:p w14:paraId="40883C0D" w14:textId="77777777" w:rsidR="00BE67F2" w:rsidRPr="00BE67F2" w:rsidRDefault="00BE67F2" w:rsidP="00BE67F2">
      <w:pPr>
        <w:pStyle w:val="PargrafodaLista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F31563" w14:textId="00F63D22" w:rsidR="00BE67F2" w:rsidRDefault="00BE67F2" w:rsidP="00BE67F2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67F2">
        <w:rPr>
          <w:rFonts w:ascii="Times New Roman" w:hAnsi="Times New Roman" w:cs="Times New Roman"/>
          <w:sz w:val="24"/>
          <w:szCs w:val="24"/>
        </w:rPr>
        <w:t xml:space="preserve">Para monitorar o cumprimento de sua estratégia, a empresa estabeleceu um sistema de controle fundamentado em indicadores de desempenho quantitativos e qualitativos, definidos para cada processo chave da organização. O monitoramento abrange desde métricas de capital humano, como o índice de satisfação dos funcionários e taxas de </w:t>
      </w:r>
      <w:r w:rsidRPr="00BE67F2">
        <w:rPr>
          <w:rFonts w:ascii="Times New Roman" w:hAnsi="Times New Roman" w:cs="Times New Roman"/>
          <w:i/>
          <w:iCs/>
          <w:sz w:val="24"/>
          <w:szCs w:val="24"/>
        </w:rPr>
        <w:t>turnover</w:t>
      </w:r>
      <w:r w:rsidRPr="00BE67F2">
        <w:rPr>
          <w:rFonts w:ascii="Times New Roman" w:hAnsi="Times New Roman" w:cs="Times New Roman"/>
          <w:sz w:val="24"/>
          <w:szCs w:val="24"/>
        </w:rPr>
        <w:t>,</w:t>
      </w:r>
      <w:r w:rsidRPr="00BE67F2">
        <w:rPr>
          <w:rFonts w:ascii="Times New Roman" w:hAnsi="Times New Roman" w:cs="Times New Roman"/>
          <w:sz w:val="24"/>
          <w:szCs w:val="24"/>
        </w:rPr>
        <w:t xml:space="preserve"> até indicadores de mercado e eficiência operacional, como a satisfação dos clientes e o volume de reclamações por atrasos. Além disso, a saúde econômica da estratégia é auditada através de indicadores financeiros precisos, como a meta de liquidez de 24% e a valorização dos investimentos. Esses mecanismos de avaliação periódica funcionam como um painel de controle gerencial, permitindo que a liderança identifique desvios rapidamente e realize os ajustes necessários nos processos para garantir a chegada ao objetivo traçado para 2032.</w:t>
      </w:r>
    </w:p>
    <w:p w14:paraId="4EAC7158" w14:textId="77777777" w:rsidR="00BE67F2" w:rsidRPr="00BE67F2" w:rsidRDefault="00BE67F2" w:rsidP="00BE67F2">
      <w:pPr>
        <w:pStyle w:val="PargrafodaLista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F07B06" w14:textId="540CAEFB" w:rsidR="00BE67F2" w:rsidRPr="00BE67F2" w:rsidRDefault="00BE67F2" w:rsidP="00BE67F2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67F2">
        <w:rPr>
          <w:rFonts w:ascii="Times New Roman" w:hAnsi="Times New Roman" w:cs="Times New Roman"/>
          <w:sz w:val="24"/>
          <w:szCs w:val="24"/>
        </w:rPr>
        <w:t xml:space="preserve">Caso a Agência GANA decida expandir sua atuação para outras cidades, o modelo de departamentalização matricial apresenta-se como a escolha mais adequada, pois oferece o equilíbrio necessário entre a coordenação centralizada e o foco no cliente local. Ao adotar a estrutura matricial, a empresa conseguiria manter a eficiência técnica e o controle de custos de seus departamentos funcionais existentes (como Criação e Financeiro), ao mesmo tempo em que alocaria gerentes de projetos ou de contas dedicados às especificidades geográficas de cada </w:t>
      </w:r>
      <w:r w:rsidRPr="00BE67F2">
        <w:rPr>
          <w:rFonts w:ascii="Times New Roman" w:hAnsi="Times New Roman" w:cs="Times New Roman"/>
          <w:sz w:val="24"/>
          <w:szCs w:val="24"/>
        </w:rPr>
        <w:lastRenderedPageBreak/>
        <w:t>nova praça. Essa configuração permitiria resolver gargalos atuais, como a dificuldade de comunicação interna e a urgência nos prazos, garantindo que a customização exigida pelos novos mercados fosse atendida com agilidade, sem que a matriz perdesse a governança sobre os padrões de qualidade e a identidade da marca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2766B2" w14:textId="1B8E5509" w:rsidR="00BE67F2" w:rsidRPr="00BE67F2" w:rsidRDefault="00BE67F2" w:rsidP="00BE67F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E67F2" w:rsidRPr="00BE67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A6AF0"/>
    <w:multiLevelType w:val="multilevel"/>
    <w:tmpl w:val="A29C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60F24"/>
    <w:multiLevelType w:val="hybridMultilevel"/>
    <w:tmpl w:val="70226A0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E4A6741"/>
    <w:multiLevelType w:val="hybridMultilevel"/>
    <w:tmpl w:val="4D760C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291052">
    <w:abstractNumId w:val="2"/>
  </w:num>
  <w:num w:numId="2" w16cid:durableId="667246334">
    <w:abstractNumId w:val="0"/>
  </w:num>
  <w:num w:numId="3" w16cid:durableId="489252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7F2"/>
    <w:rsid w:val="000B24A3"/>
    <w:rsid w:val="005D5CD4"/>
    <w:rsid w:val="005E54F8"/>
    <w:rsid w:val="00BE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5D344"/>
  <w15:chartTrackingRefBased/>
  <w15:docId w15:val="{E70BB6C3-490D-43F3-B00C-145D207E2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6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6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6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6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6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6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6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6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6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6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6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6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67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67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67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67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67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67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6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6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6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6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6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67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67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67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6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67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67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6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citation-75">
    <w:name w:val="citation-75"/>
    <w:basedOn w:val="Fontepargpadro"/>
    <w:rsid w:val="00BE67F2"/>
  </w:style>
  <w:style w:type="character" w:customStyle="1" w:styleId="citation-74">
    <w:name w:val="citation-74"/>
    <w:basedOn w:val="Fontepargpadro"/>
    <w:rsid w:val="00BE67F2"/>
  </w:style>
  <w:style w:type="character" w:customStyle="1" w:styleId="citation-73">
    <w:name w:val="citation-73"/>
    <w:basedOn w:val="Fontepargpadro"/>
    <w:rsid w:val="00BE67F2"/>
  </w:style>
  <w:style w:type="character" w:customStyle="1" w:styleId="citation-72">
    <w:name w:val="citation-72"/>
    <w:basedOn w:val="Fontepargpadro"/>
    <w:rsid w:val="00BE67F2"/>
  </w:style>
  <w:style w:type="character" w:customStyle="1" w:styleId="citation-71">
    <w:name w:val="citation-71"/>
    <w:basedOn w:val="Fontepargpadro"/>
    <w:rsid w:val="00BE67F2"/>
  </w:style>
  <w:style w:type="character" w:customStyle="1" w:styleId="citation-70">
    <w:name w:val="citation-70"/>
    <w:basedOn w:val="Fontepargpadro"/>
    <w:rsid w:val="00BE67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743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Batestucci</dc:creator>
  <cp:keywords/>
  <dc:description/>
  <cp:lastModifiedBy>Francisco Batestucci</cp:lastModifiedBy>
  <cp:revision>1</cp:revision>
  <dcterms:created xsi:type="dcterms:W3CDTF">2025-11-20T22:11:00Z</dcterms:created>
  <dcterms:modified xsi:type="dcterms:W3CDTF">2025-11-20T22:18:00Z</dcterms:modified>
</cp:coreProperties>
</file>