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Calibri" w:cs="Calibri" w:eastAsia="Calibri" w:hAnsi="Calibri"/>
          <w:b w:val="1"/>
          <w:bCs w:val="1"/>
        </w:rPr>
      </w:pPr>
      <w:r w:rsidDel="00000000" w:rsidR="00000000" w:rsidRPr="00000000">
        <w:rPr>
          <w:rFonts w:ascii="Calibri" w:cs="Calibri" w:eastAsia="Calibri" w:hAnsi="Calibri"/>
        </w:rPr>
        <w:drawing>
          <wp:inline distB="0" distT="0" distL="0" distR="0">
            <wp:extent cx="761236" cy="570970"/>
            <wp:effectExtent b="0" l="0" r="0" t="0"/>
            <wp:docPr descr="Identidade Visual – Referências de elementos visuais – USP – Identidade  Visual" id="1" name="image1.jpg"/>
            <a:graphic>
              <a:graphicData uri="http://schemas.openxmlformats.org/drawingml/2006/picture">
                <pic:pic>
                  <pic:nvPicPr>
                    <pic:cNvPr descr="Identidade Visual – Referências de elementos visuais – USP – Identidade  Visual" id="0" name="image1.jpg"/>
                    <pic:cNvPicPr preferRelativeResize="0"/>
                  </pic:nvPicPr>
                  <pic:blipFill>
                    <a:blip r:embed="rId6"/>
                    <a:srcRect b="0" l="0" r="0" t="0"/>
                    <a:stretch>
                      <a:fillRect/>
                    </a:stretch>
                  </pic:blipFill>
                  <pic:spPr>
                    <a:xfrm>
                      <a:off x="0" y="0"/>
                      <a:ext cx="761236" cy="5709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78.0000000000000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UNIVERSIDADE DE SÃO PAULO</w:t>
      </w:r>
    </w:p>
    <w:p w:rsidR="00000000" w:rsidDel="00000000" w:rsidP="00000000" w:rsidRDefault="00000000" w:rsidRPr="00000000" w14:paraId="00000003">
      <w:pPr>
        <w:spacing w:after="160" w:line="278.0000000000000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FACULDADE DE ADMINISTRAÇÃO, ECONOMIA E</w:t>
      </w:r>
    </w:p>
    <w:p w:rsidR="00000000" w:rsidDel="00000000" w:rsidP="00000000" w:rsidRDefault="00000000" w:rsidRPr="00000000" w14:paraId="00000004">
      <w:pPr>
        <w:spacing w:after="160" w:line="278.0000000000000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CONTABILIDADE DE RIBEIRÃO PRETO</w:t>
      </w:r>
    </w:p>
    <w:p w:rsidR="00000000" w:rsidDel="00000000" w:rsidP="00000000" w:rsidRDefault="00000000" w:rsidRPr="00000000" w14:paraId="00000005">
      <w:pPr>
        <w:spacing w:after="160" w:line="278.0000000000000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160" w:line="278.0000000000000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60" w:line="278.0000000000000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360" w:lineRule="auto"/>
        <w:jc w:val="center"/>
        <w:rPr>
          <w:rFonts w:ascii="Times New Roman" w:cs="Times New Roman" w:eastAsia="Times New Roman" w:hAnsi="Times New Roman"/>
          <w:b w:val="1"/>
          <w:bCs w:val="1"/>
          <w:color w:val="202124"/>
          <w:sz w:val="24"/>
          <w:szCs w:val="24"/>
        </w:rPr>
      </w:pPr>
      <w:bookmarkStart w:colFirst="0" w:colLast="0" w:name="_ey2zbhmjaopf" w:id="0"/>
      <w:bookmarkEnd w:id="0"/>
      <w:r w:rsidDel="00000000" w:rsidR="00000000" w:rsidRPr="00000000">
        <w:rPr>
          <w:rtl w:val="0"/>
        </w:rPr>
      </w:r>
    </w:p>
    <w:p w:rsidR="00000000" w:rsidDel="00000000" w:rsidP="00000000" w:rsidRDefault="00000000" w:rsidRPr="00000000" w14:paraId="0000000D">
      <w:pPr>
        <w:pStyle w:val="Heading1"/>
        <w:keepNext w:val="0"/>
        <w:keepLines w:val="0"/>
        <w:spacing w:after="0" w:before="0" w:line="360" w:lineRule="auto"/>
        <w:jc w:val="center"/>
        <w:rPr>
          <w:rFonts w:ascii="Times New Roman" w:cs="Times New Roman" w:eastAsia="Times New Roman" w:hAnsi="Times New Roman"/>
          <w:b w:val="1"/>
          <w:bCs w:val="1"/>
          <w:color w:val="202124"/>
          <w:sz w:val="24"/>
          <w:szCs w:val="24"/>
        </w:rPr>
      </w:pPr>
      <w:bookmarkStart w:colFirst="0" w:colLast="0" w:name="_40mrlcvvffos" w:id="1"/>
      <w:bookmarkEnd w:id="1"/>
      <w:r w:rsidDel="00000000" w:rsidR="00000000" w:rsidRPr="00000000">
        <w:rPr>
          <w:rtl w:val="0"/>
        </w:rPr>
      </w:r>
    </w:p>
    <w:p w:rsidR="00000000" w:rsidDel="00000000" w:rsidP="00000000" w:rsidRDefault="00000000" w:rsidRPr="00000000" w14:paraId="0000000E">
      <w:pPr>
        <w:pStyle w:val="Heading1"/>
        <w:keepNext w:val="0"/>
        <w:keepLines w:val="0"/>
        <w:spacing w:after="0" w:before="0" w:line="360" w:lineRule="auto"/>
        <w:jc w:val="center"/>
        <w:rPr>
          <w:rFonts w:ascii="Times New Roman" w:cs="Times New Roman" w:eastAsia="Times New Roman" w:hAnsi="Times New Roman"/>
          <w:b w:val="1"/>
          <w:bCs w:val="1"/>
          <w:color w:val="202124"/>
          <w:sz w:val="24"/>
          <w:szCs w:val="24"/>
        </w:rPr>
      </w:pPr>
      <w:bookmarkStart w:colFirst="0" w:colLast="0" w:name="_jbawp1paji1b" w:id="2"/>
      <w:bookmarkEnd w:id="2"/>
      <w:r w:rsidDel="00000000" w:rsidR="00000000" w:rsidRPr="00000000">
        <w:rPr>
          <w:rFonts w:ascii="Times New Roman" w:cs="Times New Roman" w:eastAsia="Times New Roman" w:hAnsi="Times New Roman"/>
          <w:b w:val="1"/>
          <w:bCs w:val="1"/>
          <w:color w:val="202124"/>
          <w:sz w:val="24"/>
          <w:szCs w:val="24"/>
          <w:rtl w:val="0"/>
        </w:rPr>
        <w:t xml:space="preserve">Atividade - Teoria Organizacional</w:t>
      </w:r>
    </w:p>
    <w:p w:rsidR="00000000" w:rsidDel="00000000" w:rsidP="00000000" w:rsidRDefault="00000000" w:rsidRPr="00000000" w14:paraId="0000000F">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78.0000000000000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78.00000000000006" w:lineRule="auto"/>
        <w:jc w:val="center"/>
        <w:rPr>
          <w:rFonts w:ascii="Calibri" w:cs="Calibri" w:eastAsia="Calibri" w:hAnsi="Calibri"/>
        </w:rPr>
      </w:pPr>
      <w:r w:rsidDel="00000000" w:rsidR="00000000" w:rsidRPr="00000000">
        <w:rPr>
          <w:rFonts w:ascii="Calibri" w:cs="Calibri" w:eastAsia="Calibri" w:hAnsi="Calibri"/>
          <w:rtl w:val="0"/>
        </w:rPr>
        <w:t xml:space="preserve">RIBEIRÃO PRETO – SÃO PAULO</w:t>
      </w:r>
    </w:p>
    <w:p w:rsidR="00000000" w:rsidDel="00000000" w:rsidP="00000000" w:rsidRDefault="00000000" w:rsidRPr="00000000" w14:paraId="0000001C">
      <w:pPr>
        <w:spacing w:after="160" w:line="278.00000000000006" w:lineRule="auto"/>
        <w:jc w:val="center"/>
        <w:rPr>
          <w:rFonts w:ascii="Calibri" w:cs="Calibri" w:eastAsia="Calibri" w:hAnsi="Calibri"/>
        </w:rPr>
      </w:pPr>
      <w:r w:rsidDel="00000000" w:rsidR="00000000" w:rsidRPr="00000000">
        <w:rPr>
          <w:rFonts w:ascii="Calibri" w:cs="Calibri" w:eastAsia="Calibri" w:hAnsi="Calibri"/>
          <w:rtl w:val="0"/>
        </w:rPr>
        <w:t xml:space="preserve">2025</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before="0" w:line="288" w:lineRule="auto"/>
        <w:jc w:val="both"/>
        <w:rPr>
          <w:rFonts w:ascii="Times New Roman" w:cs="Times New Roman" w:eastAsia="Times New Roman" w:hAnsi="Times New Roman"/>
          <w:b w:val="1"/>
          <w:bCs w:val="1"/>
          <w:i w:val="1"/>
          <w:iCs w:val="1"/>
          <w:color w:val="000000"/>
          <w:sz w:val="26"/>
          <w:szCs w:val="26"/>
        </w:rPr>
      </w:pPr>
      <w:bookmarkStart w:colFirst="0" w:colLast="0" w:name="_kgq6ppxwm9vw" w:id="3"/>
      <w:bookmarkEnd w:id="3"/>
      <w:r w:rsidDel="00000000" w:rsidR="00000000" w:rsidRPr="00000000">
        <w:rPr>
          <w:rFonts w:ascii="Times New Roman" w:cs="Times New Roman" w:eastAsia="Times New Roman" w:hAnsi="Times New Roman"/>
          <w:b w:val="1"/>
          <w:bCs w:val="1"/>
          <w:color w:val="000000"/>
          <w:sz w:val="26"/>
          <w:szCs w:val="26"/>
          <w:rtl w:val="0"/>
        </w:rPr>
        <w:t xml:space="preserve">1) </w:t>
      </w:r>
      <w:r w:rsidDel="00000000" w:rsidR="00000000" w:rsidRPr="00000000">
        <w:rPr>
          <w:rFonts w:ascii="Times New Roman" w:cs="Times New Roman" w:eastAsia="Times New Roman" w:hAnsi="Times New Roman"/>
          <w:b w:val="1"/>
          <w:bCs w:val="1"/>
          <w:i w:val="1"/>
          <w:iCs w:val="1"/>
          <w:color w:val="000000"/>
          <w:sz w:val="26"/>
          <w:szCs w:val="26"/>
          <w:rtl w:val="0"/>
        </w:rPr>
        <w:t xml:space="preserve">Considerando a máxima “a estrutura segue a estratégia” (Chandler, 1962), de que maneira a estratégia definida pela Agência GANA deveria orientar o desenho de sua estrutura organizacional?</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a perspectiva de Alfred Chandler, a estrutura deve ser uma resposta dinâmica à estratégia; contudo, a Agência GANA enfrenta um "lag estrutural", onde sua nova estratégia de expansão geográfica (nacional/multi-regional) colide com uma estrutura antiga, centralizada e funcional. A manutenção da concentração decisória na matriz gera gargalos operacionais e lentidão, impedindo a agilidade necessária para atender mercados locais distantes.</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corrigir esse descompasso, a mudança de metas para a diversificação de mercados exige que a GANA abandone a rigidez da centralização e adote uma estrutura que redistribua a autoridade. O desenho organizacional precisa migrar para um modelo descentralizado, pois a estrutura atual promove a uniformização, enquanto a estratégia de expansão exige diferenciação e adaptação cultural nas pontas.</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before="0" w:line="288" w:lineRule="auto"/>
        <w:jc w:val="both"/>
        <w:rPr>
          <w:rFonts w:ascii="Times New Roman" w:cs="Times New Roman" w:eastAsia="Times New Roman" w:hAnsi="Times New Roman"/>
          <w:b w:val="1"/>
          <w:bCs w:val="1"/>
          <w:color w:val="1d2125"/>
          <w:sz w:val="26"/>
          <w:szCs w:val="26"/>
        </w:rPr>
      </w:pPr>
      <w:bookmarkStart w:colFirst="0" w:colLast="0" w:name="_5f1zxz52ophm" w:id="4"/>
      <w:bookmarkEnd w:id="4"/>
      <w:r w:rsidDel="00000000" w:rsidR="00000000" w:rsidRPr="00000000">
        <w:rPr>
          <w:rFonts w:ascii="Times New Roman" w:cs="Times New Roman" w:eastAsia="Times New Roman" w:hAnsi="Times New Roman"/>
          <w:b w:val="1"/>
          <w:bCs w:val="1"/>
          <w:color w:val="1d2125"/>
          <w:sz w:val="26"/>
          <w:szCs w:val="26"/>
          <w:rtl w:val="0"/>
        </w:rPr>
        <w:t xml:space="preserve">2) Descreva como a empresa planejou suas atividades no curto e no longo prazo.</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planejamento da GANA apresentou um desequilíbrio crítico: houve uma "hipertrofia do curto prazo", focada de maneira reativa e tática em ações imediatas como abrir filiais e contratar pessoas, funcionando mais na lógica de "apagar incêndios" do que de estruturação sustentável. Esse foco excessivo na operação imediata gerou uma cegueira estratégica, onde a energia foi gasta na execução sem garantir a base para o futuro.</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Já o planejamento de longo prazo foi negligenciado, limitando-se a metas financeiras ambiciosas sem uma análise da capacidade institucional ou das variáveis culturais das novas regiões. Faltou um plano integrado que considerasse a organização como um sistema, tratando a expansão apenas como crescimento de receita e não como uma evolução da gestão e da estrutura de liderança necessária para suportar a nova escala</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before="0" w:line="288" w:lineRule="auto"/>
        <w:jc w:val="both"/>
        <w:rPr>
          <w:rFonts w:ascii="Times New Roman" w:cs="Times New Roman" w:eastAsia="Times New Roman" w:hAnsi="Times New Roman"/>
          <w:b w:val="1"/>
          <w:bCs w:val="1"/>
          <w:color w:val="000000"/>
          <w:sz w:val="26"/>
          <w:szCs w:val="26"/>
        </w:rPr>
      </w:pPr>
      <w:bookmarkStart w:colFirst="0" w:colLast="0" w:name="_s6i6b9eh9qer" w:id="5"/>
      <w:bookmarkEnd w:id="5"/>
      <w:r w:rsidDel="00000000" w:rsidR="00000000" w:rsidRPr="00000000">
        <w:rPr>
          <w:rFonts w:ascii="Times New Roman" w:cs="Times New Roman" w:eastAsia="Times New Roman" w:hAnsi="Times New Roman"/>
          <w:b w:val="1"/>
          <w:bCs w:val="1"/>
          <w:color w:val="000000"/>
          <w:sz w:val="26"/>
          <w:szCs w:val="26"/>
          <w:rtl w:val="0"/>
        </w:rPr>
        <w:t xml:space="preserve">3) Como a empresa conseguiu dar orientações estratégicas claras aos seus departamentos?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cascateamento das orientações na GANA falhou por ser ineficaz e informal, confiando excessivamente em uma "cultura oral" que não se sustenta à distância, resultando em ruído na comunicação e desalinhamento das filiais. A ausência de mecanismos formais, como manuais de procedimentos ou workshops de alinhamento, fez com que as diretrizes da matriz fossem percebidas como ordens distantes ou simplesmente não fossem compreendidas pelas equipes locais.</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houve um vácuo no nível tático (gerência média), que deveria atuar como "tradutor" da visão da diretoria para a operação regional. Sem gerentes preparados para contextualizar a estratégia, as filiais oscilaram entre autonomia excessiva (desalinhada da marca) e dependência paralisante, evidenciando que a estratégia foi imposta verticalmente sem o devido engajamento cultural e compreensão por parte dos novos colaboradores.</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before="0" w:line="288" w:lineRule="auto"/>
        <w:jc w:val="both"/>
        <w:rPr>
          <w:rFonts w:ascii="Times New Roman" w:cs="Times New Roman" w:eastAsia="Times New Roman" w:hAnsi="Times New Roman"/>
          <w:b w:val="1"/>
          <w:bCs w:val="1"/>
          <w:color w:val="000000"/>
          <w:sz w:val="26"/>
          <w:szCs w:val="26"/>
        </w:rPr>
      </w:pPr>
      <w:bookmarkStart w:colFirst="0" w:colLast="0" w:name="_fx1pf2yrhqau" w:id="6"/>
      <w:bookmarkEnd w:id="6"/>
      <w:r w:rsidDel="00000000" w:rsidR="00000000" w:rsidRPr="00000000">
        <w:rPr>
          <w:rFonts w:ascii="Times New Roman" w:cs="Times New Roman" w:eastAsia="Times New Roman" w:hAnsi="Times New Roman"/>
          <w:b w:val="1"/>
          <w:bCs w:val="1"/>
          <w:color w:val="000000"/>
          <w:sz w:val="26"/>
          <w:szCs w:val="26"/>
          <w:rtl w:val="0"/>
        </w:rPr>
        <w:t xml:space="preserve">4) De que forma a empresa pretende controlar se a estratégia está sendo atingida?</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empresa enfrenta dificuldades no controle pois tentou manter mecanismos de supervisão visual e direta, típicos de empresas pequenas, que são impossíveis de aplicar em uma operação geograficamente dispersa. Atualmente, o controle tende a ser apenas financeiro (faturamento), um indicador "retrovisor" que não permite correções de rota proativas, ou cai no microgerenciamento à distância, criando gargalos.</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monitorar efetivamente a estratégia, a GANA deve implementar um sistema equilibrado, como o </w:t>
      </w:r>
      <w:r w:rsidDel="00000000" w:rsidR="00000000" w:rsidRPr="00000000">
        <w:rPr>
          <w:rFonts w:ascii="Times New Roman" w:cs="Times New Roman" w:eastAsia="Times New Roman" w:hAnsi="Times New Roman"/>
          <w:i w:val="1"/>
          <w:iCs w:val="1"/>
          <w:rtl w:val="0"/>
        </w:rPr>
        <w:t xml:space="preserve">Balanced Scorecard</w:t>
      </w:r>
      <w:r w:rsidDel="00000000" w:rsidR="00000000" w:rsidRPr="00000000">
        <w:rPr>
          <w:rFonts w:ascii="Times New Roman" w:cs="Times New Roman" w:eastAsia="Times New Roman" w:hAnsi="Times New Roman"/>
          <w:rtl w:val="0"/>
        </w:rPr>
        <w:t xml:space="preserve">, medindo não apenas finanças, mas também a satisfação de clientes regionais e a eficiência dos processos internos. É essencial adotar controles de processos (via softwares de gestão/workflow) que garantam transparência em tempo real e controles culturais que alinhem os valores, reduzindo a necessidade de supervisão externa constante.</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before="0" w:line="288" w:lineRule="auto"/>
        <w:jc w:val="both"/>
        <w:rPr>
          <w:rFonts w:ascii="Times New Roman" w:cs="Times New Roman" w:eastAsia="Times New Roman" w:hAnsi="Times New Roman"/>
          <w:b w:val="1"/>
          <w:bCs w:val="1"/>
          <w:color w:val="000000"/>
          <w:sz w:val="26"/>
          <w:szCs w:val="26"/>
        </w:rPr>
      </w:pPr>
      <w:bookmarkStart w:colFirst="0" w:colLast="0" w:name="_lfpv9xgn824k" w:id="7"/>
      <w:bookmarkEnd w:id="7"/>
      <w:r w:rsidDel="00000000" w:rsidR="00000000" w:rsidRPr="00000000">
        <w:rPr>
          <w:rFonts w:ascii="Times New Roman" w:cs="Times New Roman" w:eastAsia="Times New Roman" w:hAnsi="Times New Roman"/>
          <w:b w:val="1"/>
          <w:bCs w:val="1"/>
          <w:color w:val="000000"/>
          <w:sz w:val="26"/>
          <w:szCs w:val="26"/>
          <w:rtl w:val="0"/>
        </w:rPr>
        <w:t xml:space="preserve">5) Se a empresa decidir crescer para novas cidades, qual modelo de departamentalização seria mais adequado: matricial, por cliente ou manter a funcional?</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expansão em novas cidades, o modelo mais adequado é a </w:t>
      </w:r>
      <w:r w:rsidDel="00000000" w:rsidR="00000000" w:rsidRPr="00000000">
        <w:rPr>
          <w:rFonts w:ascii="Times New Roman" w:cs="Times New Roman" w:eastAsia="Times New Roman" w:hAnsi="Times New Roman"/>
          <w:b w:val="1"/>
          <w:bCs w:val="1"/>
          <w:rtl w:val="0"/>
        </w:rPr>
        <w:t xml:space="preserve">departamentalização geográfica (ou divisional)</w:t>
      </w:r>
      <w:r w:rsidDel="00000000" w:rsidR="00000000" w:rsidRPr="00000000">
        <w:rPr>
          <w:rFonts w:ascii="Times New Roman" w:cs="Times New Roman" w:eastAsia="Times New Roman" w:hAnsi="Times New Roman"/>
          <w:rtl w:val="0"/>
        </w:rPr>
        <w:t xml:space="preserve">, pois permite criar unidades autossuficientes que respondem com agilidade às especificidades locais e focam na adaptação cultural ao cliente da região. Manter a estrutura funcional seria inadequado por centralizar decisões longe da ação, enquanto a matricial, embora robusta, traria uma complexidade e conflitos de poder perigosos para o atual estágio de maturidade da empresa.</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estrutura geográfica transforma cada gerente regional em um "mini-CEO", facilitando a responsabilização (</w:t>
      </w:r>
      <w:r w:rsidDel="00000000" w:rsidR="00000000" w:rsidRPr="00000000">
        <w:rPr>
          <w:rFonts w:ascii="Times New Roman" w:cs="Times New Roman" w:eastAsia="Times New Roman" w:hAnsi="Times New Roman"/>
          <w:i w:val="1"/>
          <w:iCs w:val="1"/>
          <w:rtl w:val="0"/>
        </w:rPr>
        <w:t xml:space="preserve">accountability</w:t>
      </w:r>
      <w:r w:rsidDel="00000000" w:rsidR="00000000" w:rsidRPr="00000000">
        <w:rPr>
          <w:rFonts w:ascii="Times New Roman" w:cs="Times New Roman" w:eastAsia="Times New Roman" w:hAnsi="Times New Roman"/>
          <w:rtl w:val="0"/>
        </w:rPr>
        <w:t xml:space="preserve">) e a velocidade de resposta ao mercado, eliminando a dependência da matriz para decisões rotineiras. Recomenda-se um modelo híbrido onde a matriz centraliza apenas funções estratégicas globais (como Finanças e Branding), deixando a operação tática descentralizada nas divisões territoriais.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