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7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55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项目名称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援库克群岛拉罗汤加新能源公交车项目实施任务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招标编号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default" w:ascii="宋体" w:hAnsi="宋体"/>
                <w:szCs w:val="21"/>
                <w:lang w:val="en-US"/>
              </w:rPr>
            </w:pPr>
            <w:r>
              <w:rPr>
                <w:rFonts w:hint="eastAsia" w:ascii="宋体" w:hAnsi="宋体"/>
                <w:szCs w:val="21"/>
              </w:rPr>
              <w:t>物资202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/>
                <w:szCs w:val="21"/>
              </w:rPr>
              <w:t>-0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投标日期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2026年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/>
                <w:szCs w:val="21"/>
              </w:rPr>
              <w:t>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21</w:t>
            </w:r>
            <w:r>
              <w:rPr>
                <w:rFonts w:hint="eastAsia" w:ascii="宋体" w:hAnsi="宋体"/>
                <w:szCs w:val="21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目的地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Courier New" w:hAnsi="Courier New" w:cs="Courier New"/>
                <w:sz w:val="24"/>
                <w:szCs w:val="24"/>
                <w:lang w:val="en-US" w:eastAsia="zh-CN"/>
              </w:rPr>
              <w:t>库克群岛阿瓦鲁阿港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运输方式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CIF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运输条件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Courier New" w:hAnsi="Courier New" w:cs="Courier New"/>
                <w:sz w:val="24"/>
                <w:szCs w:val="24"/>
              </w:rPr>
              <w:t>授标后75个自然日内（含当日）一次性发运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对外货值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43</w:t>
            </w:r>
            <w:r>
              <w:rPr>
                <w:rFonts w:hint="eastAsia" w:ascii="宋体" w:hAnsi="宋体"/>
                <w:szCs w:val="21"/>
              </w:rPr>
              <w:t>5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/>
                <w:szCs w:val="21"/>
              </w:rPr>
              <w:t>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是否为低价法(y/n)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是否有供货清单二（y</w:t>
            </w:r>
            <w:r>
              <w:rPr>
                <w:rFonts w:ascii="宋体" w:hAnsi="宋体"/>
                <w:szCs w:val="21"/>
              </w:rPr>
              <w:t>/n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是否有技术服务(y/n)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技术服务人数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技术服务天数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是否有售后服务(y/n)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是否有来华培训(y/n)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来华培训人数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来华培训天数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法检物资</w:t>
            </w:r>
            <w:r>
              <w:rPr>
                <w:rFonts w:hint="eastAsia" w:ascii="宋体" w:hAnsi="宋体"/>
                <w:szCs w:val="21"/>
                <w:highlight w:val="yellow"/>
              </w:rPr>
              <w:t>（没有的话空着）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主要标的</w:t>
            </w:r>
            <w:r>
              <w:rPr>
                <w:rFonts w:hint="eastAsia" w:ascii="宋体" w:hAnsi="宋体"/>
                <w:szCs w:val="21"/>
                <w:highlight w:val="yellow"/>
              </w:rPr>
              <w:t>（填序号，空格隔开）</w:t>
            </w:r>
          </w:p>
        </w:tc>
        <w:tc>
          <w:tcPr>
            <w:tcW w:w="5528" w:type="dxa"/>
          </w:tcPr>
          <w:p>
            <w:pPr>
              <w:widowControl/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 xml:space="preserve">1 </w:t>
            </w:r>
          </w:p>
        </w:tc>
      </w:tr>
    </w:tbl>
    <w:p>
      <w:pPr>
        <w:widowControl/>
        <w:jc w:val="left"/>
      </w:pPr>
      <w:r>
        <w:rPr>
          <w:rFonts w:hint="eastAsia"/>
        </w:rPr>
        <w:t xml:space="preserve">版本号 </w:t>
      </w:r>
      <w:r>
        <w:t>2.6</w:t>
      </w:r>
    </w:p>
    <w:p>
      <w:pPr>
        <w:widowControl/>
        <w:jc w:val="left"/>
      </w:pPr>
    </w:p>
    <w:p>
      <w:pPr>
        <w:widowControl/>
        <w:jc w:val="left"/>
      </w:pPr>
      <w:r>
        <w:br w:type="page"/>
      </w:r>
    </w:p>
    <w:tbl>
      <w:tblPr>
        <w:tblStyle w:val="37"/>
        <w:tblW w:w="8295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2"/>
        <w:gridCol w:w="946"/>
        <w:gridCol w:w="806"/>
        <w:gridCol w:w="660"/>
        <w:gridCol w:w="576"/>
        <w:gridCol w:w="3307"/>
        <w:gridCol w:w="13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  <w:jc w:val="center"/>
        </w:trPr>
        <w:tc>
          <w:tcPr>
            <w:tcW w:w="612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  <w:t>序号</w:t>
            </w:r>
          </w:p>
        </w:tc>
        <w:tc>
          <w:tcPr>
            <w:tcW w:w="946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  <w:t>品名</w:t>
            </w:r>
          </w:p>
        </w:tc>
        <w:tc>
          <w:tcPr>
            <w:tcW w:w="806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  <w:t>HS码</w:t>
            </w:r>
          </w:p>
        </w:tc>
        <w:tc>
          <w:tcPr>
            <w:tcW w:w="66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  <w:t>单位</w:t>
            </w:r>
          </w:p>
        </w:tc>
        <w:tc>
          <w:tcPr>
            <w:tcW w:w="576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  <w:t>数量</w:t>
            </w:r>
          </w:p>
        </w:tc>
        <w:tc>
          <w:tcPr>
            <w:tcW w:w="3307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  <w:t>具体规格、参数和</w:t>
            </w:r>
          </w:p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  <w:t>功能表述</w:t>
            </w:r>
          </w:p>
        </w:tc>
        <w:tc>
          <w:tcPr>
            <w:tcW w:w="1388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  <w:t>检验标准依据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3" w:hRule="atLeast"/>
          <w:jc w:val="center"/>
        </w:trPr>
        <w:tc>
          <w:tcPr>
            <w:tcW w:w="61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仿宋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946" w:type="dxa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  <w14:ligatures w14:val="none"/>
              </w:rPr>
              <w:t>公交车</w:t>
            </w:r>
          </w:p>
        </w:tc>
        <w:tc>
          <w:tcPr>
            <w:tcW w:w="806" w:type="dxa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14:ligatures w14:val="none"/>
              </w:rPr>
              <w:t>8702401090</w:t>
            </w:r>
          </w:p>
        </w:tc>
        <w:tc>
          <w:tcPr>
            <w:tcW w:w="660" w:type="dxa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  <w14:ligatures w14:val="none"/>
              </w:rPr>
              <w:t>辆</w:t>
            </w:r>
          </w:p>
        </w:tc>
        <w:tc>
          <w:tcPr>
            <w:tcW w:w="576" w:type="dxa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  <w14:ligatures w14:val="none"/>
              </w:rPr>
              <w:t>2</w:t>
            </w:r>
          </w:p>
        </w:tc>
        <w:tc>
          <w:tcPr>
            <w:tcW w:w="3307" w:type="dxa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车辆类型：纯电公交车 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车身尺寸：长（10-11M） 宽（2.4-2.6M） 高（3.15-3.35M）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驾驶方式： 右驾驶位置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车</w:t>
            </w: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门： 前、中门电动/气动控制，车门配备紧急解锁装置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座位数： ≥35（含司机椅）≥12个站立位置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电池容量：≥300kWh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最高车速：≤70km/h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地板形式：低入口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天窗：安装带风扇的活动通风天窗，具备进排气功能，可有效促进车内空气流通，提升乘客乘坐舒适度。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车内广播系统：配备专业的车内广播系统，音质清晰，确保车内每个角落的乘客都能清晰地听到广播内容。广播系统支持多种音频格式，可播放实时报站信息、温馨提示等内容。同时，具备与驾驶员操控台的联动功能，方便驾驶员随时进行广播操作。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空调：安装与整车电控系统相兼容的电动冷空调，空调制冷量为不低于32KW，以满足不同季节车内的温度调节需求。配备电除霜系统，有效去除车窗玻璃上的霜雾，保障驾驶员视线清晰。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视频监控系统：全车安装高清视频监控摄像头，至少覆盖车厢前部、中部、后部以及司机驾驶区域，确保无监控死角。摄像头分辨率不低于 1080P，具备夜视功能，能够在低光照环境下清晰拍摄车内情况。视频监控系统支持实时存储和回放功能，存储时间不少于 30 天，以便在需要时可随时查阅车内监控视频，为安全事故调查、纠纷处理等提供有力证据。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外部电子路牌：车辆前部、尾部安装高亮 LED 电子路牌，显示公交线路编号及终点站名称，亮度不低于 5000cd/㎡，可视距离不小于 100 米</w:t>
            </w:r>
            <w:r>
              <w:rPr>
                <w:rStyle w:val="44"/>
                <w:rFonts w:hint="eastAsia" w:ascii="宋体" w:hAnsi="宋体" w:cs="宋体"/>
                <w:color w:val="auto"/>
              </w:rPr>
              <w:t>。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充电接口：采用符合澳新标准的快充接口，兼容市场上主流的充电桩设备，能够在短时间内为车辆快速补充电量，满足公交运营的高强度使用需求。充电接口具备良好的防水、防尘、防触电性能，确保在各种恶劣环境下都能安全可靠地进行充电操作。同时，充电接口位置设计合理，方便公交车在充电站进行对接充电，且接口标识清晰，易于操作。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扶手：在车厢合理位置安装纵向立柱扶手、横向过道扶手、环绕式扶手，确保站立乘客在车厢两侧均可方便抓握，扶手承重不低于 150kg。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防潮要求：车内所有电气设备、线路及内饰材料均须具备良好的防潮性能。电气设备应采用密封设计，并在内部添加防潮剂，防止因潮湿空气侵入而导致短路故障。线路应选用防水、防潮的线缆，并进行严格的密封包扎处理，确保在高湿度环境下正常工作。内饰材料如座椅、车顶棚、地板革等应具备防霉、抗菌功能，且不易因潮湿而变形、损坏，保障车内环境的卫生和舒适。​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防腐蚀要求：车辆底盘、车身骨架等关键部位采用耐腐蚀材料制造，或进行特殊的防腐处理，如镀锌、喷漆、喷塑等，提高车辆整体的抗腐蚀能力。车身外蒙皮采用双面热镀锌板或高强度耐腐蚀复合材料铝合金，采用整幅张拉工艺或分块粘接，确保车身外观的美观性和耐久性。车辆外部的金属部件，如后视镜、门把手、装饰条等，均采用不锈钢或经过防腐处理的金属材质，防止在沿海地区高盐度空气环境下生锈腐蚀。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配置：安全锤、灭火器、随车专用工具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轮胎：轮胎配置不低于：275/70R22.5 x6，备胎x1，备胎置车内发运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语言支持：仪表盘、按键和屏幕显示为英文，手册为英语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配备不低于人民币16万元的备件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color w:val="auto"/>
                <w:kern w:val="0"/>
                <w:szCs w:val="21"/>
              </w:rPr>
              <w:t>无缺陷质量保证期为技术服务完成之日起1年</w:t>
            </w:r>
          </w:p>
        </w:tc>
        <w:tc>
          <w:tcPr>
            <w:tcW w:w="1388" w:type="dxa"/>
            <w:vAlign w:val="center"/>
          </w:tcPr>
          <w:p>
            <w:pPr>
              <w:widowControl/>
              <w:spacing w:after="0" w:line="276" w:lineRule="auto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GB 7258-2017</w:t>
            </w:r>
          </w:p>
          <w:p>
            <w:pPr>
              <w:widowControl/>
              <w:spacing w:after="0" w:line="276" w:lineRule="auto"/>
              <w:jc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机动车运行安全技术条件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2" w:hRule="atLeast"/>
          <w:jc w:val="center"/>
        </w:trPr>
        <w:tc>
          <w:tcPr>
            <w:tcW w:w="612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仿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仿宋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946" w:type="dxa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hint="eastAsia" w:ascii="宋体" w:hAnsi="宋体" w:eastAsia="宋体" w:cs="仿宋"/>
                <w:color w:val="000000"/>
                <w:kern w:val="0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充电桩</w:t>
            </w:r>
          </w:p>
        </w:tc>
        <w:tc>
          <w:tcPr>
            <w:tcW w:w="806" w:type="dxa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hint="eastAsia" w:ascii="宋体" w:hAnsi="宋体" w:cs="仿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8504409999</w:t>
            </w:r>
          </w:p>
        </w:tc>
        <w:tc>
          <w:tcPr>
            <w:tcW w:w="660" w:type="dxa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hint="eastAsia" w:ascii="宋体" w:hAnsi="宋体" w:eastAsia="宋体" w:cs="仿宋"/>
                <w:color w:val="000000"/>
                <w:kern w:val="0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个</w:t>
            </w:r>
          </w:p>
        </w:tc>
        <w:tc>
          <w:tcPr>
            <w:tcW w:w="576" w:type="dxa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hint="eastAsia" w:ascii="宋体" w:hAnsi="宋体" w:eastAsia="宋体" w:cs="仿宋"/>
                <w:color w:val="000000"/>
                <w:kern w:val="0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307" w:type="dxa"/>
            <w:vAlign w:val="center"/>
          </w:tcPr>
          <w:p>
            <w:pPr>
              <w:widowControl/>
              <w:spacing w:after="0" w:line="276" w:lineRule="auto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最大输出功率：120kW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输入额定值：澳新标准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输出电压：DC 200～1000V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输出电流：每个连接器最大250A, 总最大不超过500A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满载功率因数：0.99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THD：≤5%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全效率：满载时&gt;94%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充电接口数量：2个（澳大利亚&amp;新西兰标准CCS2）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防护：设备外壳防护等级不低于IP55，内部电气元件须防盐雾、防腐蚀、防潮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充电线：5m标准（其他长度可选，可选长度范围为不低于5m不长于10m）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冷却方式：强制风扇冷却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检测和保护：绝缘保护、短路保护、过压/欠压保护、过流保护、浪涌保护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本地监控：配备彩色触摸屏人机交互界面，尺寸不小于 7 英寸，分辨率不低于 800×480，可实时显示充电桩运行状态、充电参数、充电费用等信息，支持充电启停操作、参数设置、故障查询等功能​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远程通信：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支持以太网，无线网络，4G/5G，支持充电桩运行数据（包括充电状态、充电电量、故障信息等）实时上传至运营管理平台。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兼容 Modbus TCP、TCP/IP 、OCPP1.6J等通信协议中的一种，具体根据外方用户反馈要求，来选择其中的一种通信协议，可与第三方运营管理平台对接，实现远程监控、远程升级、远程故障诊断等功能。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语言支持：按键和屏幕显示为英文，手册为英语</w:t>
            </w:r>
          </w:p>
          <w:p>
            <w:pPr>
              <w:widowControl/>
              <w:spacing w:after="0" w:line="276" w:lineRule="auto"/>
              <w:jc w:val="both"/>
              <w:rPr>
                <w:rFonts w:hint="eastAsia" w:ascii="宋体" w:hAnsi="宋体" w:cs="仿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无缺陷质量保证期为技术服务完成之日起1年</w:t>
            </w:r>
          </w:p>
        </w:tc>
        <w:tc>
          <w:tcPr>
            <w:tcW w:w="1388" w:type="dxa"/>
            <w:vAlign w:val="center"/>
          </w:tcPr>
          <w:p>
            <w:pPr>
              <w:widowControl/>
              <w:spacing w:after="0" w:line="276" w:lineRule="auto"/>
              <w:jc w:val="center"/>
              <w:rPr>
                <w:rFonts w:hint="eastAsia" w:ascii="宋体" w:hAnsi="宋体" w:cs="仿宋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  <w14:ligatures w14:val="none"/>
              </w:rPr>
              <w:t>GB/T 50966-2024 电动汽车充电站设计标准</w:t>
            </w:r>
          </w:p>
        </w:tc>
      </w:tr>
    </w:tbl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tbl>
      <w:tblPr>
        <w:tblStyle w:val="37"/>
        <w:tblW w:w="84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552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>
            <w:pPr>
              <w:spacing w:after="120" w:line="480" w:lineRule="auto"/>
              <w:ind w:firstLine="105" w:firstLineChars="5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-1</w:t>
            </w:r>
          </w:p>
        </w:tc>
        <w:tc>
          <w:tcPr>
            <w:tcW w:w="2552" w:type="dxa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生产供货特殊要求</w:t>
            </w:r>
          </w:p>
        </w:tc>
        <w:tc>
          <w:tcPr>
            <w:tcW w:w="4805" w:type="dxa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设备操作面板或使用规范文件至少配备英语版本，全部设备提供英文使用手册，维保手册。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>
            <w:pPr>
              <w:spacing w:after="120" w:line="480" w:lineRule="auto"/>
              <w:ind w:firstLine="105" w:firstLineChars="5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-2</w:t>
            </w:r>
          </w:p>
        </w:tc>
        <w:tc>
          <w:tcPr>
            <w:tcW w:w="2552" w:type="dxa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包装</w:t>
            </w:r>
          </w:p>
        </w:tc>
        <w:tc>
          <w:tcPr>
            <w:tcW w:w="4805" w:type="dxa"/>
          </w:tcPr>
          <w:p>
            <w:pPr>
              <w:spacing w:after="120" w:line="480" w:lineRule="auto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内、外包装：</w:t>
            </w:r>
            <w:r>
              <w:rPr>
                <w:rFonts w:hint="eastAsia"/>
                <w:szCs w:val="21"/>
              </w:rPr>
              <w:t>货物包装为标准出口包装，应适合长途海运，防腐、防湿，防潮，防盐雾腐蚀。</w:t>
            </w:r>
          </w:p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运输包装：</w:t>
            </w:r>
            <w:r>
              <w:rPr>
                <w:rFonts w:hint="eastAsia"/>
                <w:szCs w:val="21"/>
              </w:rPr>
              <w:t>适合</w:t>
            </w:r>
            <w:r>
              <w:rPr>
                <w:rFonts w:hint="eastAsia"/>
                <w:szCs w:val="21"/>
                <w:lang w:val="en-US" w:eastAsia="zh-CN"/>
              </w:rPr>
              <w:t>滚装船</w:t>
            </w:r>
            <w:r>
              <w:rPr>
                <w:rFonts w:hint="eastAsia"/>
                <w:szCs w:val="21"/>
              </w:rPr>
              <w:t>海运的出口包装，需防湿、防潮、防盐雾腐蚀。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>
            <w:pPr>
              <w:spacing w:after="120" w:line="480" w:lineRule="auto"/>
              <w:ind w:firstLine="105" w:firstLineChars="5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-3</w:t>
            </w:r>
          </w:p>
        </w:tc>
        <w:tc>
          <w:tcPr>
            <w:tcW w:w="2552" w:type="dxa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援外标识</w:t>
            </w:r>
          </w:p>
        </w:tc>
        <w:tc>
          <w:tcPr>
            <w:tcW w:w="4805" w:type="dxa"/>
          </w:tcPr>
          <w:p>
            <w:pPr>
              <w:spacing w:after="120" w:line="480" w:lineRule="auto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物资本体：</w:t>
            </w:r>
            <w:r>
              <w:rPr>
                <w:rFonts w:hint="eastAsia"/>
                <w:szCs w:val="21"/>
              </w:rPr>
              <w:t>援外标识（中、英语）应当印刷、刻制或喷涂于援外物资的明显位置，费用含在货值内。</w:t>
            </w:r>
          </w:p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包装：</w:t>
            </w:r>
            <w:r>
              <w:rPr>
                <w:rFonts w:hint="eastAsia"/>
                <w:szCs w:val="21"/>
              </w:rPr>
              <w:t>援外标识（中、英语）应当印刷、刻制或喷涂于包装的明显位置，费用含在货值内。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>
            <w:pPr>
              <w:spacing w:after="120" w:line="48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-4</w:t>
            </w:r>
          </w:p>
        </w:tc>
        <w:tc>
          <w:tcPr>
            <w:tcW w:w="2552" w:type="dxa"/>
            <w:vAlign w:val="center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自检验收、第三方检验</w:t>
            </w:r>
          </w:p>
        </w:tc>
        <w:tc>
          <w:tcPr>
            <w:tcW w:w="4805" w:type="dxa"/>
          </w:tcPr>
          <w:p>
            <w:pPr>
              <w:spacing w:after="120" w:line="480" w:lineRule="auto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自检验收：编制自检验收方案，内容包括：验收计划、验收方式、验收记录管理、特殊情况处置。</w:t>
            </w:r>
          </w:p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Arial" w:hAnsi="Arial" w:cs="Arial"/>
              </w:rPr>
              <w:t>第三方检验：本项目下全部物资为非法检物资，严格按照“产地检验、装运前核验和口岸监装”原则进行检验。并根据交流中心《关于进一步加强援外物资项目检验工作的通知》开展检验工作。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>
            <w:pPr>
              <w:spacing w:after="120" w:line="48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-5</w:t>
            </w:r>
          </w:p>
        </w:tc>
        <w:tc>
          <w:tcPr>
            <w:tcW w:w="2552" w:type="dxa"/>
            <w:vAlign w:val="center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国内提货运输及仓储</w:t>
            </w:r>
            <w:bookmarkStart w:id="0" w:name="OLE_LINK3"/>
            <w:r>
              <w:rPr>
                <w:rFonts w:hint="eastAsia" w:ascii="宋体" w:hAnsi="宋体"/>
                <w:szCs w:val="21"/>
              </w:rPr>
              <w:t>保管</w:t>
            </w:r>
            <w:bookmarkEnd w:id="0"/>
            <w:r>
              <w:rPr>
                <w:rFonts w:hint="eastAsia" w:ascii="宋体" w:hAnsi="宋体"/>
                <w:szCs w:val="21"/>
              </w:rPr>
              <w:t>和出口报关</w:t>
            </w:r>
          </w:p>
        </w:tc>
        <w:tc>
          <w:tcPr>
            <w:tcW w:w="4805" w:type="dxa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安全实施国内提货运输及仓储保管和出口报关，并购买相应保险。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>
            <w:pPr>
              <w:spacing w:after="120" w:line="48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-6</w:t>
            </w:r>
          </w:p>
        </w:tc>
        <w:tc>
          <w:tcPr>
            <w:tcW w:w="2552" w:type="dxa"/>
            <w:vAlign w:val="center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国外运输及仓储保管</w:t>
            </w:r>
          </w:p>
        </w:tc>
        <w:tc>
          <w:tcPr>
            <w:tcW w:w="4805" w:type="dxa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安全实施国外运输及仓储保管并购买相应保险。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>
            <w:pPr>
              <w:spacing w:after="120" w:line="48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-7</w:t>
            </w:r>
          </w:p>
        </w:tc>
        <w:tc>
          <w:tcPr>
            <w:tcW w:w="2552" w:type="dxa"/>
            <w:vAlign w:val="center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发运/运抵</w:t>
            </w:r>
          </w:p>
        </w:tc>
        <w:tc>
          <w:tcPr>
            <w:tcW w:w="4805" w:type="dxa"/>
            <w:vAlign w:val="center"/>
          </w:tcPr>
          <w:p>
            <w:pPr>
              <w:pStyle w:val="20"/>
              <w:spacing w:after="120" w:line="480" w:lineRule="auto"/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运输方式：</w:t>
            </w:r>
            <w:r>
              <w:rPr>
                <w:rFonts w:hint="eastAsia" w:ascii="Arial" w:hAnsi="Arial" w:cs="Arial"/>
                <w:lang w:val="en-US" w:eastAsia="zh-CN"/>
              </w:rPr>
              <w:t>滚装船</w:t>
            </w:r>
            <w:r>
              <w:rPr>
                <w:rFonts w:hint="eastAsia" w:ascii="Arial" w:hAnsi="Arial" w:cs="Arial"/>
              </w:rPr>
              <w:t>海运</w:t>
            </w:r>
          </w:p>
          <w:p>
            <w:pPr>
              <w:pStyle w:val="20"/>
              <w:spacing w:after="120" w:line="480" w:lineRule="auto"/>
              <w:jc w:val="left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cs="Arial"/>
              </w:rPr>
              <w:t>运抵地点：</w:t>
            </w:r>
            <w:r>
              <w:rPr>
                <w:rFonts w:hint="eastAsia" w:ascii="Arial" w:hAnsi="Arial" w:cs="Arial"/>
                <w:lang w:val="en-US" w:eastAsia="zh-CN"/>
              </w:rPr>
              <w:t>库克群岛阿瓦鲁阿港</w:t>
            </w:r>
          </w:p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Arial" w:hAnsi="Arial" w:cs="Arial"/>
              </w:rPr>
              <w:t>发运/运抵时限：</w:t>
            </w:r>
            <w:r>
              <w:rPr>
                <w:rFonts w:hint="eastAsia"/>
              </w:rPr>
              <w:t>全部物资于授标后75个自然日内（含当日）一次性发运。中标后，实施企业应立即同外方取得联系，告知其所供设备所需安装场地及配套设施要求，并同外方书面确认。相关工作应于授标后30个自然日内（含当日）完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>
            <w:pPr>
              <w:spacing w:after="120" w:line="48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-8</w:t>
            </w:r>
          </w:p>
        </w:tc>
        <w:tc>
          <w:tcPr>
            <w:tcW w:w="2552" w:type="dxa"/>
            <w:vAlign w:val="center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物资对外交付</w:t>
            </w:r>
          </w:p>
        </w:tc>
        <w:tc>
          <w:tcPr>
            <w:tcW w:w="4805" w:type="dxa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物资交付：</w:t>
            </w:r>
            <w:r>
              <w:rPr>
                <w:rFonts w:hint="eastAsia"/>
                <w:szCs w:val="21"/>
              </w:rPr>
              <w:t>物资运抵受援方指定地点后，中标人须及时与受援方办理物资交付手续，双方确认物资交付的数量和实际运抵时间，并签署交付文件。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>
            <w:pPr>
              <w:spacing w:after="120" w:line="48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-9</w:t>
            </w:r>
          </w:p>
        </w:tc>
        <w:tc>
          <w:tcPr>
            <w:tcW w:w="2552" w:type="dxa"/>
            <w:vAlign w:val="center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技术服务组织、对外技术交接</w:t>
            </w:r>
          </w:p>
        </w:tc>
        <w:tc>
          <w:tcPr>
            <w:tcW w:w="4805" w:type="dxa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中方派3名技术服务人员赴库开展车辆日常驾驶及维护培训，充电桩的安装指导。车辆和充电桩相关培训时长各不小于10天。</w:t>
            </w:r>
          </w:p>
          <w:p>
            <w:pPr>
              <w:spacing w:after="120" w:line="480" w:lineRule="auto"/>
              <w:rPr>
                <w:rFonts w:hint="eastAsia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参考人员数量：</w:t>
            </w:r>
            <w:r>
              <w:rPr>
                <w:rFonts w:hint="eastAsia"/>
                <w:szCs w:val="21"/>
              </w:rPr>
              <w:t>2名技术人员（1名车辆，1名充电桩），1名翻译。技术人员相关专业从业不少于5年，翻译可由项目经理兼任。</w:t>
            </w:r>
          </w:p>
          <w:p>
            <w:pPr>
              <w:spacing w:after="120" w:line="48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参考时间要求：</w:t>
            </w:r>
            <w:r>
              <w:rPr>
                <w:rFonts w:hint="eastAsia"/>
                <w:szCs w:val="21"/>
                <w:lang w:val="en-US" w:eastAsia="zh-CN"/>
              </w:rPr>
              <w:t>12</w:t>
            </w:r>
            <w:r>
              <w:rPr>
                <w:rFonts w:hint="eastAsia"/>
                <w:szCs w:val="21"/>
              </w:rPr>
              <w:t>天（含往返）</w:t>
            </w:r>
          </w:p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技术交付：</w:t>
            </w:r>
            <w:r>
              <w:rPr>
                <w:rFonts w:hint="eastAsia"/>
                <w:szCs w:val="21"/>
              </w:rPr>
              <w:t>完成技术服务后签署技术交付文件，进行技术交付。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>
            <w:pPr>
              <w:spacing w:after="120" w:line="48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-10</w:t>
            </w:r>
          </w:p>
        </w:tc>
        <w:tc>
          <w:tcPr>
            <w:tcW w:w="2552" w:type="dxa"/>
            <w:vAlign w:val="center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售后服务落实和督促</w:t>
            </w:r>
          </w:p>
        </w:tc>
        <w:tc>
          <w:tcPr>
            <w:tcW w:w="4805" w:type="dxa"/>
          </w:tcPr>
          <w:p>
            <w:pPr>
              <w:widowControl/>
              <w:spacing w:after="120" w:line="480" w:lineRule="auto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需提供售后服务的设备：</w:t>
            </w:r>
            <w:r>
              <w:rPr>
                <w:rFonts w:hint="eastAsia"/>
                <w:szCs w:val="21"/>
              </w:rPr>
              <w:t>本项目</w:t>
            </w:r>
            <w:r>
              <w:rPr>
                <w:rFonts w:hint="eastAsia"/>
                <w:szCs w:val="21"/>
                <w:lang w:val="en-US" w:eastAsia="zh-CN"/>
              </w:rPr>
              <w:t>项下全部物资</w:t>
            </w:r>
          </w:p>
          <w:p>
            <w:pPr>
              <w:spacing w:after="120" w:line="480" w:lineRule="auto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售后服务质量目标要求：</w:t>
            </w:r>
            <w:r>
              <w:rPr>
                <w:rFonts w:hint="eastAsia"/>
                <w:szCs w:val="21"/>
              </w:rPr>
              <w:t>为期1年的无缺陷质量保证期，并随车提供相当于车辆价值5%的备件。质保期内，产品质量问题由中方负责。质保期后，由</w:t>
            </w:r>
            <w:r>
              <w:rPr>
                <w:rFonts w:hint="eastAsia"/>
                <w:szCs w:val="21"/>
                <w:lang w:val="en-US" w:eastAsia="zh-CN"/>
              </w:rPr>
              <w:t>库</w:t>
            </w:r>
            <w:r>
              <w:rPr>
                <w:rFonts w:hint="eastAsia"/>
                <w:szCs w:val="21"/>
              </w:rPr>
              <w:t>方自行采购商业维保，且运营、管理、维修、维护资金由</w:t>
            </w:r>
            <w:r>
              <w:rPr>
                <w:rFonts w:hint="eastAsia"/>
                <w:szCs w:val="21"/>
                <w:lang w:val="en-US" w:eastAsia="zh-CN"/>
              </w:rPr>
              <w:t>库</w:t>
            </w:r>
            <w:r>
              <w:rPr>
                <w:rFonts w:hint="eastAsia"/>
                <w:szCs w:val="21"/>
              </w:rPr>
              <w:t>方负责。供货企业或实施企业应指派专人负责该地区的服务，用户可随时通过电话、邮件等形式反馈车辆问题，对电子邮件的响应不超过12小时，电话应即刻响应，以确保相关问题及时解决。同时，应支持通过远程方式，由国内技术团队提供服务。</w:t>
            </w:r>
          </w:p>
          <w:p>
            <w:pPr>
              <w:spacing w:after="120" w:line="48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当地售后服务能力要求：本项目发布招标公告时</w:t>
            </w:r>
            <w:bookmarkStart w:id="1" w:name="_GoBack"/>
            <w:bookmarkEnd w:id="1"/>
            <w:r>
              <w:rPr>
                <w:rFonts w:hint="eastAsia"/>
                <w:szCs w:val="21"/>
              </w:rPr>
              <w:t>，生产企业已在库克群岛、新西兰或澳大利亚已设立车辆售后服务机构，充电桩售后服务由中标人负总责，并在投标时提交可行的售后</w:t>
            </w:r>
            <w:r>
              <w:rPr>
                <w:rFonts w:hint="eastAsia"/>
                <w:szCs w:val="21"/>
                <w:lang w:val="en-US" w:eastAsia="zh-CN"/>
              </w:rPr>
              <w:t>服务方案</w:t>
            </w:r>
            <w:r>
              <w:rPr>
                <w:rFonts w:hint="eastAsia"/>
                <w:szCs w:val="21"/>
                <w:lang w:eastAsia="zh-CN"/>
              </w:rPr>
              <w:t>，</w:t>
            </w:r>
            <w:r>
              <w:rPr>
                <w:rFonts w:hint="eastAsia"/>
                <w:szCs w:val="21"/>
              </w:rPr>
              <w:t>以保证售后服务质量和响应时效。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>
            <w:pPr>
              <w:spacing w:after="120" w:line="48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-11</w:t>
            </w:r>
          </w:p>
        </w:tc>
        <w:tc>
          <w:tcPr>
            <w:tcW w:w="2552" w:type="dxa"/>
            <w:vAlign w:val="center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大型机电设备跟踪（如有）</w:t>
            </w:r>
          </w:p>
        </w:tc>
        <w:tc>
          <w:tcPr>
            <w:tcW w:w="4805" w:type="dxa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>
            <w:pPr>
              <w:spacing w:after="120" w:line="480" w:lineRule="auto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-12</w:t>
            </w:r>
          </w:p>
        </w:tc>
        <w:tc>
          <w:tcPr>
            <w:tcW w:w="2552" w:type="dxa"/>
            <w:vAlign w:val="center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舆情应对方案</w:t>
            </w:r>
          </w:p>
        </w:tc>
        <w:tc>
          <w:tcPr>
            <w:tcW w:w="4805" w:type="dxa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针对项目实施过程中的敏感信息内外部管控、社会层面舆情监控、舆情上报和处理配合等舆情应对工作制定方案。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>
            <w:pPr>
              <w:spacing w:after="120" w:line="480" w:lineRule="auto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-1</w:t>
            </w: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2552" w:type="dxa"/>
            <w:vAlign w:val="center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风险防范化解方案（</w:t>
            </w:r>
            <w:r>
              <w:rPr>
                <w:rFonts w:ascii="宋体" w:hAnsi="宋体"/>
                <w:szCs w:val="21"/>
              </w:rPr>
              <w:t>如须报送安防费，方案须包括</w:t>
            </w:r>
            <w:r>
              <w:rPr>
                <w:rFonts w:hint="eastAsia" w:ascii="宋体" w:hAnsi="宋体"/>
                <w:szCs w:val="21"/>
              </w:rPr>
              <w:t>防范</w:t>
            </w:r>
            <w:r>
              <w:rPr>
                <w:rFonts w:ascii="宋体" w:hAnsi="宋体"/>
                <w:szCs w:val="21"/>
              </w:rPr>
              <w:t>恐怖主义相关内容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4805" w:type="dxa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Arial" w:hAnsi="Arial" w:cs="Arial"/>
              </w:rPr>
              <w:t>针对质量、安全、廉洁、进度、资金和不可抗力事件等风险，制订防范化解和应对方案。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>
            <w:pPr>
              <w:spacing w:after="120" w:line="480" w:lineRule="auto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-1</w:t>
            </w: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2552" w:type="dxa"/>
            <w:vAlign w:val="center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质量保证期</w:t>
            </w:r>
          </w:p>
        </w:tc>
        <w:tc>
          <w:tcPr>
            <w:tcW w:w="4805" w:type="dxa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hAnsi="宋体" w:cs="Arial"/>
              </w:rPr>
              <w:t>自运抵日起为期1年的质保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>
            <w:pPr>
              <w:spacing w:after="120" w:line="480" w:lineRule="auto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-1</w:t>
            </w: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2552" w:type="dxa"/>
            <w:vAlign w:val="center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主要标的的生产企业质量管理、环境管理和职业健康安全管理体系</w:t>
            </w:r>
          </w:p>
        </w:tc>
        <w:tc>
          <w:tcPr>
            <w:tcW w:w="4805" w:type="dxa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本项目主要标的为：</w:t>
            </w:r>
          </w:p>
          <w:p>
            <w:pPr>
              <w:spacing w:after="120" w:line="480" w:lineRule="auto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第1项：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公交车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tcPr>
            <w:tcW w:w="1129" w:type="dxa"/>
            <w:vAlign w:val="center"/>
          </w:tcPr>
          <w:p>
            <w:pPr>
              <w:spacing w:after="120" w:line="480" w:lineRule="auto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2-16</w:t>
            </w:r>
          </w:p>
        </w:tc>
        <w:tc>
          <w:tcPr>
            <w:tcW w:w="2552" w:type="dxa"/>
            <w:vAlign w:val="center"/>
          </w:tcPr>
          <w:p>
            <w:pPr>
              <w:spacing w:after="120" w:line="48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其他</w:t>
            </w:r>
          </w:p>
        </w:tc>
        <w:tc>
          <w:tcPr>
            <w:tcW w:w="4805" w:type="dxa"/>
          </w:tcPr>
          <w:p>
            <w:pPr>
              <w:tabs>
                <w:tab w:val="left" w:pos="8280"/>
              </w:tabs>
              <w:spacing w:after="120" w:line="276" w:lineRule="auto"/>
              <w:ind w:right="-108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1.设备操作面板或使用规范文件至少配备英语版本，全部设备提供英文使用手册，维保手册。</w:t>
            </w:r>
          </w:p>
          <w:p>
            <w:pPr>
              <w:tabs>
                <w:tab w:val="left" w:pos="8280"/>
              </w:tabs>
              <w:spacing w:after="120" w:line="276" w:lineRule="auto"/>
              <w:ind w:right="-108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2.中方对拟供物资提供自技术服务完成之日起1年的质保，并按不低于人民币16万元的标准提供公交车的备品备件。</w:t>
            </w:r>
          </w:p>
          <w:p>
            <w:pPr>
              <w:tabs>
                <w:tab w:val="left" w:pos="8280"/>
              </w:tabs>
              <w:spacing w:after="120" w:line="276" w:lineRule="auto"/>
              <w:ind w:right="-108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3.优先选用滚装船运输。</w:t>
            </w:r>
          </w:p>
          <w:p>
            <w:pPr>
              <w:tabs>
                <w:tab w:val="left" w:pos="8280"/>
              </w:tabs>
              <w:spacing w:after="120" w:line="276" w:lineRule="auto"/>
              <w:ind w:right="-108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4.本项目拟供车辆、充电桩采用中国标准，充电功能和接口适配澳新标准即可，配套的三相电电压和交直流插头、插座采用新西兰标准，便于与当地同类型的设备与设施相互复用兼容。</w:t>
            </w:r>
          </w:p>
          <w:p>
            <w:pPr>
              <w:tabs>
                <w:tab w:val="left" w:pos="8280"/>
              </w:tabs>
              <w:spacing w:after="120" w:line="276" w:lineRule="auto"/>
              <w:ind w:right="-108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5.在车辆、设备的明显位置印制或喷涂中英文援外标识。</w:t>
            </w:r>
          </w:p>
          <w:p>
            <w:pPr>
              <w:tabs>
                <w:tab w:val="left" w:pos="8280"/>
              </w:tabs>
              <w:spacing w:after="120" w:line="276" w:lineRule="auto"/>
              <w:ind w:right="-108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6.招标时需要求实施企业提交舆情应对方案和风险防范化解方案。</w:t>
            </w:r>
          </w:p>
          <w:p>
            <w:pPr>
              <w:tabs>
                <w:tab w:val="left" w:pos="8280"/>
              </w:tabs>
              <w:spacing w:after="120" w:line="276" w:lineRule="auto"/>
              <w:ind w:right="-108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7.中标人应按本项目对外金额的110%为全部物资办理运输一切险和附加险（港口短期存储险、战争险、罢工险、自驾险等），保险区段为自各项物资生产采购地点至目的地止。</w:t>
            </w:r>
          </w:p>
          <w:p>
            <w:pPr>
              <w:tabs>
                <w:tab w:val="left" w:pos="8280"/>
              </w:tabs>
              <w:spacing w:after="120" w:line="276" w:lineRule="auto"/>
              <w:ind w:right="-108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8.车身主要颜色为白色。</w:t>
            </w:r>
          </w:p>
        </w:tc>
      </w:tr>
    </w:tbl>
    <w:p>
      <w:pPr>
        <w:widowControl/>
        <w:jc w:val="left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82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..C.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2D7F5BE"/>
    <w:multiLevelType w:val="multilevel"/>
    <w:tmpl w:val="E2D7F5BE"/>
    <w:lvl w:ilvl="0" w:tentative="0">
      <w:start w:val="0"/>
      <w:numFmt w:val="decimal"/>
      <w:pStyle w:val="22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>
    <w:nsid w:val="0FFFFF7F"/>
    <w:multiLevelType w:val="singleLevel"/>
    <w:tmpl w:val="0FFFFF7F"/>
    <w:lvl w:ilvl="0" w:tentative="0">
      <w:start w:val="1"/>
      <w:numFmt w:val="decimal"/>
      <w:pStyle w:val="50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2">
    <w:nsid w:val="0FFFFF80"/>
    <w:multiLevelType w:val="singleLevel"/>
    <w:tmpl w:val="0FFFFF80"/>
    <w:lvl w:ilvl="0" w:tentative="0">
      <w:start w:val="1"/>
      <w:numFmt w:val="bullet"/>
      <w:pStyle w:val="23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">
    <w:nsid w:val="0FFFFF81"/>
    <w:multiLevelType w:val="singleLevel"/>
    <w:tmpl w:val="0FFFFF81"/>
    <w:lvl w:ilvl="0" w:tentative="0">
      <w:start w:val="1"/>
      <w:numFmt w:val="bullet"/>
      <w:pStyle w:val="102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4">
    <w:nsid w:val="0FFFFF83"/>
    <w:multiLevelType w:val="singleLevel"/>
    <w:tmpl w:val="0FFFFF83"/>
    <w:lvl w:ilvl="0" w:tentative="0">
      <w:start w:val="1"/>
      <w:numFmt w:val="bullet"/>
      <w:pStyle w:val="17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5">
    <w:nsid w:val="0FFFFF88"/>
    <w:multiLevelType w:val="singleLevel"/>
    <w:tmpl w:val="0FFFFF88"/>
    <w:lvl w:ilvl="0" w:tentative="0">
      <w:start w:val="1"/>
      <w:numFmt w:val="decimal"/>
      <w:pStyle w:val="9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0FFFFF89"/>
    <w:multiLevelType w:val="singleLevel"/>
    <w:tmpl w:val="0FFFFF89"/>
    <w:lvl w:ilvl="0" w:tentative="0">
      <w:start w:val="1"/>
      <w:numFmt w:val="bullet"/>
      <w:pStyle w:val="9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7">
    <w:nsid w:val="29D32FBB"/>
    <w:multiLevelType w:val="multilevel"/>
    <w:tmpl w:val="29D32FBB"/>
    <w:lvl w:ilvl="0" w:tentative="0">
      <w:start w:val="0"/>
      <w:numFmt w:val="decimal"/>
      <w:pStyle w:val="97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</w:lvl>
  </w:abstractNum>
  <w:abstractNum w:abstractNumId="8">
    <w:nsid w:val="2CB97AFE"/>
    <w:multiLevelType w:val="multilevel"/>
    <w:tmpl w:val="2CB97AFE"/>
    <w:lvl w:ilvl="0" w:tentative="0">
      <w:start w:val="1"/>
      <w:numFmt w:val="decimal"/>
      <w:pStyle w:val="30"/>
      <w:suff w:val="nothing"/>
      <w:lvlText w:val="%1"/>
      <w:lvlJc w:val="center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pStyle w:val="5"/>
      <w:lvlText w:val="%4."/>
      <w:lvlJc w:val="left"/>
      <w:pPr>
        <w:ind w:left="1680" w:hanging="420"/>
      </w:pPr>
    </w:lvl>
    <w:lvl w:ilvl="4" w:tentative="0">
      <w:start w:val="1"/>
      <w:numFmt w:val="lowerLetter"/>
      <w:pStyle w:val="6"/>
      <w:lvlText w:val="%5)"/>
      <w:lvlJc w:val="left"/>
      <w:pPr>
        <w:ind w:left="2100" w:hanging="420"/>
      </w:pPr>
    </w:lvl>
    <w:lvl w:ilvl="5" w:tentative="0">
      <w:start w:val="1"/>
      <w:numFmt w:val="lowerRoman"/>
      <w:pStyle w:val="7"/>
      <w:lvlText w:val="%6."/>
      <w:lvlJc w:val="right"/>
      <w:pPr>
        <w:ind w:left="2520" w:hanging="420"/>
      </w:pPr>
    </w:lvl>
    <w:lvl w:ilvl="6" w:tentative="0">
      <w:start w:val="1"/>
      <w:numFmt w:val="decimal"/>
      <w:pStyle w:val="8"/>
      <w:lvlText w:val="%7."/>
      <w:lvlJc w:val="left"/>
      <w:pPr>
        <w:ind w:left="2940" w:hanging="420"/>
      </w:pPr>
    </w:lvl>
    <w:lvl w:ilvl="7" w:tentative="0">
      <w:start w:val="1"/>
      <w:numFmt w:val="lowerLetter"/>
      <w:pStyle w:val="9"/>
      <w:lvlText w:val="%8)"/>
      <w:lvlJc w:val="left"/>
      <w:pPr>
        <w:ind w:left="3360" w:hanging="420"/>
      </w:pPr>
    </w:lvl>
    <w:lvl w:ilvl="8" w:tentative="0">
      <w:start w:val="1"/>
      <w:numFmt w:val="lowerRoman"/>
      <w:pStyle w:val="10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6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Q3ZjYyM2ZlM2VmMTk3ZTQ4NzFlNTRiMDczNDJkOTcifQ=="/>
  </w:docVars>
  <w:rsids>
    <w:rsidRoot w:val="00172A27"/>
    <w:rsid w:val="003A3C88"/>
    <w:rsid w:val="003E2178"/>
    <w:rsid w:val="00401EC1"/>
    <w:rsid w:val="004476A2"/>
    <w:rsid w:val="004F3254"/>
    <w:rsid w:val="005344CA"/>
    <w:rsid w:val="00633886"/>
    <w:rsid w:val="0072170C"/>
    <w:rsid w:val="008B2B7C"/>
    <w:rsid w:val="009D3DC6"/>
    <w:rsid w:val="009E43BE"/>
    <w:rsid w:val="00AA74D3"/>
    <w:rsid w:val="00B35D35"/>
    <w:rsid w:val="00B42DF0"/>
    <w:rsid w:val="00BA5FEA"/>
    <w:rsid w:val="00BB1D18"/>
    <w:rsid w:val="00BD10CF"/>
    <w:rsid w:val="00BF3ECA"/>
    <w:rsid w:val="00CE2628"/>
    <w:rsid w:val="00D06C5D"/>
    <w:rsid w:val="00D5034C"/>
    <w:rsid w:val="00D64482"/>
    <w:rsid w:val="00D77219"/>
    <w:rsid w:val="00D81431"/>
    <w:rsid w:val="00EB0960"/>
    <w:rsid w:val="0810065C"/>
    <w:rsid w:val="09586CC1"/>
    <w:rsid w:val="21E01619"/>
    <w:rsid w:val="2BA64916"/>
    <w:rsid w:val="2D8D0CAA"/>
    <w:rsid w:val="319A0743"/>
    <w:rsid w:val="3B9A3181"/>
    <w:rsid w:val="3FD465BF"/>
    <w:rsid w:val="41492C4C"/>
    <w:rsid w:val="43656A9D"/>
    <w:rsid w:val="59210EF8"/>
    <w:rsid w:val="6310042E"/>
    <w:rsid w:val="6A092D16"/>
    <w:rsid w:val="70AE1235"/>
    <w:rsid w:val="70DA5808"/>
    <w:rsid w:val="7D68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iPriority="0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8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9"/>
    <w:qFormat/>
    <w:uiPriority w:val="0"/>
    <w:pPr>
      <w:keepNext/>
      <w:keepLines/>
      <w:spacing w:before="260" w:after="260" w:line="412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10"/>
    <w:qFormat/>
    <w:uiPriority w:val="0"/>
    <w:pPr>
      <w:keepNext/>
      <w:keepLines/>
      <w:spacing w:before="260" w:after="260" w:line="412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11"/>
    <w:qFormat/>
    <w:uiPriority w:val="0"/>
    <w:pPr>
      <w:keepNext/>
      <w:keepLines/>
      <w:numPr>
        <w:ilvl w:val="3"/>
        <w:numId w:val="1"/>
      </w:numPr>
      <w:tabs>
        <w:tab w:val="left" w:pos="0"/>
      </w:tabs>
      <w:spacing w:before="280" w:after="290" w:line="376" w:lineRule="atLeast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112"/>
    <w:qFormat/>
    <w:uiPriority w:val="0"/>
    <w:pPr>
      <w:keepNext/>
      <w:keepLines/>
      <w:numPr>
        <w:ilvl w:val="4"/>
        <w:numId w:val="1"/>
      </w:numPr>
      <w:tabs>
        <w:tab w:val="left" w:pos="0"/>
      </w:tabs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113"/>
    <w:qFormat/>
    <w:uiPriority w:val="0"/>
    <w:pPr>
      <w:keepNext/>
      <w:keepLines/>
      <w:numPr>
        <w:ilvl w:val="5"/>
        <w:numId w:val="1"/>
      </w:numPr>
      <w:tabs>
        <w:tab w:val="left" w:pos="0"/>
      </w:tabs>
      <w:spacing w:before="240" w:after="64" w:line="320" w:lineRule="atLeast"/>
      <w:outlineLvl w:val="5"/>
    </w:pPr>
    <w:rPr>
      <w:rFonts w:ascii="Arial" w:hAnsi="Arial" w:eastAsia="黑体"/>
      <w:b/>
      <w:bCs/>
      <w:szCs w:val="24"/>
    </w:rPr>
  </w:style>
  <w:style w:type="paragraph" w:styleId="8">
    <w:name w:val="heading 7"/>
    <w:basedOn w:val="1"/>
    <w:next w:val="1"/>
    <w:link w:val="114"/>
    <w:qFormat/>
    <w:uiPriority w:val="0"/>
    <w:pPr>
      <w:keepNext/>
      <w:keepLines/>
      <w:numPr>
        <w:ilvl w:val="6"/>
        <w:numId w:val="1"/>
      </w:numPr>
      <w:tabs>
        <w:tab w:val="left" w:pos="0"/>
      </w:tabs>
      <w:spacing w:before="240" w:after="64" w:line="320" w:lineRule="atLeast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115"/>
    <w:qFormat/>
    <w:uiPriority w:val="0"/>
    <w:pPr>
      <w:keepNext/>
      <w:keepLines/>
      <w:numPr>
        <w:ilvl w:val="7"/>
        <w:numId w:val="1"/>
      </w:numPr>
      <w:tabs>
        <w:tab w:val="left" w:pos="0"/>
      </w:tabs>
      <w:spacing w:before="240" w:after="64" w:line="320" w:lineRule="atLeast"/>
      <w:outlineLvl w:val="7"/>
    </w:pPr>
    <w:rPr>
      <w:rFonts w:ascii="Arial" w:hAnsi="Arial" w:eastAsia="黑体"/>
      <w:szCs w:val="24"/>
    </w:rPr>
  </w:style>
  <w:style w:type="paragraph" w:styleId="10">
    <w:name w:val="heading 9"/>
    <w:basedOn w:val="1"/>
    <w:next w:val="1"/>
    <w:link w:val="116"/>
    <w:qFormat/>
    <w:uiPriority w:val="0"/>
    <w:pPr>
      <w:keepNext/>
      <w:keepLines/>
      <w:numPr>
        <w:ilvl w:val="8"/>
        <w:numId w:val="1"/>
      </w:numPr>
      <w:tabs>
        <w:tab w:val="left" w:pos="0"/>
      </w:tabs>
      <w:spacing w:before="240" w:after="64" w:line="320" w:lineRule="atLeast"/>
      <w:outlineLvl w:val="8"/>
    </w:pPr>
    <w:rPr>
      <w:rFonts w:ascii="Arial" w:hAnsi="Arial" w:eastAsia="黑体"/>
      <w:szCs w:val="21"/>
    </w:rPr>
  </w:style>
  <w:style w:type="character" w:default="1" w:styleId="39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1260"/>
      <w:jc w:val="left"/>
    </w:pPr>
    <w:rPr>
      <w:rFonts w:ascii="Times New Roman" w:hAnsi="Times New Roman"/>
      <w:sz w:val="18"/>
      <w:szCs w:val="18"/>
    </w:rPr>
  </w:style>
  <w:style w:type="paragraph" w:styleId="12">
    <w:name w:val="Normal Indent"/>
    <w:basedOn w:val="1"/>
    <w:qFormat/>
    <w:uiPriority w:val="0"/>
    <w:pPr>
      <w:ind w:firstLine="420"/>
    </w:pPr>
  </w:style>
  <w:style w:type="paragraph" w:styleId="13">
    <w:name w:val="caption"/>
    <w:basedOn w:val="1"/>
    <w:next w:val="1"/>
    <w:qFormat/>
    <w:uiPriority w:val="0"/>
    <w:pPr>
      <w:spacing w:line="480" w:lineRule="auto"/>
    </w:pPr>
    <w:rPr>
      <w:rFonts w:ascii="华文中宋" w:eastAsia="华文中宋"/>
      <w:sz w:val="36"/>
    </w:rPr>
  </w:style>
  <w:style w:type="paragraph" w:styleId="14">
    <w:name w:val="Document Map"/>
    <w:basedOn w:val="1"/>
    <w:link w:val="123"/>
    <w:qFormat/>
    <w:uiPriority w:val="0"/>
    <w:pPr>
      <w:shd w:val="clear" w:color="auto" w:fill="000080"/>
    </w:pPr>
  </w:style>
  <w:style w:type="paragraph" w:styleId="15">
    <w:name w:val="annotation text"/>
    <w:basedOn w:val="1"/>
    <w:link w:val="119"/>
    <w:unhideWhenUsed/>
    <w:qFormat/>
    <w:uiPriority w:val="0"/>
    <w:pPr>
      <w:jc w:val="left"/>
    </w:pPr>
  </w:style>
  <w:style w:type="paragraph" w:styleId="16">
    <w:name w:val="Body Text"/>
    <w:basedOn w:val="1"/>
    <w:link w:val="126"/>
    <w:qFormat/>
    <w:uiPriority w:val="0"/>
    <w:rPr>
      <w:sz w:val="28"/>
    </w:rPr>
  </w:style>
  <w:style w:type="paragraph" w:styleId="17">
    <w:name w:val="Body Text Indent"/>
    <w:basedOn w:val="1"/>
    <w:link w:val="130"/>
    <w:qFormat/>
    <w:uiPriority w:val="0"/>
    <w:pPr>
      <w:numPr>
        <w:ilvl w:val="0"/>
        <w:numId w:val="2"/>
      </w:numPr>
      <w:ind w:left="1104" w:firstLine="0"/>
    </w:pPr>
    <w:rPr>
      <w:rFonts w:ascii="宋体"/>
      <w:szCs w:val="21"/>
    </w:rPr>
  </w:style>
  <w:style w:type="paragraph" w:styleId="18">
    <w:name w:val="toc 5"/>
    <w:basedOn w:val="1"/>
    <w:next w:val="1"/>
    <w:qFormat/>
    <w:uiPriority w:val="0"/>
    <w:pPr>
      <w:ind w:left="840"/>
      <w:jc w:val="left"/>
    </w:pPr>
    <w:rPr>
      <w:rFonts w:ascii="Times New Roman" w:hAnsi="Times New Roman"/>
      <w:sz w:val="18"/>
      <w:szCs w:val="18"/>
    </w:rPr>
  </w:style>
  <w:style w:type="paragraph" w:styleId="19">
    <w:name w:val="toc 3"/>
    <w:basedOn w:val="1"/>
    <w:next w:val="1"/>
    <w:qFormat/>
    <w:uiPriority w:val="0"/>
    <w:pPr>
      <w:ind w:left="420"/>
      <w:jc w:val="left"/>
    </w:pPr>
    <w:rPr>
      <w:rFonts w:ascii="Times New Roman" w:hAnsi="Times New Roman"/>
      <w:i/>
      <w:iCs/>
      <w:sz w:val="20"/>
      <w:szCs w:val="20"/>
    </w:rPr>
  </w:style>
  <w:style w:type="paragraph" w:styleId="20">
    <w:name w:val="Plain Text"/>
    <w:basedOn w:val="1"/>
    <w:link w:val="107"/>
    <w:qFormat/>
    <w:uiPriority w:val="0"/>
    <w:rPr>
      <w:rFonts w:ascii="宋体"/>
      <w:szCs w:val="21"/>
    </w:rPr>
  </w:style>
  <w:style w:type="paragraph" w:styleId="21">
    <w:name w:val="toc 8"/>
    <w:basedOn w:val="1"/>
    <w:next w:val="1"/>
    <w:qFormat/>
    <w:uiPriority w:val="0"/>
    <w:pPr>
      <w:ind w:left="1470"/>
      <w:jc w:val="left"/>
    </w:pPr>
    <w:rPr>
      <w:rFonts w:ascii="Times New Roman" w:hAnsi="Times New Roman"/>
      <w:sz w:val="18"/>
      <w:szCs w:val="18"/>
    </w:rPr>
  </w:style>
  <w:style w:type="paragraph" w:styleId="22">
    <w:name w:val="Date"/>
    <w:basedOn w:val="1"/>
    <w:next w:val="1"/>
    <w:link w:val="125"/>
    <w:qFormat/>
    <w:uiPriority w:val="0"/>
    <w:pPr>
      <w:numPr>
        <w:ilvl w:val="0"/>
        <w:numId w:val="3"/>
      </w:numPr>
      <w:ind w:left="100"/>
    </w:pPr>
  </w:style>
  <w:style w:type="paragraph" w:styleId="23">
    <w:name w:val="Body Text Indent 2"/>
    <w:basedOn w:val="1"/>
    <w:link w:val="129"/>
    <w:qFormat/>
    <w:uiPriority w:val="0"/>
    <w:pPr>
      <w:numPr>
        <w:ilvl w:val="0"/>
        <w:numId w:val="4"/>
      </w:numPr>
      <w:ind w:left="0" w:firstLine="586"/>
    </w:pPr>
    <w:rPr>
      <w:rFonts w:ascii="宋体"/>
      <w:szCs w:val="21"/>
    </w:rPr>
  </w:style>
  <w:style w:type="paragraph" w:styleId="24">
    <w:name w:val="Balloon Text"/>
    <w:basedOn w:val="1"/>
    <w:link w:val="121"/>
    <w:qFormat/>
    <w:uiPriority w:val="0"/>
    <w:rPr>
      <w:sz w:val="18"/>
      <w:szCs w:val="18"/>
    </w:rPr>
  </w:style>
  <w:style w:type="paragraph" w:styleId="25">
    <w:name w:val="footer"/>
    <w:basedOn w:val="1"/>
    <w:link w:val="12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6">
    <w:name w:val="header"/>
    <w:basedOn w:val="1"/>
    <w:link w:val="12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7">
    <w:name w:val="toc 1"/>
    <w:basedOn w:val="1"/>
    <w:next w:val="1"/>
    <w:qFormat/>
    <w:uiPriority w:val="0"/>
    <w:pPr>
      <w:spacing w:before="120" w:after="120"/>
      <w:jc w:val="left"/>
    </w:pPr>
    <w:rPr>
      <w:rFonts w:ascii="Times New Roman" w:hAnsi="Times New Roman"/>
      <w:b/>
      <w:bCs/>
      <w:caps/>
      <w:sz w:val="20"/>
      <w:szCs w:val="20"/>
    </w:rPr>
  </w:style>
  <w:style w:type="paragraph" w:styleId="28">
    <w:name w:val="toc 4"/>
    <w:basedOn w:val="1"/>
    <w:next w:val="1"/>
    <w:qFormat/>
    <w:uiPriority w:val="0"/>
    <w:pPr>
      <w:ind w:left="630"/>
      <w:jc w:val="left"/>
    </w:pPr>
    <w:rPr>
      <w:rFonts w:ascii="Times New Roman" w:hAnsi="Times New Roman"/>
      <w:sz w:val="18"/>
      <w:szCs w:val="18"/>
    </w:rPr>
  </w:style>
  <w:style w:type="paragraph" w:styleId="29">
    <w:name w:val="toc 6"/>
    <w:basedOn w:val="1"/>
    <w:next w:val="1"/>
    <w:qFormat/>
    <w:uiPriority w:val="0"/>
    <w:pPr>
      <w:ind w:left="1050"/>
      <w:jc w:val="left"/>
    </w:pPr>
    <w:rPr>
      <w:rFonts w:ascii="Times New Roman" w:hAnsi="Times New Roman"/>
      <w:sz w:val="18"/>
      <w:szCs w:val="18"/>
    </w:rPr>
  </w:style>
  <w:style w:type="paragraph" w:styleId="30">
    <w:name w:val="Body Text Indent 3"/>
    <w:basedOn w:val="1"/>
    <w:link w:val="122"/>
    <w:qFormat/>
    <w:uiPriority w:val="0"/>
    <w:pPr>
      <w:numPr>
        <w:ilvl w:val="0"/>
        <w:numId w:val="1"/>
      </w:numPr>
      <w:ind w:left="0" w:firstLine="570"/>
    </w:pPr>
    <w:rPr>
      <w:sz w:val="28"/>
    </w:rPr>
  </w:style>
  <w:style w:type="paragraph" w:styleId="31">
    <w:name w:val="toc 2"/>
    <w:basedOn w:val="1"/>
    <w:next w:val="1"/>
    <w:qFormat/>
    <w:uiPriority w:val="0"/>
    <w:pPr>
      <w:ind w:left="210"/>
      <w:jc w:val="left"/>
    </w:pPr>
    <w:rPr>
      <w:rFonts w:ascii="Times New Roman" w:hAnsi="Times New Roman"/>
      <w:smallCaps/>
      <w:sz w:val="20"/>
      <w:szCs w:val="20"/>
    </w:rPr>
  </w:style>
  <w:style w:type="paragraph" w:styleId="32">
    <w:name w:val="toc 9"/>
    <w:basedOn w:val="1"/>
    <w:next w:val="1"/>
    <w:qFormat/>
    <w:uiPriority w:val="0"/>
    <w:pPr>
      <w:ind w:left="1680"/>
      <w:jc w:val="left"/>
    </w:pPr>
    <w:rPr>
      <w:rFonts w:ascii="Times New Roman" w:hAnsi="Times New Roman"/>
      <w:sz w:val="18"/>
      <w:szCs w:val="18"/>
    </w:rPr>
  </w:style>
  <w:style w:type="paragraph" w:styleId="33">
    <w:name w:val="Body Text 2"/>
    <w:basedOn w:val="1"/>
    <w:link w:val="127"/>
    <w:qFormat/>
    <w:uiPriority w:val="0"/>
    <w:pPr>
      <w:spacing w:after="120" w:line="480" w:lineRule="auto"/>
    </w:pPr>
  </w:style>
  <w:style w:type="paragraph" w:styleId="34">
    <w:name w:val="Normal (Web)"/>
    <w:basedOn w:val="1"/>
    <w:qFormat/>
    <w:uiPriority w:val="0"/>
    <w:pPr>
      <w:widowControl/>
      <w:spacing w:before="100" w:beforeAutospacing="1" w:after="100" w:afterAutospacing="1"/>
    </w:pPr>
    <w:rPr>
      <w:rFonts w:ascii="宋体"/>
      <w:szCs w:val="24"/>
      <w:lang w:eastAsia="en-US"/>
    </w:rPr>
  </w:style>
  <w:style w:type="paragraph" w:styleId="35">
    <w:name w:val="Title"/>
    <w:basedOn w:val="1"/>
    <w:next w:val="1"/>
    <w:link w:val="13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5"/>
    <w:next w:val="15"/>
    <w:link w:val="120"/>
    <w:qFormat/>
    <w:uiPriority w:val="0"/>
    <w:pPr>
      <w:jc w:val="both"/>
    </w:pPr>
    <w:rPr>
      <w:b/>
      <w:bCs/>
    </w:rPr>
  </w:style>
  <w:style w:type="table" w:styleId="38">
    <w:name w:val="Table Grid"/>
    <w:basedOn w:val="37"/>
    <w:qFormat/>
    <w:uiPriority w:val="39"/>
    <w:rPr>
      <w:rFonts w:eastAsia="方正小标宋_GBK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40">
    <w:name w:val="Strong"/>
    <w:qFormat/>
    <w:uiPriority w:val="0"/>
    <w:rPr>
      <w:b/>
    </w:rPr>
  </w:style>
  <w:style w:type="character" w:styleId="41">
    <w:name w:val="page number"/>
    <w:basedOn w:val="39"/>
    <w:qFormat/>
    <w:uiPriority w:val="0"/>
  </w:style>
  <w:style w:type="character" w:styleId="42">
    <w:name w:val="FollowedHyperlink"/>
    <w:qFormat/>
    <w:uiPriority w:val="0"/>
    <w:rPr>
      <w:color w:val="800080"/>
      <w:u w:val="single"/>
    </w:rPr>
  </w:style>
  <w:style w:type="character" w:styleId="43">
    <w:name w:val="Hyperlink"/>
    <w:qFormat/>
    <w:uiPriority w:val="0"/>
    <w:rPr>
      <w:color w:val="0000FF"/>
      <w:u w:val="single"/>
    </w:rPr>
  </w:style>
  <w:style w:type="character" w:styleId="44">
    <w:name w:val="annotation reference"/>
    <w:qFormat/>
    <w:uiPriority w:val="0"/>
    <w:rPr>
      <w:sz w:val="21"/>
      <w:szCs w:val="21"/>
    </w:rPr>
  </w:style>
  <w:style w:type="paragraph" w:customStyle="1" w:styleId="45">
    <w:name w:val="Char Char Char Char"/>
    <w:basedOn w:val="1"/>
    <w:qFormat/>
    <w:uiPriority w:val="0"/>
    <w:rPr>
      <w:rFonts w:ascii="Tahoma" w:hAnsi="Tahoma"/>
    </w:rPr>
  </w:style>
  <w:style w:type="paragraph" w:customStyle="1" w:styleId="46">
    <w:name w:val="默认段落字体 Para Char Char Char Char"/>
    <w:basedOn w:val="1"/>
    <w:qFormat/>
    <w:uiPriority w:val="0"/>
    <w:rPr>
      <w:rFonts w:ascii="Arial" w:hAnsi="Arial" w:cs="Arial"/>
      <w:szCs w:val="21"/>
    </w:rPr>
  </w:style>
  <w:style w:type="paragraph" w:customStyle="1" w:styleId="47">
    <w:name w:val="PMletterText"/>
    <w:basedOn w:val="48"/>
    <w:qFormat/>
    <w:uiPriority w:val="0"/>
    <w:pPr>
      <w:spacing w:before="240"/>
      <w:ind w:left="720"/>
    </w:pPr>
  </w:style>
  <w:style w:type="paragraph" w:customStyle="1" w:styleId="48">
    <w:name w:val="PMstyle"/>
    <w:qFormat/>
    <w:uiPriority w:val="0"/>
    <w:rPr>
      <w:rFonts w:ascii="Tahoma" w:hAnsi="Tahoma" w:eastAsia="宋体" w:cs="Times New Roman"/>
      <w:sz w:val="22"/>
      <w:lang w:val="en-US" w:eastAsia="zh-CN" w:bidi="ar-SA"/>
    </w:rPr>
  </w:style>
  <w:style w:type="paragraph" w:customStyle="1" w:styleId="49">
    <w:name w:val="样式 标题 2 + 宋体 五号 非加粗 黑色"/>
    <w:basedOn w:val="3"/>
    <w:qFormat/>
    <w:uiPriority w:val="0"/>
    <w:pPr>
      <w:tabs>
        <w:tab w:val="left" w:pos="1140"/>
      </w:tabs>
      <w:ind w:left="1140" w:hanging="720"/>
    </w:pPr>
    <w:rPr>
      <w:rFonts w:ascii="宋体" w:eastAsia="宋体"/>
      <w:b w:val="0"/>
      <w:bCs/>
      <w:color w:val="000000"/>
      <w:sz w:val="21"/>
    </w:rPr>
  </w:style>
  <w:style w:type="paragraph" w:customStyle="1" w:styleId="50">
    <w:name w:val="Body Text 21"/>
    <w:basedOn w:val="1"/>
    <w:qFormat/>
    <w:uiPriority w:val="0"/>
    <w:pPr>
      <w:numPr>
        <w:ilvl w:val="0"/>
        <w:numId w:val="5"/>
      </w:numPr>
      <w:spacing w:before="240" w:line="400" w:lineRule="exact"/>
      <w:ind w:left="0" w:firstLine="357"/>
    </w:pPr>
    <w:rPr>
      <w:sz w:val="28"/>
    </w:rPr>
  </w:style>
  <w:style w:type="paragraph" w:customStyle="1" w:styleId="51">
    <w:name w:val="样式 样式 标题 2 + 宋体 五号 非加粗 黑色 + 段前: 6 磅 段后: 0 磅 行距: 单倍行距"/>
    <w:basedOn w:val="49"/>
    <w:qFormat/>
    <w:uiPriority w:val="0"/>
    <w:pPr>
      <w:spacing w:before="120" w:after="0" w:line="240" w:lineRule="auto"/>
    </w:pPr>
    <w:rPr>
      <w:szCs w:val="20"/>
    </w:rPr>
  </w:style>
  <w:style w:type="paragraph" w:customStyle="1" w:styleId="52">
    <w:name w:val="TOC 标题1"/>
    <w:basedOn w:val="2"/>
    <w:next w:val="1"/>
    <w:qFormat/>
    <w:uiPriority w:val="0"/>
    <w:pPr>
      <w:widowControl/>
      <w:spacing w:before="480" w:after="0" w:line="276" w:lineRule="auto"/>
      <w:outlineLvl w:val="9"/>
    </w:pPr>
    <w:rPr>
      <w:rFonts w:ascii="Cambria" w:hAnsi="Cambria"/>
      <w:color w:val="365F91"/>
      <w:kern w:val="0"/>
      <w:sz w:val="28"/>
    </w:rPr>
  </w:style>
  <w:style w:type="paragraph" w:customStyle="1" w:styleId="53">
    <w:name w:val="正文缩进_0"/>
    <w:basedOn w:val="54"/>
    <w:qFormat/>
    <w:uiPriority w:val="0"/>
    <w:pPr>
      <w:ind w:firstLine="420"/>
    </w:pPr>
  </w:style>
  <w:style w:type="paragraph" w:customStyle="1" w:styleId="54">
    <w:name w:val="正文_3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5">
    <w:name w:val="样式 标题 4 + 段前: 5 磅 段后: 5 磅 行距: 单倍行距"/>
    <w:basedOn w:val="5"/>
    <w:qFormat/>
    <w:uiPriority w:val="0"/>
    <w:pPr>
      <w:numPr>
        <w:numId w:val="0"/>
      </w:numPr>
      <w:tabs>
        <w:tab w:val="left" w:pos="1680"/>
        <w:tab w:val="clear" w:pos="0"/>
      </w:tabs>
      <w:spacing w:before="100" w:after="100" w:line="240" w:lineRule="auto"/>
      <w:ind w:left="1680" w:hanging="420"/>
    </w:pPr>
    <w:rPr>
      <w:szCs w:val="20"/>
    </w:rPr>
  </w:style>
  <w:style w:type="paragraph" w:customStyle="1" w:styleId="56">
    <w:name w:val="修订1"/>
    <w:qFormat/>
    <w:uiPriority w:val="0"/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57">
    <w:name w:val="标题 3_0"/>
    <w:basedOn w:val="58"/>
    <w:next w:val="58"/>
    <w:qFormat/>
    <w:uiPriority w:val="0"/>
    <w:pPr>
      <w:keepNext/>
      <w:keepLines/>
      <w:spacing w:before="260" w:after="260" w:line="412" w:lineRule="auto"/>
      <w:outlineLvl w:val="2"/>
    </w:pPr>
    <w:rPr>
      <w:b/>
      <w:sz w:val="32"/>
    </w:rPr>
  </w:style>
  <w:style w:type="paragraph" w:customStyle="1" w:styleId="58">
    <w:name w:val="正文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9">
    <w:name w:val="样式 样式 标题 4 + 段前: 5 磅 段后: 5 磅 行距: 单倍行距 + 五号"/>
    <w:basedOn w:val="55"/>
    <w:qFormat/>
    <w:uiPriority w:val="0"/>
    <w:rPr>
      <w:sz w:val="21"/>
    </w:rPr>
  </w:style>
  <w:style w:type="paragraph" w:customStyle="1" w:styleId="60">
    <w:name w:val="样式1_0"/>
    <w:basedOn w:val="54"/>
    <w:qFormat/>
    <w:uiPriority w:val="0"/>
    <w:pPr>
      <w:tabs>
        <w:tab w:val="left" w:pos="0"/>
      </w:tabs>
    </w:pPr>
    <w:rPr>
      <w:rFonts w:ascii="宋体"/>
      <w:szCs w:val="21"/>
    </w:rPr>
  </w:style>
  <w:style w:type="paragraph" w:customStyle="1" w:styleId="61">
    <w:name w:val="样式 标题 2 + 宋体 五号 行距: 单倍行距"/>
    <w:basedOn w:val="3"/>
    <w:qFormat/>
    <w:uiPriority w:val="0"/>
    <w:pPr>
      <w:tabs>
        <w:tab w:val="left" w:pos="1140"/>
      </w:tabs>
      <w:spacing w:line="240" w:lineRule="auto"/>
      <w:ind w:left="1140" w:hanging="720"/>
    </w:pPr>
    <w:rPr>
      <w:rFonts w:ascii="宋体" w:eastAsia="宋体"/>
      <w:sz w:val="21"/>
      <w:szCs w:val="20"/>
    </w:rPr>
  </w:style>
  <w:style w:type="paragraph" w:customStyle="1" w:styleId="62">
    <w:name w:val="样式 宋体 五号 行距: 单倍行距"/>
    <w:basedOn w:val="1"/>
    <w:qFormat/>
    <w:uiPriority w:val="0"/>
    <w:rPr>
      <w:rFonts w:ascii="宋体"/>
    </w:rPr>
  </w:style>
  <w:style w:type="paragraph" w:customStyle="1" w:styleId="63">
    <w:name w:val="样式4"/>
    <w:basedOn w:val="31"/>
    <w:qFormat/>
    <w:uiPriority w:val="0"/>
    <w:pPr>
      <w:ind w:left="420"/>
    </w:pPr>
    <w:rPr>
      <w:sz w:val="28"/>
    </w:rPr>
  </w:style>
  <w:style w:type="paragraph" w:customStyle="1" w:styleId="64">
    <w:name w:val="正文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65">
    <w:name w:val="xl23"/>
    <w:basedOn w:val="1"/>
    <w:qFormat/>
    <w:uiPriority w:val="0"/>
    <w:pPr>
      <w:widowControl/>
      <w:spacing w:before="100" w:beforeAutospacing="1" w:after="100" w:afterAutospacing="1" w:line="360" w:lineRule="auto"/>
      <w:textAlignment w:val="top"/>
    </w:pPr>
    <w:rPr>
      <w:szCs w:val="24"/>
    </w:rPr>
  </w:style>
  <w:style w:type="paragraph" w:customStyle="1" w:styleId="66">
    <w:name w:val="样式 标题 3h3H3sect1.2.3 + 五号 段前: 6 磅 段后: 6 磅 行距: 单倍行距"/>
    <w:basedOn w:val="4"/>
    <w:qFormat/>
    <w:uiPriority w:val="0"/>
    <w:pPr>
      <w:tabs>
        <w:tab w:val="left" w:pos="1260"/>
      </w:tabs>
      <w:spacing w:before="120" w:after="120" w:line="240" w:lineRule="auto"/>
      <w:ind w:left="1260" w:hanging="420"/>
    </w:pPr>
    <w:rPr>
      <w:sz w:val="21"/>
      <w:szCs w:val="20"/>
    </w:rPr>
  </w:style>
  <w:style w:type="paragraph" w:customStyle="1" w:styleId="67">
    <w:name w:val="样式 样式 样式 标题 2 + 宋体 五号 非加粗 黑色 + 段前: 6 磅 段后: 0 磅 行距: 单倍行距 + 段前: 12..."/>
    <w:basedOn w:val="51"/>
    <w:qFormat/>
    <w:uiPriority w:val="0"/>
    <w:pPr>
      <w:tabs>
        <w:tab w:val="clear" w:pos="1140"/>
      </w:tabs>
      <w:spacing w:before="240"/>
    </w:pPr>
  </w:style>
  <w:style w:type="paragraph" w:customStyle="1" w:styleId="68">
    <w:name w:val="样式2"/>
    <w:basedOn w:val="1"/>
    <w:qFormat/>
    <w:uiPriority w:val="0"/>
    <w:pPr>
      <w:tabs>
        <w:tab w:val="left" w:pos="567"/>
      </w:tabs>
      <w:ind w:left="567" w:hanging="567"/>
    </w:pPr>
    <w:rPr>
      <w:rFonts w:ascii="宋体"/>
      <w:szCs w:val="21"/>
    </w:rPr>
  </w:style>
  <w:style w:type="paragraph" w:customStyle="1" w:styleId="69">
    <w:name w:val="正文1"/>
    <w:qFormat/>
    <w:uiPriority w:val="0"/>
    <w:pPr>
      <w:jc w:val="both"/>
    </w:pPr>
    <w:rPr>
      <w:rFonts w:ascii="Times New Roman" w:hAnsi="Times New Roman" w:eastAsia="宋体" w:cs="Times New Roman"/>
      <w:szCs w:val="21"/>
      <w:lang w:val="en-US" w:eastAsia="zh-CN" w:bidi="ar-SA"/>
    </w:rPr>
  </w:style>
  <w:style w:type="paragraph" w:customStyle="1" w:styleId="70">
    <w:name w:val="PMtextBullet"/>
    <w:basedOn w:val="48"/>
    <w:qFormat/>
    <w:uiPriority w:val="0"/>
    <w:pPr>
      <w:tabs>
        <w:tab w:val="left" w:pos="2520"/>
      </w:tabs>
      <w:spacing w:after="200"/>
      <w:ind w:left="2520" w:firstLine="288"/>
    </w:pPr>
  </w:style>
  <w:style w:type="paragraph" w:customStyle="1" w:styleId="71">
    <w:name w:val="_Style 2"/>
    <w:basedOn w:val="1"/>
    <w:qFormat/>
    <w:uiPriority w:val="0"/>
    <w:pPr>
      <w:ind w:firstLine="420" w:firstLineChars="200"/>
    </w:pPr>
  </w:style>
  <w:style w:type="paragraph" w:customStyle="1" w:styleId="72">
    <w:name w:val="Char2"/>
    <w:basedOn w:val="1"/>
    <w:qFormat/>
    <w:uiPriority w:val="0"/>
    <w:pPr>
      <w:widowControl/>
      <w:spacing w:after="160" w:line="240" w:lineRule="exact"/>
    </w:pPr>
    <w:rPr>
      <w:szCs w:val="24"/>
    </w:rPr>
  </w:style>
  <w:style w:type="paragraph" w:customStyle="1" w:styleId="73">
    <w:name w:val="Default"/>
    <w:qFormat/>
    <w:uiPriority w:val="0"/>
    <w:pPr>
      <w:widowControl w:val="0"/>
      <w:autoSpaceDE w:val="0"/>
      <w:autoSpaceDN w:val="0"/>
      <w:adjustRightInd w:val="0"/>
    </w:pPr>
    <w:rPr>
      <w:rFonts w:ascii="..C...." w:hAnsi="Calibri" w:eastAsia="..C...." w:cs="..C...."/>
      <w:color w:val="000000"/>
      <w:sz w:val="24"/>
      <w:szCs w:val="24"/>
      <w:lang w:val="en-US" w:eastAsia="zh-CN" w:bidi="ar-SA"/>
    </w:rPr>
  </w:style>
  <w:style w:type="paragraph" w:customStyle="1" w:styleId="74">
    <w:name w:val="样式 标题 1 + 四号 居中 段前: 12 磅 段后: 12 磅 行距: 单倍行距"/>
    <w:basedOn w:val="2"/>
    <w:qFormat/>
    <w:uiPriority w:val="0"/>
    <w:pPr>
      <w:spacing w:before="240" w:after="240" w:line="240" w:lineRule="auto"/>
      <w:jc w:val="center"/>
    </w:pPr>
    <w:rPr>
      <w:sz w:val="28"/>
      <w:szCs w:val="20"/>
    </w:rPr>
  </w:style>
  <w:style w:type="paragraph" w:customStyle="1" w:styleId="75">
    <w:name w:val="列表段落1"/>
    <w:basedOn w:val="1"/>
    <w:qFormat/>
    <w:uiPriority w:val="99"/>
    <w:pPr>
      <w:ind w:firstLine="420"/>
    </w:pPr>
  </w:style>
  <w:style w:type="paragraph" w:customStyle="1" w:styleId="76">
    <w:name w:val="样式 样式 样式 样式 标题 2 + 宋体 五号 非加粗 黑色 + 段前: 6 磅 段后: 0 磅 行距: 单倍行距 + 段前:..."/>
    <w:basedOn w:val="67"/>
    <w:qFormat/>
    <w:uiPriority w:val="0"/>
    <w:pPr/>
    <w:rPr>
      <w:b/>
      <w:bCs w:val="0"/>
    </w:rPr>
  </w:style>
  <w:style w:type="paragraph" w:customStyle="1" w:styleId="77">
    <w:name w:val="PMletterTextBullet"/>
    <w:basedOn w:val="47"/>
    <w:qFormat/>
    <w:uiPriority w:val="0"/>
    <w:pPr>
      <w:tabs>
        <w:tab w:val="left" w:pos="840"/>
        <w:tab w:val="left" w:pos="1800"/>
      </w:tabs>
      <w:ind w:left="1800" w:hanging="360"/>
    </w:pPr>
  </w:style>
  <w:style w:type="paragraph" w:customStyle="1" w:styleId="78">
    <w:name w:val="样式 样式 标题 5 + 段前: 5 磅 段后: 5 磅 行距: 单倍行距 + 五号"/>
    <w:basedOn w:val="79"/>
    <w:qFormat/>
    <w:uiPriority w:val="0"/>
    <w:pPr>
      <w:tabs>
        <w:tab w:val="left" w:pos="2100"/>
      </w:tabs>
    </w:pPr>
    <w:rPr>
      <w:sz w:val="21"/>
    </w:rPr>
  </w:style>
  <w:style w:type="paragraph" w:customStyle="1" w:styleId="79">
    <w:name w:val="样式 标题 5 + 段前: 5 磅 段后: 5 磅 行距: 单倍行距"/>
    <w:basedOn w:val="6"/>
    <w:qFormat/>
    <w:uiPriority w:val="0"/>
    <w:pPr>
      <w:numPr>
        <w:numId w:val="0"/>
      </w:numPr>
      <w:tabs>
        <w:tab w:val="left" w:pos="2100"/>
        <w:tab w:val="clear" w:pos="0"/>
      </w:tabs>
      <w:spacing w:before="100" w:after="100" w:line="240" w:lineRule="auto"/>
      <w:ind w:left="2100" w:hanging="420"/>
    </w:pPr>
    <w:rPr>
      <w:szCs w:val="20"/>
    </w:rPr>
  </w:style>
  <w:style w:type="paragraph" w:customStyle="1" w:styleId="80">
    <w:name w:val="样式6"/>
    <w:basedOn w:val="3"/>
    <w:qFormat/>
    <w:uiPriority w:val="0"/>
    <w:pPr>
      <w:spacing w:before="0" w:after="0" w:line="560" w:lineRule="exact"/>
    </w:pPr>
    <w:rPr>
      <w:rFonts w:eastAsia="宋体"/>
      <w:b w:val="0"/>
      <w:sz w:val="28"/>
    </w:rPr>
  </w:style>
  <w:style w:type="paragraph" w:customStyle="1" w:styleId="81">
    <w:name w:val="正文_1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82">
    <w:name w:val="正文_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83">
    <w:name w:val="样式 宋体 五号 两端对齐 行距: 单倍行距1"/>
    <w:basedOn w:val="1"/>
    <w:qFormat/>
    <w:uiPriority w:val="0"/>
    <w:rPr>
      <w:rFonts w:ascii="宋体"/>
    </w:rPr>
  </w:style>
  <w:style w:type="paragraph" w:customStyle="1" w:styleId="84">
    <w:name w:val="正文_2"/>
    <w:qFormat/>
    <w:uiPriority w:val="0"/>
    <w:pPr>
      <w:widowControl w:val="0"/>
      <w:adjustRightInd w:val="0"/>
      <w:spacing w:line="360" w:lineRule="atLeast"/>
      <w:textAlignment w:val="baseline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85">
    <w:name w:val="Char Char Char Char Char Char Char Char Char Char Char Char Char"/>
    <w:basedOn w:val="1"/>
    <w:qFormat/>
    <w:uiPriority w:val="0"/>
    <w:pPr>
      <w:widowControl/>
      <w:spacing w:after="160" w:line="240" w:lineRule="exact"/>
    </w:pPr>
    <w:rPr>
      <w:rFonts w:ascii="Verdana" w:hAnsi="Verdana"/>
      <w:sz w:val="20"/>
      <w:lang w:eastAsia="en-US"/>
    </w:rPr>
  </w:style>
  <w:style w:type="paragraph" w:customStyle="1" w:styleId="86">
    <w:name w:val="无间隔1"/>
    <w:qFormat/>
    <w:uiPriority w:val="0"/>
    <w:rPr>
      <w:rFonts w:ascii="Calibri" w:hAnsi="Calibri" w:eastAsia="宋体" w:cs="Times New Roman"/>
      <w:kern w:val="2"/>
      <w:sz w:val="22"/>
      <w:lang w:val="en-US" w:eastAsia="zh-CN" w:bidi="ar-SA"/>
    </w:rPr>
  </w:style>
  <w:style w:type="paragraph" w:customStyle="1" w:styleId="87">
    <w:name w:val="样式 宋体 五号 两端对齐 行距: 单倍行距"/>
    <w:basedOn w:val="1"/>
    <w:qFormat/>
    <w:uiPriority w:val="0"/>
    <w:rPr>
      <w:rFonts w:ascii="宋体"/>
    </w:rPr>
  </w:style>
  <w:style w:type="paragraph" w:customStyle="1" w:styleId="88">
    <w:name w:val="xl27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Arial Unicode MS" w:eastAsia="Arial Unicode MS" w:cs="Arial Unicode MS"/>
      <w:szCs w:val="24"/>
    </w:rPr>
  </w:style>
  <w:style w:type="paragraph" w:customStyle="1" w:styleId="89">
    <w:name w:val="样式5"/>
    <w:basedOn w:val="2"/>
    <w:qFormat/>
    <w:uiPriority w:val="0"/>
    <w:rPr>
      <w:sz w:val="28"/>
    </w:rPr>
  </w:style>
  <w:style w:type="paragraph" w:customStyle="1" w:styleId="90">
    <w:name w:val="样式1"/>
    <w:basedOn w:val="1"/>
    <w:qFormat/>
    <w:uiPriority w:val="0"/>
    <w:pPr>
      <w:numPr>
        <w:ilvl w:val="0"/>
        <w:numId w:val="6"/>
      </w:numPr>
      <w:tabs>
        <w:tab w:val="left" w:pos="0"/>
      </w:tabs>
    </w:pPr>
    <w:rPr>
      <w:rFonts w:ascii="宋体"/>
      <w:szCs w:val="21"/>
    </w:rPr>
  </w:style>
  <w:style w:type="paragraph" w:customStyle="1" w:styleId="91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92">
    <w:name w:val="Body Text Indent 21"/>
    <w:basedOn w:val="1"/>
    <w:qFormat/>
    <w:uiPriority w:val="0"/>
    <w:pPr>
      <w:ind w:left="720" w:hanging="720"/>
    </w:pPr>
    <w:rPr>
      <w:b/>
      <w:sz w:val="28"/>
    </w:rPr>
  </w:style>
  <w:style w:type="paragraph" w:customStyle="1" w:styleId="93">
    <w:name w:val="Char"/>
    <w:basedOn w:val="1"/>
    <w:qFormat/>
    <w:uiPriority w:val="0"/>
    <w:pPr>
      <w:widowControl/>
      <w:spacing w:after="160" w:line="240" w:lineRule="exact"/>
    </w:pPr>
    <w:rPr>
      <w:rFonts w:ascii="Verdana" w:hAnsi="Verdana"/>
      <w:sz w:val="20"/>
      <w:lang w:eastAsia="en-US"/>
    </w:rPr>
  </w:style>
  <w:style w:type="paragraph" w:customStyle="1" w:styleId="94">
    <w:name w:val="Char1 Char Char Char"/>
    <w:basedOn w:val="1"/>
    <w:qFormat/>
    <w:uiPriority w:val="0"/>
    <w:pPr>
      <w:numPr>
        <w:ilvl w:val="0"/>
        <w:numId w:val="7"/>
      </w:numPr>
      <w:ind w:left="0" w:firstLine="0"/>
    </w:pPr>
    <w:rPr>
      <w:rFonts w:ascii="Tahoma" w:hAnsi="Tahoma"/>
    </w:rPr>
  </w:style>
  <w:style w:type="paragraph" w:customStyle="1" w:styleId="95">
    <w:name w:val="p0"/>
    <w:basedOn w:val="1"/>
    <w:qFormat/>
    <w:uiPriority w:val="0"/>
    <w:pPr>
      <w:widowControl/>
    </w:pPr>
    <w:rPr>
      <w:rFonts w:ascii="Times New Roman" w:hAnsi="Times New Roman"/>
      <w:kern w:val="0"/>
      <w:szCs w:val="21"/>
    </w:rPr>
  </w:style>
  <w:style w:type="paragraph" w:customStyle="1" w:styleId="96">
    <w:name w:val="列出段落1"/>
    <w:basedOn w:val="1"/>
    <w:qFormat/>
    <w:uiPriority w:val="0"/>
    <w:pPr>
      <w:ind w:firstLine="420"/>
    </w:pPr>
    <w:rPr>
      <w:szCs w:val="24"/>
    </w:rPr>
  </w:style>
  <w:style w:type="paragraph" w:customStyle="1" w:styleId="97">
    <w:name w:val="Char Char Char Char Char Char Char Char Char Char"/>
    <w:basedOn w:val="1"/>
    <w:qFormat/>
    <w:uiPriority w:val="0"/>
    <w:pPr>
      <w:widowControl/>
      <w:numPr>
        <w:ilvl w:val="0"/>
        <w:numId w:val="8"/>
      </w:numPr>
      <w:spacing w:after="160" w:line="240" w:lineRule="exact"/>
    </w:pPr>
  </w:style>
  <w:style w:type="paragraph" w:customStyle="1" w:styleId="98">
    <w:name w:val="0000000000正文"/>
    <w:basedOn w:val="1"/>
    <w:link w:val="132"/>
    <w:qFormat/>
    <w:uiPriority w:val="0"/>
    <w:pPr>
      <w:spacing w:line="360" w:lineRule="auto"/>
    </w:pPr>
    <w:rPr>
      <w:rFonts w:cs="黑体"/>
      <w:sz w:val="24"/>
      <w:szCs w:val="24"/>
    </w:rPr>
  </w:style>
  <w:style w:type="paragraph" w:customStyle="1" w:styleId="99">
    <w:name w:val="修订2"/>
    <w:hidden/>
    <w:unhideWhenUsed/>
    <w:qFormat/>
    <w:uiPriority w:val="99"/>
    <w:rPr>
      <w:rFonts w:ascii="Calibri" w:hAnsi="Calibri" w:eastAsia="宋体" w:cs="Times New Roman"/>
      <w:lang w:val="en-US" w:eastAsia="zh-CN" w:bidi="ar-SA"/>
    </w:rPr>
  </w:style>
  <w:style w:type="paragraph" w:customStyle="1" w:styleId="100">
    <w:name w:val="Char1 Char Char Char1"/>
    <w:basedOn w:val="1"/>
    <w:qFormat/>
    <w:uiPriority w:val="0"/>
    <w:rPr>
      <w:rFonts w:ascii="Tahoma" w:hAnsi="Tahoma"/>
    </w:rPr>
  </w:style>
  <w:style w:type="paragraph" w:customStyle="1" w:styleId="101">
    <w:name w:val="Char Char Char Char1"/>
    <w:basedOn w:val="1"/>
    <w:qFormat/>
    <w:uiPriority w:val="0"/>
    <w:rPr>
      <w:rFonts w:ascii="Tahoma" w:hAnsi="Tahoma"/>
    </w:rPr>
  </w:style>
  <w:style w:type="paragraph" w:customStyle="1" w:styleId="102">
    <w:name w:val="Char Char Char Char Char Char Char Char Char Char1"/>
    <w:basedOn w:val="1"/>
    <w:qFormat/>
    <w:uiPriority w:val="0"/>
    <w:pPr>
      <w:widowControl/>
      <w:numPr>
        <w:ilvl w:val="0"/>
        <w:numId w:val="9"/>
      </w:numPr>
      <w:spacing w:after="160" w:line="240" w:lineRule="exact"/>
      <w:ind w:left="0" w:firstLine="0"/>
    </w:pPr>
  </w:style>
  <w:style w:type="paragraph" w:customStyle="1" w:styleId="103">
    <w:name w:val="Char21"/>
    <w:basedOn w:val="1"/>
    <w:qFormat/>
    <w:uiPriority w:val="0"/>
    <w:pPr>
      <w:widowControl/>
      <w:spacing w:after="160" w:line="240" w:lineRule="exact"/>
    </w:pPr>
    <w:rPr>
      <w:szCs w:val="24"/>
    </w:rPr>
  </w:style>
  <w:style w:type="paragraph" w:customStyle="1" w:styleId="104">
    <w:name w:val="Char Char Char Char Char Char Char Char Char Char Char Char Char1"/>
    <w:basedOn w:val="1"/>
    <w:qFormat/>
    <w:uiPriority w:val="0"/>
    <w:pPr>
      <w:widowControl/>
      <w:spacing w:after="160" w:line="240" w:lineRule="exact"/>
    </w:pPr>
    <w:rPr>
      <w:rFonts w:ascii="Verdana" w:hAnsi="Verdana"/>
      <w:sz w:val="20"/>
      <w:lang w:eastAsia="en-US"/>
    </w:rPr>
  </w:style>
  <w:style w:type="paragraph" w:customStyle="1" w:styleId="105">
    <w:name w:val="Char1"/>
    <w:basedOn w:val="1"/>
    <w:qFormat/>
    <w:uiPriority w:val="0"/>
    <w:pPr>
      <w:widowControl/>
      <w:spacing w:after="160" w:line="240" w:lineRule="exact"/>
    </w:pPr>
    <w:rPr>
      <w:rFonts w:ascii="Verdana" w:hAnsi="Verdana"/>
      <w:sz w:val="20"/>
      <w:lang w:eastAsia="en-US"/>
    </w:rPr>
  </w:style>
  <w:style w:type="paragraph" w:customStyle="1" w:styleId="106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2"/>
      <w:lang w:eastAsia="en-US"/>
    </w:rPr>
  </w:style>
  <w:style w:type="character" w:customStyle="1" w:styleId="107">
    <w:name w:val="纯文本 字符"/>
    <w:link w:val="20"/>
    <w:qFormat/>
    <w:uiPriority w:val="0"/>
    <w:rPr>
      <w:rFonts w:ascii="宋体" w:hAnsi="Calibri" w:eastAsia="宋体" w:cs="Times New Roman"/>
      <w:szCs w:val="21"/>
    </w:rPr>
  </w:style>
  <w:style w:type="character" w:customStyle="1" w:styleId="108">
    <w:name w:val="标题 1 字符"/>
    <w:link w:val="2"/>
    <w:qFormat/>
    <w:uiPriority w:val="0"/>
    <w:rPr>
      <w:rFonts w:ascii="Calibri" w:hAnsi="Calibri" w:eastAsia="宋体" w:cs="Times New Roman"/>
      <w:b/>
      <w:kern w:val="44"/>
      <w:sz w:val="44"/>
    </w:rPr>
  </w:style>
  <w:style w:type="character" w:customStyle="1" w:styleId="109">
    <w:name w:val="标题 2 字符"/>
    <w:link w:val="3"/>
    <w:qFormat/>
    <w:uiPriority w:val="0"/>
    <w:rPr>
      <w:rFonts w:ascii="Arial" w:hAnsi="Arial" w:eastAsia="黑体" w:cs="Times New Roman"/>
      <w:b/>
      <w:sz w:val="32"/>
    </w:rPr>
  </w:style>
  <w:style w:type="character" w:customStyle="1" w:styleId="110">
    <w:name w:val="标题 3 字符"/>
    <w:link w:val="4"/>
    <w:qFormat/>
    <w:uiPriority w:val="0"/>
    <w:rPr>
      <w:rFonts w:ascii="Calibri" w:hAnsi="Calibri" w:eastAsia="宋体" w:cs="Times New Roman"/>
      <w:b/>
      <w:sz w:val="32"/>
    </w:rPr>
  </w:style>
  <w:style w:type="character" w:customStyle="1" w:styleId="111">
    <w:name w:val="标题 4 字符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2">
    <w:name w:val="标题 5 字符"/>
    <w:link w:val="6"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13">
    <w:name w:val="标题 6 字符"/>
    <w:link w:val="7"/>
    <w:qFormat/>
    <w:uiPriority w:val="0"/>
    <w:rPr>
      <w:rFonts w:ascii="Arial" w:hAnsi="Arial" w:eastAsia="黑体" w:cs="Times New Roman"/>
      <w:b/>
      <w:bCs/>
      <w:szCs w:val="24"/>
    </w:rPr>
  </w:style>
  <w:style w:type="character" w:customStyle="1" w:styleId="114">
    <w:name w:val="标题 7 字符"/>
    <w:link w:val="8"/>
    <w:qFormat/>
    <w:uiPriority w:val="0"/>
    <w:rPr>
      <w:rFonts w:ascii="Calibri" w:hAnsi="Calibri" w:eastAsia="宋体" w:cs="Times New Roman"/>
      <w:b/>
      <w:bCs/>
      <w:szCs w:val="24"/>
    </w:rPr>
  </w:style>
  <w:style w:type="character" w:customStyle="1" w:styleId="115">
    <w:name w:val="标题 8 字符"/>
    <w:link w:val="9"/>
    <w:qFormat/>
    <w:uiPriority w:val="0"/>
    <w:rPr>
      <w:rFonts w:ascii="Arial" w:hAnsi="Arial" w:eastAsia="黑体" w:cs="Times New Roman"/>
      <w:szCs w:val="24"/>
    </w:rPr>
  </w:style>
  <w:style w:type="character" w:customStyle="1" w:styleId="116">
    <w:name w:val="标题 9 字符"/>
    <w:link w:val="10"/>
    <w:qFormat/>
    <w:uiPriority w:val="0"/>
    <w:rPr>
      <w:rFonts w:ascii="Arial" w:hAnsi="Arial" w:eastAsia="黑体" w:cs="Times New Roman"/>
      <w:szCs w:val="21"/>
    </w:rPr>
  </w:style>
  <w:style w:type="character" w:customStyle="1" w:styleId="117">
    <w:name w:val="样式1 Char"/>
    <w:qFormat/>
    <w:uiPriority w:val="0"/>
    <w:rPr>
      <w:rFonts w:ascii="宋体" w:eastAsia="宋体"/>
      <w:sz w:val="21"/>
      <w:szCs w:val="21"/>
      <w:lang w:val="en-US" w:eastAsia="zh-CN" w:bidi="ar-SA"/>
    </w:rPr>
  </w:style>
  <w:style w:type="character" w:customStyle="1" w:styleId="118">
    <w:name w:val="h3 Char"/>
    <w:qFormat/>
    <w:uiPriority w:val="0"/>
    <w:rPr>
      <w:rFonts w:eastAsia="宋体"/>
      <w:b/>
      <w:bCs/>
      <w:sz w:val="32"/>
      <w:szCs w:val="32"/>
      <w:lang w:val="en-US" w:eastAsia="zh-CN" w:bidi="ar-SA"/>
    </w:rPr>
  </w:style>
  <w:style w:type="character" w:customStyle="1" w:styleId="119">
    <w:name w:val="批注文字 字符"/>
    <w:link w:val="15"/>
    <w:semiHidden/>
    <w:qFormat/>
    <w:uiPriority w:val="99"/>
    <w:rPr>
      <w:rFonts w:ascii="Calibri" w:hAnsi="Calibri" w:eastAsia="宋体" w:cs="Times New Roman"/>
    </w:rPr>
  </w:style>
  <w:style w:type="character" w:customStyle="1" w:styleId="120">
    <w:name w:val="批注主题 字符"/>
    <w:link w:val="36"/>
    <w:qFormat/>
    <w:uiPriority w:val="0"/>
    <w:rPr>
      <w:rFonts w:ascii="Calibri" w:hAnsi="Calibri" w:eastAsia="宋体" w:cs="Times New Roman"/>
      <w:b/>
      <w:bCs/>
    </w:rPr>
  </w:style>
  <w:style w:type="character" w:customStyle="1" w:styleId="121">
    <w:name w:val="批注框文本 字符"/>
    <w:link w:val="24"/>
    <w:qFormat/>
    <w:uiPriority w:val="0"/>
    <w:rPr>
      <w:rFonts w:ascii="Calibri" w:hAnsi="Calibri" w:eastAsia="宋体" w:cs="Times New Roman"/>
      <w:sz w:val="18"/>
      <w:szCs w:val="18"/>
    </w:rPr>
  </w:style>
  <w:style w:type="character" w:customStyle="1" w:styleId="122">
    <w:name w:val="正文文本缩进 3 字符"/>
    <w:link w:val="30"/>
    <w:qFormat/>
    <w:uiPriority w:val="0"/>
    <w:rPr>
      <w:rFonts w:ascii="Calibri" w:hAnsi="Calibri" w:eastAsia="宋体" w:cs="Times New Roman"/>
      <w:sz w:val="28"/>
    </w:rPr>
  </w:style>
  <w:style w:type="character" w:customStyle="1" w:styleId="123">
    <w:name w:val="文档结构图 字符"/>
    <w:link w:val="14"/>
    <w:qFormat/>
    <w:uiPriority w:val="0"/>
    <w:rPr>
      <w:rFonts w:ascii="Calibri" w:hAnsi="Calibri" w:eastAsia="宋体" w:cs="Times New Roman"/>
      <w:shd w:val="clear" w:color="auto" w:fill="000080"/>
    </w:rPr>
  </w:style>
  <w:style w:type="character" w:customStyle="1" w:styleId="124">
    <w:name w:val="页眉 字符"/>
    <w:link w:val="26"/>
    <w:qFormat/>
    <w:uiPriority w:val="0"/>
    <w:rPr>
      <w:rFonts w:ascii="Calibri" w:hAnsi="Calibri" w:eastAsia="宋体" w:cs="Times New Roman"/>
      <w:sz w:val="18"/>
      <w:szCs w:val="18"/>
    </w:rPr>
  </w:style>
  <w:style w:type="character" w:customStyle="1" w:styleId="125">
    <w:name w:val="日期 字符"/>
    <w:link w:val="22"/>
    <w:qFormat/>
    <w:uiPriority w:val="0"/>
    <w:rPr>
      <w:rFonts w:ascii="Calibri" w:hAnsi="Calibri" w:eastAsia="宋体" w:cs="Times New Roman"/>
    </w:rPr>
  </w:style>
  <w:style w:type="character" w:customStyle="1" w:styleId="126">
    <w:name w:val="正文文本 字符"/>
    <w:link w:val="16"/>
    <w:qFormat/>
    <w:uiPriority w:val="0"/>
    <w:rPr>
      <w:rFonts w:ascii="Calibri" w:hAnsi="Calibri" w:eastAsia="宋体" w:cs="Times New Roman"/>
      <w:sz w:val="28"/>
    </w:rPr>
  </w:style>
  <w:style w:type="character" w:customStyle="1" w:styleId="127">
    <w:name w:val="正文文本 2 字符"/>
    <w:link w:val="33"/>
    <w:qFormat/>
    <w:uiPriority w:val="0"/>
    <w:rPr>
      <w:rFonts w:ascii="Calibri" w:hAnsi="Calibri" w:eastAsia="宋体" w:cs="Times New Roman"/>
    </w:rPr>
  </w:style>
  <w:style w:type="character" w:customStyle="1" w:styleId="128">
    <w:name w:val="页脚 字符"/>
    <w:link w:val="2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9">
    <w:name w:val="正文文本缩进 2 字符"/>
    <w:link w:val="23"/>
    <w:qFormat/>
    <w:uiPriority w:val="0"/>
    <w:rPr>
      <w:rFonts w:ascii="宋体" w:hAnsi="Calibri" w:eastAsia="宋体" w:cs="Times New Roman"/>
      <w:szCs w:val="21"/>
    </w:rPr>
  </w:style>
  <w:style w:type="character" w:customStyle="1" w:styleId="130">
    <w:name w:val="正文文本缩进 字符"/>
    <w:link w:val="17"/>
    <w:qFormat/>
    <w:uiPriority w:val="0"/>
    <w:rPr>
      <w:rFonts w:ascii="宋体" w:hAnsi="Calibri" w:eastAsia="宋体" w:cs="Times New Roman"/>
      <w:szCs w:val="21"/>
    </w:rPr>
  </w:style>
  <w:style w:type="character" w:customStyle="1" w:styleId="131">
    <w:name w:val="标题 字符"/>
    <w:link w:val="35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32">
    <w:name w:val="0000000000正文 Char"/>
    <w:link w:val="98"/>
    <w:qFormat/>
    <w:uiPriority w:val="0"/>
    <w:rPr>
      <w:rFonts w:ascii="Calibri" w:hAnsi="Calibri"/>
      <w:sz w:val="24"/>
      <w:szCs w:val="24"/>
    </w:rPr>
  </w:style>
  <w:style w:type="character" w:customStyle="1" w:styleId="133">
    <w:name w:val="纯文本 Char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34">
    <w:name w:val="页脚 Char1"/>
    <w:semiHidden/>
    <w:qFormat/>
    <w:uiPriority w:val="99"/>
    <w:rPr>
      <w:sz w:val="18"/>
      <w:szCs w:val="18"/>
    </w:rPr>
  </w:style>
  <w:style w:type="character" w:customStyle="1" w:styleId="135">
    <w:name w:val="product-title-list-view"/>
    <w:basedOn w:val="39"/>
    <w:qFormat/>
    <w:uiPriority w:val="0"/>
  </w:style>
  <w:style w:type="character" w:customStyle="1" w:styleId="136">
    <w:name w:val="font41"/>
    <w:basedOn w:val="39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4121</Words>
  <Characters>5221</Characters>
  <Lines>42</Lines>
  <Paragraphs>11</Paragraphs>
  <TotalTime>10</TotalTime>
  <ScaleCrop>false</ScaleCrop>
  <LinksUpToDate>false</LinksUpToDate>
  <CharactersWithSpaces>5255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2018-03-30T07:06:00Z</dcterms:created>
  <dc:creator>宋玖</dc:creator>
  <cp:lastModifiedBy>WPS_1772913445</cp:lastModifiedBy>
  <dcterms:modified xsi:type="dcterms:W3CDTF">2026-04-13T14:14:33Z</dcterms:modified>
  <dc:title>项目名称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eyJoZGlkIjoiMTQ3ZjYyM2ZlM2VmMTk3ZTQ4NzFlNTRiMDczNDJkOTciLCJ1c2VySWQiOiI3NDQzNzgxOTQifQ==</vt:lpwstr>
  </property>
  <property fmtid="{D5CDD505-2E9C-101B-9397-08002B2CF9AE}" pid="4" name="ICV">
    <vt:lpwstr>8A3BBA90CE3B4B5281BDCFD9ECD208B8_13</vt:lpwstr>
  </property>
</Properties>
</file>