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7"/>
        <w:tblW w:w="8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27"/>
        <w:gridCol w:w="55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项目名称</w:t>
            </w:r>
          </w:p>
        </w:tc>
        <w:tc>
          <w:tcPr>
            <w:tcW w:w="5528" w:type="dxa"/>
          </w:tcPr>
          <w:p>
            <w:pPr>
              <w:widowControl/>
              <w:jc w:val="left"/>
              <w:rPr>
                <w:rFonts w:hint="eastAsia" w:ascii="宋体" w:hAnsi="宋体"/>
                <w:szCs w:val="21"/>
              </w:rPr>
            </w:pPr>
            <w:r>
              <w:rPr>
                <w:rFonts w:hint="eastAsia" w:ascii="宋体" w:hAnsi="宋体" w:cs="宋体"/>
                <w:kern w:val="0"/>
                <w:szCs w:val="21"/>
              </w:rPr>
              <w:t>援尼泊尔小额物资赠送项目实施任务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ascii="宋体" w:hAnsi="宋体"/>
                <w:szCs w:val="21"/>
              </w:rPr>
              <w:t>招标编号</w:t>
            </w:r>
          </w:p>
        </w:tc>
        <w:tc>
          <w:tcPr>
            <w:tcW w:w="5528" w:type="dxa"/>
          </w:tcPr>
          <w:p>
            <w:pPr>
              <w:widowControl/>
              <w:jc w:val="left"/>
              <w:rPr>
                <w:rFonts w:hint="default" w:ascii="宋体" w:hAnsi="宋体" w:eastAsia="宋体"/>
                <w:szCs w:val="21"/>
                <w:lang w:val="en-US" w:eastAsia="zh-CN"/>
              </w:rPr>
            </w:pPr>
            <w:r>
              <w:rPr>
                <w:rFonts w:hint="eastAsia" w:ascii="宋体" w:hAnsi="宋体"/>
                <w:szCs w:val="21"/>
              </w:rPr>
              <w:t>物资2025-0</w:t>
            </w:r>
            <w:r>
              <w:rPr>
                <w:rFonts w:hint="eastAsia" w:ascii="宋体" w:hAnsi="宋体"/>
                <w:szCs w:val="21"/>
                <w:lang w:val="en-US" w:eastAsia="zh-CN"/>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ascii="宋体" w:hAnsi="宋体"/>
                <w:szCs w:val="21"/>
              </w:rPr>
              <w:t>投标日期</w:t>
            </w:r>
          </w:p>
        </w:tc>
        <w:tc>
          <w:tcPr>
            <w:tcW w:w="5528" w:type="dxa"/>
          </w:tcPr>
          <w:p>
            <w:pPr>
              <w:widowControl/>
              <w:jc w:val="left"/>
              <w:rPr>
                <w:rFonts w:hint="eastAsia" w:ascii="宋体" w:hAnsi="宋体"/>
                <w:szCs w:val="21"/>
              </w:rPr>
            </w:pPr>
            <w:r>
              <w:rPr>
                <w:rFonts w:hint="eastAsia" w:ascii="宋体" w:hAnsi="宋体"/>
                <w:szCs w:val="21"/>
              </w:rPr>
              <w:t>2025年</w:t>
            </w:r>
            <w:r>
              <w:rPr>
                <w:rFonts w:hint="eastAsia" w:ascii="宋体" w:hAnsi="宋体"/>
                <w:szCs w:val="21"/>
                <w:lang w:val="en-US" w:eastAsia="zh-CN"/>
              </w:rPr>
              <w:t>7</w:t>
            </w:r>
            <w:r>
              <w:rPr>
                <w:rFonts w:hint="eastAsia" w:ascii="宋体" w:hAnsi="宋体"/>
                <w:szCs w:val="21"/>
              </w:rPr>
              <w:t>月</w:t>
            </w:r>
            <w:r>
              <w:rPr>
                <w:rFonts w:hint="eastAsia" w:ascii="宋体" w:hAnsi="宋体"/>
                <w:szCs w:val="21"/>
                <w:lang w:val="en-US" w:eastAsia="zh-CN"/>
              </w:rPr>
              <w:t>22</w:t>
            </w:r>
            <w:r>
              <w:rPr>
                <w:rFonts w:hint="eastAsia" w:ascii="宋体" w:hAnsi="宋体"/>
                <w:szCs w:val="21"/>
              </w:rPr>
              <w:t>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目的地</w:t>
            </w:r>
          </w:p>
        </w:tc>
        <w:tc>
          <w:tcPr>
            <w:tcW w:w="5528" w:type="dxa"/>
          </w:tcPr>
          <w:p>
            <w:pPr>
              <w:widowControl/>
              <w:jc w:val="left"/>
              <w:rPr>
                <w:rFonts w:hint="eastAsia" w:ascii="宋体" w:hAnsi="宋体"/>
                <w:szCs w:val="21"/>
              </w:rPr>
            </w:pPr>
            <w:r>
              <w:rPr>
                <w:rFonts w:hint="eastAsia" w:ascii="宋体" w:hAnsi="宋体" w:cs="宋体"/>
                <w:kern w:val="0"/>
                <w:szCs w:val="21"/>
              </w:rPr>
              <w:t>中尼吉隆-热索瓦口岸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运输方式</w:t>
            </w:r>
          </w:p>
        </w:tc>
        <w:tc>
          <w:tcPr>
            <w:tcW w:w="5528" w:type="dxa"/>
          </w:tcPr>
          <w:p>
            <w:pPr>
              <w:widowControl/>
              <w:jc w:val="left"/>
              <w:rPr>
                <w:rFonts w:hint="eastAsia" w:ascii="宋体" w:hAnsi="宋体"/>
                <w:szCs w:val="21"/>
              </w:rPr>
            </w:pPr>
            <w:r>
              <w:rPr>
                <w:rFonts w:ascii="Times New Roman" w:hAnsi="Times New Roman"/>
                <w:sz w:val="20"/>
                <w:szCs w:val="20"/>
              </w:rPr>
              <w:t>DA</w:t>
            </w:r>
            <w:r>
              <w:rPr>
                <w:rFonts w:hint="eastAsia" w:ascii="Times New Roman" w:hAnsi="Times New Roman"/>
                <w:sz w:val="20"/>
                <w:szCs w:val="20"/>
              </w:rPr>
              <w:t>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运输条件</w:t>
            </w:r>
          </w:p>
        </w:tc>
        <w:tc>
          <w:tcPr>
            <w:tcW w:w="5528" w:type="dxa"/>
          </w:tcPr>
          <w:p>
            <w:pPr>
              <w:widowControl/>
              <w:jc w:val="left"/>
              <w:rPr>
                <w:rFonts w:hint="eastAsia" w:ascii="宋体" w:hAnsi="宋体" w:cs="宋体"/>
                <w:kern w:val="0"/>
                <w:szCs w:val="21"/>
              </w:rPr>
            </w:pPr>
            <w:r>
              <w:rPr>
                <w:rFonts w:hint="eastAsia" w:ascii="宋体" w:hAnsi="宋体" w:cs="宋体"/>
                <w:kern w:val="0"/>
                <w:szCs w:val="21"/>
              </w:rPr>
              <w:t>授标后90个自然日内一批次发运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对外货值</w:t>
            </w:r>
          </w:p>
        </w:tc>
        <w:tc>
          <w:tcPr>
            <w:tcW w:w="5528" w:type="dxa"/>
          </w:tcPr>
          <w:p>
            <w:pPr>
              <w:widowControl/>
              <w:jc w:val="left"/>
              <w:rPr>
                <w:rFonts w:hint="eastAsia" w:ascii="宋体" w:hAnsi="宋体"/>
                <w:szCs w:val="21"/>
              </w:rPr>
            </w:pPr>
            <w:r>
              <w:rPr>
                <w:rFonts w:hint="eastAsia" w:ascii="宋体" w:hAnsi="宋体"/>
                <w:szCs w:val="21"/>
                <w:lang w:val="en-US" w:eastAsia="zh-CN"/>
              </w:rPr>
              <w:t>5</w:t>
            </w:r>
            <w:r>
              <w:rPr>
                <w:rFonts w:hint="eastAsia" w:ascii="宋体" w:hAnsi="宋体"/>
                <w:szCs w:val="21"/>
              </w:rPr>
              <w:t>00000</w:t>
            </w:r>
            <w:bookmarkStart w:id="1" w:name="_GoBack"/>
            <w:bookmarkEnd w:id="1"/>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是否为低价法(y/n)</w:t>
            </w:r>
          </w:p>
        </w:tc>
        <w:tc>
          <w:tcPr>
            <w:tcW w:w="5528" w:type="dxa"/>
          </w:tcPr>
          <w:p>
            <w:pPr>
              <w:widowControl/>
              <w:jc w:val="left"/>
              <w:rPr>
                <w:rFonts w:hint="eastAsia" w:ascii="宋体" w:hAnsi="宋体"/>
                <w:szCs w:val="21"/>
              </w:rPr>
            </w:pPr>
            <w:r>
              <w:rPr>
                <w:rFonts w:hint="eastAsia" w:ascii="宋体" w:hAnsi="宋体"/>
                <w:szCs w:val="21"/>
              </w:rPr>
              <w:t>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是否有供货清单二（y</w:t>
            </w:r>
            <w:r>
              <w:rPr>
                <w:rFonts w:ascii="宋体" w:hAnsi="宋体"/>
                <w:szCs w:val="21"/>
              </w:rPr>
              <w:t>/n</w:t>
            </w:r>
            <w:r>
              <w:rPr>
                <w:rFonts w:hint="eastAsia" w:ascii="宋体" w:hAnsi="宋体"/>
                <w:szCs w:val="21"/>
              </w:rPr>
              <w:t>）</w:t>
            </w:r>
          </w:p>
        </w:tc>
        <w:tc>
          <w:tcPr>
            <w:tcW w:w="5528" w:type="dxa"/>
          </w:tcPr>
          <w:p>
            <w:pPr>
              <w:widowControl/>
              <w:jc w:val="left"/>
              <w:rPr>
                <w:rFonts w:hint="eastAsia" w:ascii="宋体" w:hAnsi="宋体"/>
                <w:szCs w:val="21"/>
              </w:rPr>
            </w:pPr>
            <w:r>
              <w:rPr>
                <w:rFonts w:hint="eastAsia" w:ascii="宋体" w:hAnsi="宋体"/>
                <w:szCs w:val="21"/>
              </w:rPr>
              <w:t>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是否有技术服务(y/n)</w:t>
            </w:r>
          </w:p>
        </w:tc>
        <w:tc>
          <w:tcPr>
            <w:tcW w:w="5528" w:type="dxa"/>
          </w:tcPr>
          <w:p>
            <w:pPr>
              <w:widowControl/>
              <w:jc w:val="left"/>
              <w:rPr>
                <w:rFonts w:hint="eastAsia" w:ascii="宋体" w:hAnsi="宋体" w:eastAsia="宋体"/>
                <w:szCs w:val="21"/>
                <w:lang w:val="en-US" w:eastAsia="zh-CN"/>
              </w:rPr>
            </w:pPr>
            <w:r>
              <w:rPr>
                <w:rFonts w:hint="eastAsia" w:ascii="宋体" w:hAnsi="宋体"/>
                <w:szCs w:val="21"/>
                <w:lang w:val="en-US" w:eastAsia="zh-CN"/>
              </w:rPr>
              <w:t>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技术服务人数</w:t>
            </w:r>
          </w:p>
        </w:tc>
        <w:tc>
          <w:tcPr>
            <w:tcW w:w="5528" w:type="dxa"/>
          </w:tcPr>
          <w:p>
            <w:pPr>
              <w:widowControl/>
              <w:jc w:val="left"/>
              <w:rPr>
                <w:rFonts w:hint="eastAsia" w:ascii="宋体" w:hAnsi="宋体"/>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技术服务天数</w:t>
            </w:r>
          </w:p>
        </w:tc>
        <w:tc>
          <w:tcPr>
            <w:tcW w:w="5528" w:type="dxa"/>
          </w:tcPr>
          <w:p>
            <w:pPr>
              <w:widowControl/>
              <w:jc w:val="left"/>
              <w:rPr>
                <w:rFonts w:hint="eastAsia" w:ascii="宋体" w:hAnsi="宋体"/>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是否有售后服务(y/n)</w:t>
            </w:r>
          </w:p>
        </w:tc>
        <w:tc>
          <w:tcPr>
            <w:tcW w:w="5528" w:type="dxa"/>
          </w:tcPr>
          <w:p>
            <w:pPr>
              <w:widowControl/>
              <w:jc w:val="left"/>
              <w:rPr>
                <w:rFonts w:hint="eastAsia" w:ascii="宋体" w:hAnsi="宋体"/>
                <w:szCs w:val="21"/>
              </w:rPr>
            </w:pPr>
            <w:r>
              <w:rPr>
                <w:rFonts w:hint="eastAsia" w:ascii="宋体" w:hAnsi="宋体"/>
                <w:szCs w:val="21"/>
              </w:rPr>
              <w:t>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是否有来华培训(y/n)</w:t>
            </w:r>
          </w:p>
        </w:tc>
        <w:tc>
          <w:tcPr>
            <w:tcW w:w="5528" w:type="dxa"/>
          </w:tcPr>
          <w:p>
            <w:pPr>
              <w:widowControl/>
              <w:jc w:val="left"/>
              <w:rPr>
                <w:rFonts w:hint="eastAsia" w:ascii="宋体" w:hAnsi="宋体" w:eastAsia="宋体"/>
                <w:szCs w:val="21"/>
                <w:lang w:eastAsia="zh-CN"/>
              </w:rPr>
            </w:pPr>
            <w:r>
              <w:rPr>
                <w:rFonts w:hint="eastAsia" w:ascii="宋体" w:hAnsi="宋体"/>
                <w:szCs w:val="21"/>
                <w:lang w:val="en-US" w:eastAsia="zh-CN"/>
              </w:rPr>
              <w:t>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来华培训人数</w:t>
            </w:r>
          </w:p>
        </w:tc>
        <w:tc>
          <w:tcPr>
            <w:tcW w:w="5528" w:type="dxa"/>
          </w:tcPr>
          <w:p>
            <w:pPr>
              <w:widowControl/>
              <w:jc w:val="left"/>
              <w:rPr>
                <w:rFonts w:hint="eastAsia" w:ascii="宋体" w:hAnsi="宋体"/>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来华培训天数</w:t>
            </w:r>
          </w:p>
        </w:tc>
        <w:tc>
          <w:tcPr>
            <w:tcW w:w="5528" w:type="dxa"/>
          </w:tcPr>
          <w:p>
            <w:pPr>
              <w:widowControl/>
              <w:jc w:val="left"/>
              <w:rPr>
                <w:rFonts w:hint="eastAsia" w:ascii="宋体" w:hAnsi="宋体"/>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法检物资</w:t>
            </w:r>
            <w:r>
              <w:rPr>
                <w:rFonts w:hint="eastAsia" w:ascii="宋体" w:hAnsi="宋体"/>
                <w:szCs w:val="21"/>
                <w:highlight w:val="yellow"/>
              </w:rPr>
              <w:t>（没有的话空着）</w:t>
            </w:r>
          </w:p>
        </w:tc>
        <w:tc>
          <w:tcPr>
            <w:tcW w:w="5528" w:type="dxa"/>
          </w:tcPr>
          <w:p>
            <w:pPr>
              <w:widowControl/>
              <w:jc w:val="left"/>
              <w:rPr>
                <w:rFonts w:hint="eastAsia" w:ascii="宋体" w:hAnsi="宋体"/>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pPr>
              <w:widowControl/>
              <w:jc w:val="left"/>
              <w:rPr>
                <w:rFonts w:hint="eastAsia" w:ascii="宋体" w:hAnsi="宋体"/>
                <w:szCs w:val="21"/>
              </w:rPr>
            </w:pPr>
            <w:r>
              <w:rPr>
                <w:rFonts w:hint="eastAsia" w:ascii="宋体" w:hAnsi="宋体"/>
                <w:szCs w:val="21"/>
              </w:rPr>
              <w:t>主要标的</w:t>
            </w:r>
            <w:r>
              <w:rPr>
                <w:rFonts w:hint="eastAsia" w:ascii="宋体" w:hAnsi="宋体"/>
                <w:szCs w:val="21"/>
                <w:highlight w:val="yellow"/>
              </w:rPr>
              <w:t>（填序号，空格隔开）</w:t>
            </w:r>
          </w:p>
        </w:tc>
        <w:tc>
          <w:tcPr>
            <w:tcW w:w="5528" w:type="dxa"/>
          </w:tcPr>
          <w:p>
            <w:pPr>
              <w:widowControl/>
              <w:jc w:val="left"/>
              <w:rPr>
                <w:rFonts w:hint="eastAsia" w:ascii="宋体" w:hAnsi="宋体" w:eastAsia="宋体"/>
                <w:szCs w:val="21"/>
                <w:lang w:val="en-US" w:eastAsia="zh-CN"/>
              </w:rPr>
            </w:pPr>
            <w:r>
              <w:rPr>
                <w:rFonts w:hint="eastAsia" w:ascii="宋体" w:hAnsi="宋体"/>
                <w:szCs w:val="21"/>
                <w:lang w:val="en-US" w:eastAsia="zh-CN"/>
              </w:rPr>
              <w:t>1</w:t>
            </w:r>
          </w:p>
        </w:tc>
      </w:tr>
    </w:tbl>
    <w:p>
      <w:pPr>
        <w:widowControl/>
        <w:jc w:val="left"/>
      </w:pPr>
      <w:r>
        <w:rPr>
          <w:rFonts w:hint="eastAsia"/>
        </w:rPr>
        <w:t xml:space="preserve">版本号 </w:t>
      </w:r>
      <w:r>
        <w:t>2.6</w:t>
      </w:r>
    </w:p>
    <w:p>
      <w:pPr>
        <w:widowControl/>
        <w:jc w:val="left"/>
      </w:pPr>
    </w:p>
    <w:p>
      <w:pPr>
        <w:widowControl/>
        <w:jc w:val="left"/>
      </w:pPr>
      <w:r>
        <w:br w:type="page"/>
      </w:r>
    </w:p>
    <w:tbl>
      <w:tblPr>
        <w:tblStyle w:val="37"/>
        <w:tblW w:w="95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6"/>
        <w:gridCol w:w="1091"/>
        <w:gridCol w:w="929"/>
        <w:gridCol w:w="761"/>
        <w:gridCol w:w="665"/>
        <w:gridCol w:w="3808"/>
        <w:gridCol w:w="15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4" w:hRule="atLeast"/>
          <w:jc w:val="center"/>
        </w:trPr>
        <w:tc>
          <w:tcPr>
            <w:tcW w:w="706" w:type="dxa"/>
            <w:vAlign w:val="center"/>
          </w:tcPr>
          <w:p>
            <w:pPr>
              <w:widowControl/>
              <w:jc w:val="center"/>
              <w:rPr>
                <w:rFonts w:hint="eastAsia" w:ascii="宋体" w:hAnsi="宋体" w:cs="宋体"/>
                <w:b/>
                <w:bCs/>
                <w:kern w:val="0"/>
                <w:sz w:val="20"/>
                <w:szCs w:val="20"/>
              </w:rPr>
            </w:pPr>
            <w:r>
              <w:rPr>
                <w:rFonts w:hint="eastAsia" w:ascii="宋体" w:hAnsi="宋体" w:cs="宋体"/>
                <w:b/>
                <w:bCs/>
                <w:kern w:val="0"/>
                <w:sz w:val="20"/>
                <w:szCs w:val="20"/>
              </w:rPr>
              <w:t>序号</w:t>
            </w:r>
          </w:p>
        </w:tc>
        <w:tc>
          <w:tcPr>
            <w:tcW w:w="1091" w:type="dxa"/>
            <w:vAlign w:val="center"/>
          </w:tcPr>
          <w:p>
            <w:pPr>
              <w:widowControl/>
              <w:jc w:val="center"/>
              <w:rPr>
                <w:rFonts w:hint="eastAsia" w:ascii="宋体" w:hAnsi="宋体" w:cs="宋体"/>
                <w:b/>
                <w:bCs/>
                <w:kern w:val="0"/>
                <w:sz w:val="20"/>
                <w:szCs w:val="20"/>
              </w:rPr>
            </w:pPr>
            <w:r>
              <w:rPr>
                <w:rFonts w:hint="eastAsia" w:ascii="宋体" w:hAnsi="宋体" w:cs="宋体"/>
                <w:b/>
                <w:bCs/>
                <w:kern w:val="0"/>
                <w:sz w:val="20"/>
                <w:szCs w:val="20"/>
              </w:rPr>
              <w:t>品名</w:t>
            </w:r>
          </w:p>
        </w:tc>
        <w:tc>
          <w:tcPr>
            <w:tcW w:w="929" w:type="dxa"/>
            <w:vAlign w:val="center"/>
          </w:tcPr>
          <w:p>
            <w:pPr>
              <w:widowControl/>
              <w:jc w:val="center"/>
              <w:rPr>
                <w:rFonts w:hint="eastAsia" w:ascii="宋体" w:hAnsi="宋体" w:cs="宋体"/>
                <w:b/>
                <w:bCs/>
                <w:kern w:val="0"/>
                <w:sz w:val="20"/>
                <w:szCs w:val="20"/>
              </w:rPr>
            </w:pPr>
            <w:r>
              <w:rPr>
                <w:rFonts w:hint="eastAsia" w:ascii="宋体" w:hAnsi="宋体" w:cs="宋体"/>
                <w:b/>
                <w:bCs/>
                <w:kern w:val="0"/>
                <w:sz w:val="20"/>
                <w:szCs w:val="20"/>
              </w:rPr>
              <w:t>HS码</w:t>
            </w:r>
          </w:p>
        </w:tc>
        <w:tc>
          <w:tcPr>
            <w:tcW w:w="761" w:type="dxa"/>
            <w:vAlign w:val="center"/>
          </w:tcPr>
          <w:p>
            <w:pPr>
              <w:widowControl/>
              <w:jc w:val="center"/>
              <w:rPr>
                <w:rFonts w:hint="eastAsia" w:ascii="宋体" w:hAnsi="宋体" w:cs="宋体"/>
                <w:b/>
                <w:bCs/>
                <w:kern w:val="0"/>
                <w:sz w:val="20"/>
                <w:szCs w:val="20"/>
              </w:rPr>
            </w:pPr>
            <w:r>
              <w:rPr>
                <w:rFonts w:hint="eastAsia" w:ascii="宋体" w:hAnsi="宋体" w:cs="宋体"/>
                <w:b/>
                <w:bCs/>
                <w:kern w:val="0"/>
                <w:sz w:val="20"/>
                <w:szCs w:val="20"/>
              </w:rPr>
              <w:t>单位</w:t>
            </w:r>
          </w:p>
        </w:tc>
        <w:tc>
          <w:tcPr>
            <w:tcW w:w="665" w:type="dxa"/>
            <w:vAlign w:val="center"/>
          </w:tcPr>
          <w:p>
            <w:pPr>
              <w:widowControl/>
              <w:jc w:val="center"/>
              <w:rPr>
                <w:rFonts w:hint="eastAsia" w:ascii="宋体" w:hAnsi="宋体" w:cs="宋体"/>
                <w:b/>
                <w:bCs/>
                <w:kern w:val="0"/>
                <w:sz w:val="20"/>
                <w:szCs w:val="20"/>
              </w:rPr>
            </w:pPr>
            <w:r>
              <w:rPr>
                <w:rFonts w:hint="eastAsia" w:ascii="宋体" w:hAnsi="宋体" w:cs="宋体"/>
                <w:b/>
                <w:bCs/>
                <w:kern w:val="0"/>
                <w:sz w:val="20"/>
                <w:szCs w:val="20"/>
              </w:rPr>
              <w:t>数量</w:t>
            </w:r>
          </w:p>
        </w:tc>
        <w:tc>
          <w:tcPr>
            <w:tcW w:w="3808" w:type="dxa"/>
            <w:vAlign w:val="center"/>
          </w:tcPr>
          <w:p>
            <w:pPr>
              <w:widowControl/>
              <w:jc w:val="center"/>
              <w:rPr>
                <w:rFonts w:hint="eastAsia" w:ascii="宋体" w:hAnsi="宋体" w:cs="宋体"/>
                <w:b/>
                <w:bCs/>
                <w:kern w:val="0"/>
                <w:sz w:val="20"/>
                <w:szCs w:val="20"/>
              </w:rPr>
            </w:pPr>
            <w:r>
              <w:rPr>
                <w:rFonts w:hint="eastAsia" w:ascii="宋体" w:hAnsi="宋体" w:cs="宋体"/>
                <w:b/>
                <w:bCs/>
                <w:kern w:val="0"/>
                <w:sz w:val="20"/>
                <w:szCs w:val="20"/>
              </w:rPr>
              <w:t>具体规格、参数和</w:t>
            </w:r>
          </w:p>
          <w:p>
            <w:pPr>
              <w:widowControl/>
              <w:jc w:val="center"/>
              <w:rPr>
                <w:rFonts w:hint="eastAsia" w:ascii="宋体" w:hAnsi="宋体" w:cs="宋体"/>
                <w:b/>
                <w:bCs/>
                <w:kern w:val="0"/>
                <w:sz w:val="20"/>
                <w:szCs w:val="20"/>
              </w:rPr>
            </w:pPr>
            <w:r>
              <w:rPr>
                <w:rFonts w:hint="eastAsia" w:ascii="宋体" w:hAnsi="宋体" w:cs="宋体"/>
                <w:b/>
                <w:bCs/>
                <w:kern w:val="0"/>
                <w:sz w:val="20"/>
                <w:szCs w:val="20"/>
              </w:rPr>
              <w:t>功能表述</w:t>
            </w:r>
          </w:p>
        </w:tc>
        <w:tc>
          <w:tcPr>
            <w:tcW w:w="1599" w:type="dxa"/>
            <w:vAlign w:val="center"/>
          </w:tcPr>
          <w:p>
            <w:pPr>
              <w:widowControl/>
              <w:jc w:val="center"/>
              <w:rPr>
                <w:rFonts w:hint="eastAsia" w:ascii="宋体" w:hAnsi="宋体" w:cs="宋体"/>
                <w:b/>
                <w:bCs/>
                <w:kern w:val="0"/>
                <w:sz w:val="20"/>
                <w:szCs w:val="20"/>
              </w:rPr>
            </w:pPr>
            <w:r>
              <w:rPr>
                <w:rFonts w:hint="eastAsia" w:ascii="宋体" w:hAnsi="宋体" w:cs="宋体"/>
                <w:b/>
                <w:bCs/>
                <w:kern w:val="0"/>
                <w:sz w:val="20"/>
                <w:szCs w:val="20"/>
              </w:rPr>
              <w:t>检验标准依据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38" w:hRule="atLeast"/>
          <w:jc w:val="center"/>
        </w:trPr>
        <w:tc>
          <w:tcPr>
            <w:tcW w:w="706" w:type="dxa"/>
            <w:vAlign w:val="center"/>
          </w:tcPr>
          <w:p>
            <w:pPr>
              <w:spacing w:line="276" w:lineRule="auto"/>
              <w:jc w:val="center"/>
              <w:rPr>
                <w:rFonts w:hint="eastAsia" w:ascii="宋体" w:hAnsi="宋体"/>
                <w:szCs w:val="21"/>
              </w:rPr>
            </w:pPr>
            <w:r>
              <w:rPr>
                <w:rFonts w:hint="eastAsia" w:ascii="宋体" w:hAnsi="宋体"/>
                <w:kern w:val="0"/>
                <w:szCs w:val="21"/>
              </w:rPr>
              <w:t>1</w:t>
            </w:r>
          </w:p>
        </w:tc>
        <w:tc>
          <w:tcPr>
            <w:tcW w:w="1091" w:type="dxa"/>
            <w:vAlign w:val="center"/>
          </w:tcPr>
          <w:p>
            <w:pPr>
              <w:spacing w:line="276" w:lineRule="auto"/>
              <w:jc w:val="center"/>
              <w:rPr>
                <w:rFonts w:hint="eastAsia" w:ascii="宋体" w:hAnsi="宋体"/>
                <w:szCs w:val="21"/>
              </w:rPr>
            </w:pPr>
            <w:r>
              <w:rPr>
                <w:rFonts w:hint="eastAsia" w:ascii="宋体" w:hAnsi="宋体"/>
                <w:bCs/>
                <w:szCs w:val="21"/>
              </w:rPr>
              <w:t>电动客车</w:t>
            </w:r>
          </w:p>
        </w:tc>
        <w:tc>
          <w:tcPr>
            <w:tcW w:w="929" w:type="dxa"/>
            <w:vAlign w:val="center"/>
          </w:tcPr>
          <w:p>
            <w:pPr>
              <w:spacing w:line="276" w:lineRule="auto"/>
              <w:jc w:val="center"/>
              <w:rPr>
                <w:rFonts w:hint="eastAsia" w:ascii="宋体" w:hAnsi="宋体"/>
                <w:szCs w:val="21"/>
              </w:rPr>
            </w:pPr>
            <w:r>
              <w:rPr>
                <w:rFonts w:hint="eastAsia" w:ascii="宋体" w:hAnsi="宋体"/>
                <w:bCs/>
                <w:szCs w:val="21"/>
              </w:rPr>
              <w:t>8703800090</w:t>
            </w:r>
          </w:p>
        </w:tc>
        <w:tc>
          <w:tcPr>
            <w:tcW w:w="761" w:type="dxa"/>
            <w:vAlign w:val="center"/>
          </w:tcPr>
          <w:p>
            <w:pPr>
              <w:spacing w:line="276" w:lineRule="auto"/>
              <w:jc w:val="center"/>
              <w:rPr>
                <w:rFonts w:hint="default" w:ascii="宋体" w:hAnsi="宋体" w:eastAsia="宋体"/>
                <w:szCs w:val="21"/>
                <w:lang w:val="en-US" w:eastAsia="zh-CN"/>
              </w:rPr>
            </w:pPr>
            <w:r>
              <w:rPr>
                <w:rFonts w:hint="eastAsia" w:ascii="宋体" w:hAnsi="宋体"/>
                <w:szCs w:val="21"/>
                <w:lang w:val="en-US" w:eastAsia="zh-CN"/>
              </w:rPr>
              <w:t>辆</w:t>
            </w:r>
          </w:p>
        </w:tc>
        <w:tc>
          <w:tcPr>
            <w:tcW w:w="665" w:type="dxa"/>
            <w:vAlign w:val="center"/>
          </w:tcPr>
          <w:p>
            <w:pPr>
              <w:spacing w:line="276" w:lineRule="auto"/>
              <w:jc w:val="center"/>
              <w:rPr>
                <w:rFonts w:hint="eastAsia" w:ascii="宋体" w:hAnsi="宋体" w:eastAsia="宋体"/>
                <w:szCs w:val="21"/>
                <w:lang w:eastAsia="zh-CN"/>
              </w:rPr>
            </w:pPr>
            <w:r>
              <w:rPr>
                <w:rFonts w:hint="eastAsia" w:ascii="宋体" w:hAnsi="宋体"/>
                <w:kern w:val="0"/>
                <w:szCs w:val="21"/>
                <w:lang w:val="en-US" w:eastAsia="zh-CN"/>
              </w:rPr>
              <w:t>2</w:t>
            </w:r>
          </w:p>
        </w:tc>
        <w:tc>
          <w:tcPr>
            <w:tcW w:w="3808" w:type="dxa"/>
            <w:vAlign w:val="center"/>
          </w:tcPr>
          <w:p>
            <w:pPr>
              <w:jc w:val="left"/>
              <w:rPr>
                <w:rFonts w:hint="eastAsia" w:ascii="宋体" w:hAnsi="宋体"/>
                <w:bCs/>
                <w:szCs w:val="21"/>
              </w:rPr>
            </w:pPr>
            <w:r>
              <w:rPr>
                <w:rFonts w:hint="eastAsia" w:ascii="宋体" w:hAnsi="宋体"/>
                <w:bCs/>
                <w:szCs w:val="21"/>
              </w:rPr>
              <w:t>（1）右舵</w:t>
            </w:r>
          </w:p>
          <w:p>
            <w:pPr>
              <w:jc w:val="left"/>
              <w:rPr>
                <w:rFonts w:hint="eastAsia" w:ascii="宋体" w:hAnsi="宋体"/>
                <w:bCs/>
                <w:szCs w:val="21"/>
              </w:rPr>
            </w:pPr>
            <w:r>
              <w:rPr>
                <w:rFonts w:hint="eastAsia" w:ascii="宋体" w:hAnsi="宋体"/>
                <w:bCs/>
                <w:szCs w:val="21"/>
              </w:rPr>
              <w:t>（2）车辆配备永磁同步电机</w:t>
            </w:r>
          </w:p>
          <w:p>
            <w:pPr>
              <w:jc w:val="left"/>
              <w:rPr>
                <w:rFonts w:hint="eastAsia" w:ascii="宋体" w:hAnsi="宋体"/>
                <w:bCs/>
                <w:szCs w:val="21"/>
              </w:rPr>
            </w:pPr>
            <w:r>
              <w:rPr>
                <w:rFonts w:hint="eastAsia" w:ascii="宋体" w:hAnsi="宋体"/>
                <w:bCs/>
                <w:szCs w:val="21"/>
              </w:rPr>
              <w:t>（3）驱动电机额定功率：≥50kW</w:t>
            </w:r>
          </w:p>
          <w:p>
            <w:pPr>
              <w:jc w:val="left"/>
              <w:rPr>
                <w:rFonts w:hint="eastAsia" w:ascii="宋体" w:hAnsi="宋体"/>
                <w:bCs/>
                <w:szCs w:val="21"/>
              </w:rPr>
            </w:pPr>
            <w:r>
              <w:rPr>
                <w:rFonts w:hint="eastAsia" w:ascii="宋体" w:hAnsi="宋体"/>
                <w:bCs/>
                <w:szCs w:val="21"/>
              </w:rPr>
              <w:t>（4）最高车速：≥85km/h</w:t>
            </w:r>
          </w:p>
          <w:p>
            <w:pPr>
              <w:jc w:val="left"/>
              <w:rPr>
                <w:rFonts w:hint="eastAsia" w:ascii="宋体" w:hAnsi="宋体"/>
                <w:bCs/>
                <w:szCs w:val="21"/>
              </w:rPr>
            </w:pPr>
            <w:r>
              <w:rPr>
                <w:rFonts w:hint="eastAsia" w:ascii="宋体" w:hAnsi="宋体"/>
                <w:bCs/>
                <w:szCs w:val="21"/>
              </w:rPr>
              <w:t>（5）车长：≥5.2m</w:t>
            </w:r>
          </w:p>
          <w:p>
            <w:pPr>
              <w:jc w:val="left"/>
              <w:rPr>
                <w:rFonts w:hint="eastAsia" w:ascii="宋体" w:hAnsi="宋体"/>
                <w:bCs/>
                <w:szCs w:val="21"/>
              </w:rPr>
            </w:pPr>
            <w:r>
              <w:rPr>
                <w:rFonts w:hint="eastAsia" w:ascii="宋体" w:hAnsi="宋体"/>
                <w:bCs/>
                <w:szCs w:val="21"/>
              </w:rPr>
              <w:t>（6）固定座位数：≥10座（含驾驶座）</w:t>
            </w:r>
          </w:p>
          <w:p>
            <w:pPr>
              <w:jc w:val="left"/>
              <w:rPr>
                <w:rFonts w:hint="eastAsia" w:ascii="宋体" w:hAnsi="宋体"/>
                <w:bCs/>
                <w:szCs w:val="21"/>
              </w:rPr>
            </w:pPr>
            <w:r>
              <w:rPr>
                <w:rFonts w:hint="eastAsia" w:ascii="宋体" w:hAnsi="宋体"/>
                <w:bCs/>
                <w:szCs w:val="21"/>
              </w:rPr>
              <w:t>（7）爬坡能力：≥20%</w:t>
            </w:r>
          </w:p>
          <w:p>
            <w:pPr>
              <w:jc w:val="left"/>
              <w:rPr>
                <w:rFonts w:hint="eastAsia" w:ascii="宋体" w:hAnsi="宋体"/>
                <w:bCs/>
                <w:szCs w:val="21"/>
              </w:rPr>
            </w:pPr>
            <w:r>
              <w:rPr>
                <w:rFonts w:hint="eastAsia" w:ascii="宋体" w:hAnsi="宋体"/>
                <w:bCs/>
                <w:szCs w:val="21"/>
              </w:rPr>
              <w:t>（8）配备磷酸铁锂电池，电池容量：≥50kwh</w:t>
            </w:r>
          </w:p>
          <w:p>
            <w:pPr>
              <w:jc w:val="left"/>
              <w:rPr>
                <w:rFonts w:hint="eastAsia" w:ascii="宋体" w:hAnsi="宋体"/>
                <w:bCs/>
                <w:szCs w:val="21"/>
              </w:rPr>
            </w:pPr>
            <w:r>
              <w:rPr>
                <w:rFonts w:hint="eastAsia" w:ascii="宋体" w:hAnsi="宋体"/>
                <w:bCs/>
                <w:szCs w:val="21"/>
              </w:rPr>
              <w:t>（9）纯电最高续航里程：≥200km</w:t>
            </w:r>
          </w:p>
          <w:p>
            <w:pPr>
              <w:jc w:val="left"/>
              <w:rPr>
                <w:rFonts w:hint="eastAsia" w:ascii="宋体" w:hAnsi="宋体"/>
                <w:bCs/>
                <w:szCs w:val="21"/>
              </w:rPr>
            </w:pPr>
            <w:r>
              <w:rPr>
                <w:rFonts w:hint="eastAsia" w:ascii="宋体" w:hAnsi="宋体"/>
                <w:bCs/>
                <w:szCs w:val="21"/>
              </w:rPr>
              <w:t>（10）转向：动力转向</w:t>
            </w:r>
          </w:p>
          <w:p>
            <w:pPr>
              <w:jc w:val="left"/>
              <w:rPr>
                <w:rFonts w:hint="eastAsia" w:ascii="宋体" w:hAnsi="宋体"/>
                <w:bCs/>
                <w:szCs w:val="21"/>
              </w:rPr>
            </w:pPr>
            <w:r>
              <w:rPr>
                <w:rFonts w:hint="eastAsia" w:ascii="宋体" w:hAnsi="宋体"/>
                <w:bCs/>
                <w:szCs w:val="21"/>
              </w:rPr>
              <w:t>（11）轮胎：全车子午线轮胎</w:t>
            </w:r>
          </w:p>
          <w:p>
            <w:pPr>
              <w:jc w:val="left"/>
              <w:rPr>
                <w:rFonts w:hint="eastAsia" w:ascii="宋体" w:hAnsi="宋体"/>
                <w:bCs/>
                <w:szCs w:val="21"/>
              </w:rPr>
            </w:pPr>
            <w:r>
              <w:rPr>
                <w:rFonts w:hint="eastAsia" w:ascii="宋体" w:hAnsi="宋体"/>
                <w:bCs/>
                <w:szCs w:val="21"/>
              </w:rPr>
              <w:t>（12）整车配备：电子稳定控制系统（至少包括ABS和EBD功能）/倒车影像/中控门锁/前门电动车窗/前后空调</w:t>
            </w:r>
          </w:p>
          <w:p>
            <w:pPr>
              <w:jc w:val="left"/>
              <w:rPr>
                <w:rFonts w:hint="eastAsia" w:ascii="宋体" w:hAnsi="宋体"/>
                <w:bCs/>
                <w:szCs w:val="21"/>
              </w:rPr>
            </w:pPr>
            <w:r>
              <w:rPr>
                <w:rFonts w:hint="eastAsia" w:ascii="宋体" w:hAnsi="宋体"/>
                <w:bCs/>
                <w:szCs w:val="21"/>
              </w:rPr>
              <w:t>（13）至少配备直流快充接口和交流慢充接口两种充电接口</w:t>
            </w:r>
          </w:p>
          <w:p>
            <w:pPr>
              <w:jc w:val="left"/>
              <w:rPr>
                <w:rFonts w:hint="eastAsia" w:ascii="宋体" w:hAnsi="宋体"/>
                <w:bCs/>
                <w:szCs w:val="21"/>
              </w:rPr>
            </w:pPr>
            <w:r>
              <w:rPr>
                <w:rFonts w:hint="eastAsia" w:ascii="宋体" w:hAnsi="宋体"/>
                <w:bCs/>
                <w:szCs w:val="21"/>
              </w:rPr>
              <w:t>（14）操作手册至少包括英文；操作面板和软件显示（如有）至少包括英文</w:t>
            </w:r>
          </w:p>
          <w:p>
            <w:pPr>
              <w:jc w:val="left"/>
              <w:rPr>
                <w:rFonts w:hint="eastAsia" w:ascii="宋体" w:hAnsi="宋体"/>
                <w:bCs/>
                <w:szCs w:val="21"/>
              </w:rPr>
            </w:pPr>
            <w:r>
              <w:rPr>
                <w:rFonts w:hint="eastAsia" w:ascii="宋体" w:hAnsi="宋体"/>
                <w:bCs/>
                <w:szCs w:val="21"/>
              </w:rPr>
              <w:t>（15）随车配便携式充枪和充电线</w:t>
            </w:r>
          </w:p>
          <w:p>
            <w:pPr>
              <w:jc w:val="left"/>
              <w:rPr>
                <w:rFonts w:hint="eastAsia" w:ascii="宋体" w:hAnsi="宋体"/>
                <w:bCs/>
                <w:szCs w:val="21"/>
              </w:rPr>
            </w:pPr>
            <w:r>
              <w:rPr>
                <w:rFonts w:hint="eastAsia" w:ascii="宋体" w:hAnsi="宋体"/>
                <w:bCs/>
                <w:szCs w:val="21"/>
              </w:rPr>
              <w:t>（16）车辆价值5%的易损保养件</w:t>
            </w:r>
          </w:p>
          <w:p>
            <w:pPr>
              <w:widowControl/>
              <w:spacing w:line="276" w:lineRule="auto"/>
              <w:rPr>
                <w:rFonts w:hint="eastAsia" w:ascii="宋体" w:hAnsi="宋体"/>
                <w:szCs w:val="21"/>
              </w:rPr>
            </w:pPr>
            <w:r>
              <w:rPr>
                <w:rFonts w:hint="eastAsia" w:ascii="宋体" w:hAnsi="宋体"/>
                <w:bCs/>
                <w:szCs w:val="21"/>
              </w:rPr>
              <w:t>（或优于以上要求）</w:t>
            </w:r>
          </w:p>
        </w:tc>
        <w:tc>
          <w:tcPr>
            <w:tcW w:w="1599" w:type="dxa"/>
            <w:vAlign w:val="center"/>
          </w:tcPr>
          <w:p>
            <w:pPr>
              <w:widowControl/>
              <w:spacing w:line="276" w:lineRule="auto"/>
              <w:jc w:val="center"/>
              <w:rPr>
                <w:rFonts w:hint="eastAsia" w:ascii="宋体" w:hAnsi="宋体"/>
                <w:kern w:val="0"/>
                <w:szCs w:val="21"/>
              </w:rPr>
            </w:pPr>
            <w:r>
              <w:rPr>
                <w:rFonts w:hint="eastAsia" w:ascii="宋体" w:hAnsi="宋体"/>
                <w:bCs/>
                <w:kern w:val="0"/>
                <w:szCs w:val="21"/>
              </w:rPr>
              <w:t>GB7258-2017</w:t>
            </w:r>
          </w:p>
        </w:tc>
      </w:tr>
    </w:tbl>
    <w:p>
      <w:pPr>
        <w:widowControl/>
        <w:jc w:val="left"/>
      </w:pPr>
    </w:p>
    <w:p>
      <w:pPr>
        <w:widowControl/>
        <w:jc w:val="left"/>
      </w:pPr>
      <w:r>
        <w:br w:type="page"/>
      </w:r>
    </w:p>
    <w:tbl>
      <w:tblPr>
        <w:tblStyle w:val="37"/>
        <w:tblW w:w="84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9"/>
        <w:gridCol w:w="2552"/>
        <w:gridCol w:w="48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ind w:firstLine="105" w:firstLineChars="50"/>
              <w:jc w:val="center"/>
              <w:rPr>
                <w:rFonts w:hint="eastAsia" w:ascii="宋体" w:hAnsi="宋体"/>
                <w:szCs w:val="21"/>
              </w:rPr>
            </w:pPr>
            <w:r>
              <w:rPr>
                <w:rFonts w:hint="eastAsia" w:ascii="宋体" w:hAnsi="宋体"/>
                <w:szCs w:val="21"/>
              </w:rPr>
              <w:t>2</w:t>
            </w:r>
            <w:r>
              <w:rPr>
                <w:rFonts w:ascii="宋体" w:hAnsi="宋体"/>
                <w:szCs w:val="21"/>
              </w:rPr>
              <w:t>-1</w:t>
            </w:r>
          </w:p>
        </w:tc>
        <w:tc>
          <w:tcPr>
            <w:tcW w:w="2552" w:type="dxa"/>
            <w:shd w:val="clear" w:color="auto" w:fill="auto"/>
          </w:tcPr>
          <w:p>
            <w:pPr>
              <w:spacing w:after="120" w:line="480" w:lineRule="auto"/>
              <w:rPr>
                <w:rFonts w:hint="eastAsia" w:ascii="宋体" w:hAnsi="宋体"/>
                <w:szCs w:val="21"/>
              </w:rPr>
            </w:pPr>
            <w:r>
              <w:rPr>
                <w:rFonts w:ascii="宋体" w:hAnsi="宋体"/>
                <w:szCs w:val="21"/>
              </w:rPr>
              <w:t>生产供货特殊要求</w:t>
            </w:r>
          </w:p>
        </w:tc>
        <w:tc>
          <w:tcPr>
            <w:tcW w:w="4805" w:type="dxa"/>
            <w:shd w:val="clear" w:color="auto" w:fill="auto"/>
          </w:tcPr>
          <w:p>
            <w:pPr>
              <w:spacing w:after="120" w:line="480" w:lineRule="auto"/>
              <w:rPr>
                <w:rFonts w:hint="eastAsia" w:ascii="宋体" w:hAnsi="宋体"/>
                <w:szCs w:val="21"/>
              </w:rPr>
            </w:pPr>
            <w:r>
              <w:rPr>
                <w:rFonts w:hint="eastAsia" w:ascii="宋体" w:hAnsi="宋体"/>
                <w:szCs w:val="21"/>
              </w:rPr>
              <w:t>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ind w:firstLine="105" w:firstLineChars="50"/>
              <w:jc w:val="center"/>
              <w:rPr>
                <w:rFonts w:hint="eastAsia" w:ascii="宋体" w:hAnsi="宋体"/>
                <w:szCs w:val="21"/>
              </w:rPr>
            </w:pPr>
            <w:r>
              <w:rPr>
                <w:rFonts w:hint="eastAsia" w:ascii="宋体" w:hAnsi="宋体"/>
                <w:szCs w:val="21"/>
              </w:rPr>
              <w:t>2</w:t>
            </w:r>
            <w:r>
              <w:rPr>
                <w:rFonts w:ascii="宋体" w:hAnsi="宋体"/>
                <w:szCs w:val="21"/>
              </w:rPr>
              <w:t>-2</w:t>
            </w:r>
          </w:p>
        </w:tc>
        <w:tc>
          <w:tcPr>
            <w:tcW w:w="2552" w:type="dxa"/>
            <w:shd w:val="clear" w:color="auto" w:fill="auto"/>
          </w:tcPr>
          <w:p>
            <w:pPr>
              <w:spacing w:after="120" w:line="480" w:lineRule="auto"/>
              <w:rPr>
                <w:rFonts w:hint="eastAsia" w:ascii="宋体" w:hAnsi="宋体"/>
                <w:szCs w:val="21"/>
              </w:rPr>
            </w:pPr>
            <w:r>
              <w:rPr>
                <w:rFonts w:ascii="宋体" w:hAnsi="宋体"/>
                <w:szCs w:val="21"/>
              </w:rPr>
              <w:t>包装</w:t>
            </w:r>
          </w:p>
        </w:tc>
        <w:tc>
          <w:tcPr>
            <w:tcW w:w="4805" w:type="dxa"/>
            <w:shd w:val="clear" w:color="auto" w:fill="auto"/>
          </w:tcPr>
          <w:p>
            <w:pPr>
              <w:spacing w:after="120" w:line="480" w:lineRule="auto"/>
              <w:rPr>
                <w:szCs w:val="21"/>
              </w:rPr>
            </w:pPr>
            <w:r>
              <w:rPr>
                <w:rFonts w:hint="eastAsia" w:ascii="宋体" w:hAnsi="宋体" w:cs="宋体"/>
                <w:szCs w:val="21"/>
              </w:rPr>
              <w:t>内、外包装：</w:t>
            </w:r>
            <w:r>
              <w:rPr>
                <w:rFonts w:hint="eastAsia"/>
                <w:szCs w:val="21"/>
              </w:rPr>
              <w:t>标准出口包装，适合长途陆运，防湿、防潮、防锈，耐粗暴搬运。设备内包装为软性材料包裹，外包装为纸箱同时在纸箱外加裹塑料膜。</w:t>
            </w:r>
          </w:p>
          <w:p>
            <w:pPr>
              <w:spacing w:after="120" w:line="480" w:lineRule="auto"/>
              <w:rPr>
                <w:rFonts w:hint="eastAsia" w:ascii="宋体" w:hAnsi="宋体"/>
                <w:szCs w:val="21"/>
              </w:rPr>
            </w:pPr>
            <w:r>
              <w:rPr>
                <w:rFonts w:hint="eastAsia" w:ascii="宋体" w:hAnsi="宋体" w:cs="宋体"/>
                <w:szCs w:val="21"/>
              </w:rPr>
              <w:t>运输包装：</w:t>
            </w:r>
            <w:r>
              <w:rPr>
                <w:rFonts w:hint="eastAsia"/>
                <w:szCs w:val="21"/>
              </w:rPr>
              <w:t>标准出口包装，适合长途陆运，防湿、防潮、防锈，耐粗暴搬运。运输包装为免熏蒸木质包装箱。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ind w:firstLine="105" w:firstLineChars="50"/>
              <w:jc w:val="center"/>
              <w:rPr>
                <w:rFonts w:hint="eastAsia" w:ascii="宋体" w:hAnsi="宋体"/>
                <w:szCs w:val="21"/>
              </w:rPr>
            </w:pPr>
            <w:r>
              <w:rPr>
                <w:rFonts w:hint="eastAsia" w:ascii="宋体" w:hAnsi="宋体"/>
                <w:szCs w:val="21"/>
              </w:rPr>
              <w:t>2</w:t>
            </w:r>
            <w:r>
              <w:rPr>
                <w:rFonts w:ascii="宋体" w:hAnsi="宋体"/>
                <w:szCs w:val="21"/>
              </w:rPr>
              <w:t>-3</w:t>
            </w:r>
          </w:p>
        </w:tc>
        <w:tc>
          <w:tcPr>
            <w:tcW w:w="2552" w:type="dxa"/>
            <w:shd w:val="clear" w:color="auto" w:fill="auto"/>
          </w:tcPr>
          <w:p>
            <w:pPr>
              <w:spacing w:after="120" w:line="480" w:lineRule="auto"/>
              <w:rPr>
                <w:rFonts w:hint="eastAsia" w:ascii="宋体" w:hAnsi="宋体"/>
                <w:szCs w:val="21"/>
              </w:rPr>
            </w:pPr>
            <w:r>
              <w:rPr>
                <w:rFonts w:ascii="宋体" w:hAnsi="宋体"/>
                <w:szCs w:val="21"/>
              </w:rPr>
              <w:t>援外标识</w:t>
            </w:r>
          </w:p>
        </w:tc>
        <w:tc>
          <w:tcPr>
            <w:tcW w:w="4805" w:type="dxa"/>
            <w:shd w:val="clear" w:color="auto" w:fill="auto"/>
          </w:tcPr>
          <w:p>
            <w:pPr>
              <w:spacing w:after="120" w:line="480" w:lineRule="auto"/>
              <w:rPr>
                <w:szCs w:val="21"/>
              </w:rPr>
            </w:pPr>
            <w:r>
              <w:rPr>
                <w:rFonts w:hint="eastAsia" w:ascii="宋体" w:hAnsi="宋体" w:cs="宋体"/>
                <w:szCs w:val="21"/>
              </w:rPr>
              <w:t>物资本体：</w:t>
            </w:r>
            <w:r>
              <w:rPr>
                <w:rFonts w:hint="eastAsia"/>
                <w:szCs w:val="21"/>
              </w:rPr>
              <w:t>不使用援外标识。</w:t>
            </w:r>
          </w:p>
          <w:p>
            <w:pPr>
              <w:spacing w:after="120" w:line="480" w:lineRule="auto"/>
              <w:rPr>
                <w:rFonts w:hint="eastAsia" w:ascii="宋体" w:hAnsi="宋体"/>
                <w:szCs w:val="21"/>
              </w:rPr>
            </w:pPr>
            <w:r>
              <w:rPr>
                <w:rFonts w:hint="eastAsia" w:ascii="宋体" w:hAnsi="宋体" w:cs="宋体"/>
                <w:szCs w:val="21"/>
              </w:rPr>
              <w:t>包装：</w:t>
            </w:r>
            <w:r>
              <w:rPr>
                <w:rFonts w:hint="eastAsia"/>
                <w:szCs w:val="21"/>
              </w:rPr>
              <w:t>不使用援外标识。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jc w:val="center"/>
              <w:rPr>
                <w:rFonts w:hint="eastAsia" w:ascii="宋体" w:hAnsi="宋体"/>
                <w:szCs w:val="21"/>
              </w:rPr>
            </w:pPr>
            <w:r>
              <w:rPr>
                <w:rFonts w:ascii="宋体" w:hAnsi="宋体"/>
                <w:szCs w:val="21"/>
              </w:rPr>
              <w:t xml:space="preserve"> </w:t>
            </w:r>
            <w:r>
              <w:rPr>
                <w:rFonts w:hint="eastAsia" w:ascii="宋体" w:hAnsi="宋体"/>
                <w:szCs w:val="21"/>
              </w:rPr>
              <w:t>2</w:t>
            </w:r>
            <w:r>
              <w:rPr>
                <w:rFonts w:ascii="宋体" w:hAnsi="宋体"/>
                <w:szCs w:val="21"/>
              </w:rPr>
              <w:t>-4</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自检验收、第三方检验</w:t>
            </w:r>
          </w:p>
        </w:tc>
        <w:tc>
          <w:tcPr>
            <w:tcW w:w="4805" w:type="dxa"/>
            <w:shd w:val="clear" w:color="auto" w:fill="auto"/>
          </w:tcPr>
          <w:p>
            <w:pPr>
              <w:spacing w:after="120" w:line="480" w:lineRule="auto"/>
              <w:rPr>
                <w:rFonts w:ascii="Arial" w:hAnsi="Arial" w:cs="Arial"/>
              </w:rPr>
            </w:pPr>
            <w:r>
              <w:rPr>
                <w:rFonts w:hint="eastAsia" w:ascii="Arial" w:hAnsi="Arial" w:cs="Arial"/>
              </w:rPr>
              <w:t>自检验收：编制自检验收方案，内容包括：验收计划、验收方式、验收记录管理、特殊情况处置。</w:t>
            </w:r>
          </w:p>
          <w:p>
            <w:pPr>
              <w:spacing w:after="120" w:line="480" w:lineRule="auto"/>
              <w:rPr>
                <w:rFonts w:hint="eastAsia" w:ascii="宋体" w:hAnsi="宋体"/>
                <w:szCs w:val="21"/>
              </w:rPr>
            </w:pPr>
            <w:r>
              <w:rPr>
                <w:rFonts w:hint="eastAsia" w:ascii="Arial" w:hAnsi="Arial" w:cs="Arial"/>
              </w:rPr>
              <w:t>第三方检验：本项目下全部物资为非法检物资，严格按照“产地检验、装运前核验和口岸监装”原则进行检验。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jc w:val="center"/>
              <w:rPr>
                <w:rFonts w:hint="eastAsia" w:ascii="宋体" w:hAnsi="宋体"/>
                <w:szCs w:val="21"/>
              </w:rPr>
            </w:pPr>
            <w:r>
              <w:rPr>
                <w:rFonts w:ascii="宋体" w:hAnsi="宋体"/>
                <w:szCs w:val="21"/>
              </w:rPr>
              <w:t xml:space="preserve"> </w:t>
            </w:r>
            <w:r>
              <w:rPr>
                <w:rFonts w:hint="eastAsia" w:ascii="宋体" w:hAnsi="宋体"/>
                <w:szCs w:val="21"/>
              </w:rPr>
              <w:t>2</w:t>
            </w:r>
            <w:r>
              <w:rPr>
                <w:rFonts w:ascii="宋体" w:hAnsi="宋体"/>
                <w:szCs w:val="21"/>
              </w:rPr>
              <w:t>-5</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国内提货运输及仓储</w:t>
            </w:r>
            <w:bookmarkStart w:id="0" w:name="OLE_LINK3"/>
            <w:r>
              <w:rPr>
                <w:rFonts w:hint="eastAsia" w:ascii="宋体" w:hAnsi="宋体"/>
                <w:szCs w:val="21"/>
              </w:rPr>
              <w:t>保管</w:t>
            </w:r>
            <w:bookmarkEnd w:id="0"/>
            <w:r>
              <w:rPr>
                <w:rFonts w:hint="eastAsia" w:ascii="宋体" w:hAnsi="宋体"/>
                <w:szCs w:val="21"/>
              </w:rPr>
              <w:t>和出口报关</w:t>
            </w:r>
          </w:p>
        </w:tc>
        <w:tc>
          <w:tcPr>
            <w:tcW w:w="4805" w:type="dxa"/>
            <w:shd w:val="clear" w:color="auto" w:fill="auto"/>
          </w:tcPr>
          <w:p>
            <w:pPr>
              <w:spacing w:after="120" w:line="480" w:lineRule="auto"/>
              <w:rPr>
                <w:rFonts w:hint="eastAsia" w:ascii="宋体" w:hAnsi="宋体"/>
                <w:szCs w:val="21"/>
              </w:rPr>
            </w:pPr>
            <w:r>
              <w:rPr>
                <w:rFonts w:hint="eastAsia" w:ascii="宋体" w:hAnsi="宋体"/>
                <w:szCs w:val="21"/>
              </w:rPr>
              <w:t>安全实施国内提货运输及仓储保管和出口报关，并购买相应保险。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jc w:val="center"/>
              <w:rPr>
                <w:rFonts w:hint="eastAsia" w:ascii="宋体" w:hAnsi="宋体"/>
                <w:szCs w:val="21"/>
              </w:rPr>
            </w:pPr>
            <w:r>
              <w:rPr>
                <w:rFonts w:ascii="宋体" w:hAnsi="宋体"/>
                <w:szCs w:val="21"/>
              </w:rPr>
              <w:t xml:space="preserve"> </w:t>
            </w:r>
            <w:r>
              <w:rPr>
                <w:rFonts w:hint="eastAsia" w:ascii="宋体" w:hAnsi="宋体"/>
                <w:szCs w:val="21"/>
              </w:rPr>
              <w:t>2</w:t>
            </w:r>
            <w:r>
              <w:rPr>
                <w:rFonts w:ascii="宋体" w:hAnsi="宋体"/>
                <w:szCs w:val="21"/>
              </w:rPr>
              <w:t>-6</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国外运输及仓储保管</w:t>
            </w:r>
          </w:p>
        </w:tc>
        <w:tc>
          <w:tcPr>
            <w:tcW w:w="4805" w:type="dxa"/>
            <w:shd w:val="clear" w:color="auto" w:fill="auto"/>
          </w:tcPr>
          <w:p>
            <w:pPr>
              <w:spacing w:after="120" w:line="480" w:lineRule="auto"/>
              <w:rPr>
                <w:rFonts w:hint="eastAsia" w:ascii="宋体" w:hAnsi="宋体"/>
                <w:szCs w:val="21"/>
              </w:rPr>
            </w:pPr>
            <w:r>
              <w:rPr>
                <w:rFonts w:hint="eastAsia" w:ascii="宋体" w:hAnsi="宋体"/>
                <w:szCs w:val="21"/>
              </w:rPr>
              <w:t>安全实施国外运输及仓储保管并购买相应保险。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jc w:val="center"/>
              <w:rPr>
                <w:rFonts w:hint="eastAsia" w:ascii="宋体" w:hAnsi="宋体"/>
                <w:szCs w:val="21"/>
              </w:rPr>
            </w:pPr>
            <w:r>
              <w:rPr>
                <w:rFonts w:ascii="宋体" w:hAnsi="宋体"/>
                <w:szCs w:val="21"/>
              </w:rPr>
              <w:t xml:space="preserve"> </w:t>
            </w:r>
            <w:r>
              <w:rPr>
                <w:rFonts w:hint="eastAsia" w:ascii="宋体" w:hAnsi="宋体"/>
                <w:szCs w:val="21"/>
              </w:rPr>
              <w:t>2</w:t>
            </w:r>
            <w:r>
              <w:rPr>
                <w:rFonts w:ascii="宋体" w:hAnsi="宋体"/>
                <w:szCs w:val="21"/>
              </w:rPr>
              <w:t>-7</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发运/运抵</w:t>
            </w:r>
          </w:p>
        </w:tc>
        <w:tc>
          <w:tcPr>
            <w:tcW w:w="4805" w:type="dxa"/>
            <w:shd w:val="clear" w:color="auto" w:fill="auto"/>
            <w:vAlign w:val="center"/>
          </w:tcPr>
          <w:p>
            <w:pPr>
              <w:pStyle w:val="20"/>
              <w:spacing w:after="120" w:line="480" w:lineRule="auto"/>
              <w:jc w:val="left"/>
              <w:rPr>
                <w:rFonts w:ascii="Arial" w:hAnsi="Arial" w:cs="Arial"/>
              </w:rPr>
            </w:pPr>
            <w:r>
              <w:rPr>
                <w:rFonts w:hint="eastAsia" w:ascii="Arial" w:hAnsi="Arial" w:cs="Arial"/>
              </w:rPr>
              <w:t>运输方式：陆运</w:t>
            </w:r>
          </w:p>
          <w:p>
            <w:pPr>
              <w:pStyle w:val="20"/>
              <w:spacing w:after="120" w:line="480" w:lineRule="auto"/>
              <w:jc w:val="left"/>
              <w:rPr>
                <w:rFonts w:ascii="Arial" w:hAnsi="Arial" w:cs="Arial"/>
              </w:rPr>
            </w:pPr>
            <w:r>
              <w:rPr>
                <w:rFonts w:hint="eastAsia" w:ascii="Arial" w:hAnsi="Arial" w:cs="Arial"/>
              </w:rPr>
              <w:t>运抵地点：瑞丽-木姐口岸</w:t>
            </w:r>
          </w:p>
          <w:p>
            <w:pPr>
              <w:spacing w:after="120" w:line="480" w:lineRule="auto"/>
              <w:rPr>
                <w:rFonts w:hint="eastAsia" w:ascii="宋体" w:hAnsi="宋体"/>
                <w:szCs w:val="21"/>
              </w:rPr>
            </w:pPr>
            <w:r>
              <w:rPr>
                <w:rFonts w:hint="eastAsia" w:ascii="Arial" w:hAnsi="Arial" w:cs="Arial"/>
              </w:rPr>
              <w:t>发运/运抵时限：</w:t>
            </w:r>
            <w:r>
              <w:rPr>
                <w:rFonts w:hint="eastAsia"/>
              </w:rPr>
              <w:t>授标后60天（含）内一批次发运物资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jc w:val="center"/>
              <w:rPr>
                <w:rFonts w:hint="eastAsia" w:ascii="宋体" w:hAnsi="宋体"/>
                <w:szCs w:val="21"/>
              </w:rPr>
            </w:pPr>
            <w:r>
              <w:rPr>
                <w:rFonts w:ascii="宋体" w:hAnsi="宋体"/>
                <w:szCs w:val="21"/>
              </w:rPr>
              <w:t xml:space="preserve"> </w:t>
            </w:r>
            <w:r>
              <w:rPr>
                <w:rFonts w:hint="eastAsia" w:ascii="宋体" w:hAnsi="宋体"/>
                <w:szCs w:val="21"/>
              </w:rPr>
              <w:t>2</w:t>
            </w:r>
            <w:r>
              <w:rPr>
                <w:rFonts w:ascii="宋体" w:hAnsi="宋体"/>
                <w:szCs w:val="21"/>
              </w:rPr>
              <w:t>-8</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物资对外交付</w:t>
            </w:r>
          </w:p>
        </w:tc>
        <w:tc>
          <w:tcPr>
            <w:tcW w:w="4805" w:type="dxa"/>
            <w:shd w:val="clear" w:color="auto" w:fill="auto"/>
          </w:tcPr>
          <w:p>
            <w:pPr>
              <w:spacing w:after="120" w:line="480" w:lineRule="auto"/>
              <w:rPr>
                <w:rFonts w:hint="eastAsia" w:ascii="宋体" w:hAnsi="宋体"/>
                <w:szCs w:val="21"/>
              </w:rPr>
            </w:pPr>
            <w:r>
              <w:rPr>
                <w:rFonts w:hint="eastAsia" w:ascii="宋体" w:hAnsi="宋体" w:cs="宋体"/>
                <w:szCs w:val="21"/>
              </w:rPr>
              <w:t>物资交付：</w:t>
            </w:r>
            <w:r>
              <w:rPr>
                <w:rFonts w:hint="eastAsia"/>
                <w:szCs w:val="21"/>
              </w:rPr>
              <w:t>全部物资运抵受援方指定地点后，中标人须及时与受援方办理物资交付手续，双方确认物资交付的数量、规格和实际运抵时间，并签署交付文件。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jc w:val="center"/>
              <w:rPr>
                <w:rFonts w:hint="eastAsia" w:ascii="宋体" w:hAnsi="宋体"/>
                <w:szCs w:val="21"/>
              </w:rPr>
            </w:pPr>
            <w:r>
              <w:rPr>
                <w:rFonts w:hint="eastAsia" w:ascii="宋体" w:hAnsi="宋体"/>
                <w:szCs w:val="21"/>
              </w:rPr>
              <w:t>2</w:t>
            </w:r>
            <w:r>
              <w:rPr>
                <w:rFonts w:ascii="宋体" w:hAnsi="宋体"/>
                <w:szCs w:val="21"/>
              </w:rPr>
              <w:t>-9</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技术服务组织、对外技术交接</w:t>
            </w:r>
          </w:p>
        </w:tc>
        <w:tc>
          <w:tcPr>
            <w:tcW w:w="4805" w:type="dxa"/>
            <w:shd w:val="clear" w:color="auto" w:fill="auto"/>
          </w:tcPr>
          <w:p>
            <w:pPr>
              <w:spacing w:after="120" w:line="480" w:lineRule="auto"/>
              <w:rPr>
                <w:szCs w:val="21"/>
              </w:rPr>
            </w:pPr>
            <w:r>
              <w:rPr>
                <w:rFonts w:hint="eastAsia" w:ascii="宋体" w:hAnsi="宋体"/>
                <w:szCs w:val="21"/>
              </w:rPr>
              <w:t>技术服务</w:t>
            </w:r>
            <w:r>
              <w:rPr>
                <w:rFonts w:hint="eastAsia" w:ascii="宋体" w:hAnsi="宋体" w:cs="宋体"/>
                <w:szCs w:val="21"/>
              </w:rPr>
              <w:t>工作内容和目标：</w:t>
            </w:r>
            <w:r>
              <w:rPr>
                <w:rFonts w:hint="eastAsia"/>
                <w:szCs w:val="21"/>
              </w:rPr>
              <w:t>本项目所有产品运抵后，中方派遣2名技术能力强、工作经验丰富、可用英语沟通的工程师赴受援国开展设备安装、调试、培训等工作，国（境）外停留共计14天。外派人员在受援国开展设备安装、调试等工作的同时，对受援国相关人员开展技术培训。培训时长至少5天，内容包括：电子数据取证概述、计算机取证技术、手机取证技术、数据恢复、取证设备日常维护和设备使用实训。</w:t>
            </w:r>
          </w:p>
          <w:p>
            <w:pPr>
              <w:spacing w:after="120" w:line="480" w:lineRule="auto"/>
              <w:rPr>
                <w:szCs w:val="21"/>
              </w:rPr>
            </w:pPr>
            <w:r>
              <w:rPr>
                <w:rFonts w:hint="eastAsia" w:ascii="宋体" w:hAnsi="宋体" w:cs="宋体"/>
                <w:szCs w:val="21"/>
              </w:rPr>
              <w:t>参考人员数量：</w:t>
            </w:r>
            <w:r>
              <w:rPr>
                <w:rFonts w:hint="eastAsia"/>
                <w:szCs w:val="21"/>
              </w:rPr>
              <w:t>2名工程师（指能够独自胜任赴缅开展电子数据取证实验室项目设备安装、调试、培训等工作的技术人员，不强制持有国家有关部门颁发的技术资格证书）</w:t>
            </w:r>
          </w:p>
          <w:p>
            <w:pPr>
              <w:spacing w:after="120" w:line="480" w:lineRule="auto"/>
              <w:rPr>
                <w:rFonts w:hint="eastAsia" w:ascii="宋体" w:hAnsi="宋体" w:cs="宋体"/>
                <w:szCs w:val="21"/>
              </w:rPr>
            </w:pPr>
            <w:r>
              <w:rPr>
                <w:rFonts w:hint="eastAsia" w:ascii="宋体" w:hAnsi="宋体" w:cs="宋体"/>
                <w:szCs w:val="21"/>
              </w:rPr>
              <w:t>参考时间要求：</w:t>
            </w:r>
            <w:r>
              <w:rPr>
                <w:rFonts w:hint="eastAsia"/>
                <w:szCs w:val="21"/>
              </w:rPr>
              <w:t>14天（包含往返国际旅途时间，其中培训时长至少5天）</w:t>
            </w:r>
          </w:p>
          <w:p>
            <w:pPr>
              <w:spacing w:after="120" w:line="480" w:lineRule="auto"/>
              <w:rPr>
                <w:rFonts w:hint="eastAsia" w:ascii="宋体" w:hAnsi="宋体"/>
                <w:szCs w:val="21"/>
              </w:rPr>
            </w:pPr>
            <w:r>
              <w:rPr>
                <w:rFonts w:hint="eastAsia" w:ascii="宋体" w:hAnsi="宋体" w:cs="宋体"/>
                <w:szCs w:val="21"/>
              </w:rPr>
              <w:t>技术交付：</w:t>
            </w:r>
            <w:r>
              <w:rPr>
                <w:rFonts w:hint="eastAsia"/>
                <w:szCs w:val="21"/>
              </w:rPr>
              <w:t>完成技术服务后签署技术交付文件，进行技术交付。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jc w:val="center"/>
              <w:rPr>
                <w:rFonts w:hint="eastAsia" w:ascii="宋体" w:hAnsi="宋体"/>
                <w:szCs w:val="21"/>
              </w:rPr>
            </w:pPr>
            <w:r>
              <w:rPr>
                <w:rFonts w:hint="eastAsia" w:ascii="宋体" w:hAnsi="宋体"/>
                <w:szCs w:val="21"/>
              </w:rPr>
              <w:t>2</w:t>
            </w:r>
            <w:r>
              <w:rPr>
                <w:rFonts w:ascii="宋体" w:hAnsi="宋体"/>
                <w:szCs w:val="21"/>
              </w:rPr>
              <w:t>-10</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售后服务落实和督促</w:t>
            </w:r>
          </w:p>
        </w:tc>
        <w:tc>
          <w:tcPr>
            <w:tcW w:w="4805" w:type="dxa"/>
            <w:shd w:val="clear" w:color="auto" w:fill="auto"/>
          </w:tcPr>
          <w:p>
            <w:pPr>
              <w:widowControl/>
              <w:spacing w:after="120" w:line="480" w:lineRule="auto"/>
              <w:rPr>
                <w:rFonts w:hint="eastAsia" w:ascii="宋体" w:hAnsi="宋体" w:cs="宋体"/>
                <w:szCs w:val="21"/>
              </w:rPr>
            </w:pPr>
            <w:r>
              <w:rPr>
                <w:rFonts w:hint="eastAsia" w:ascii="宋体" w:hAnsi="宋体" w:cs="宋体"/>
                <w:szCs w:val="21"/>
              </w:rPr>
              <w:t>需提供售后服务的设备：</w:t>
            </w:r>
            <w:r>
              <w:rPr>
                <w:rFonts w:hint="eastAsia"/>
                <w:szCs w:val="21"/>
              </w:rPr>
              <w:t>所有物资</w:t>
            </w:r>
          </w:p>
          <w:p>
            <w:pPr>
              <w:spacing w:after="120" w:line="480" w:lineRule="auto"/>
              <w:rPr>
                <w:rFonts w:hint="eastAsia" w:ascii="宋体" w:hAnsi="宋体"/>
                <w:szCs w:val="21"/>
              </w:rPr>
            </w:pPr>
            <w:r>
              <w:rPr>
                <w:rFonts w:hint="eastAsia" w:ascii="宋体" w:hAnsi="宋体" w:cs="宋体"/>
                <w:szCs w:val="21"/>
              </w:rPr>
              <w:t>售后服务质量目标要求：</w:t>
            </w:r>
            <w:r>
              <w:rPr>
                <w:rFonts w:hint="eastAsia"/>
                <w:szCs w:val="21"/>
              </w:rPr>
              <w:t>硬件免费维保期为自运抵之日起1年（硬件故障问题，提供免费更换，双方各自负责寄出的运输、保险和海关费用），超过维保期后，硬件只收取维修成本费；软件免费维保期为自运抵之日起3年，缅方如无法承担之后的维保费用，相关软件亦可以继续使用，但无法升级更新，保修期内提供远程的技术支持和软件在线升级更新（软件故障问题，提供在线升级/下载更新解决方案，或经协商，提供远程在线诊断及解决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jc w:val="center"/>
              <w:rPr>
                <w:rFonts w:hint="eastAsia" w:ascii="宋体" w:hAnsi="宋体"/>
                <w:szCs w:val="21"/>
              </w:rPr>
            </w:pPr>
            <w:r>
              <w:rPr>
                <w:rFonts w:hint="eastAsia" w:ascii="宋体" w:hAnsi="宋体"/>
                <w:szCs w:val="21"/>
              </w:rPr>
              <w:t>2</w:t>
            </w:r>
            <w:r>
              <w:rPr>
                <w:rFonts w:ascii="宋体" w:hAnsi="宋体"/>
                <w:szCs w:val="21"/>
              </w:rPr>
              <w:t>-11</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大型机电设备跟踪（如有）</w:t>
            </w:r>
          </w:p>
        </w:tc>
        <w:tc>
          <w:tcPr>
            <w:tcW w:w="4805" w:type="dxa"/>
            <w:shd w:val="clear" w:color="auto" w:fill="auto"/>
          </w:tcPr>
          <w:p>
            <w:pPr>
              <w:spacing w:after="120" w:line="480" w:lineRule="auto"/>
              <w:rPr>
                <w:rFonts w:hint="eastAsia" w:ascii="宋体" w:hAnsi="宋体"/>
                <w:szCs w:val="21"/>
              </w:rPr>
            </w:pPr>
            <w:r>
              <w:rPr>
                <w:rFonts w:hint="eastAsia" w:ascii="宋体" w:hAnsi="宋体"/>
                <w:szCs w:val="21"/>
              </w:rPr>
              <w:t>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ind w:firstLine="105" w:firstLineChars="50"/>
              <w:rPr>
                <w:rFonts w:hint="eastAsia" w:ascii="宋体" w:hAnsi="宋体"/>
                <w:szCs w:val="21"/>
              </w:rPr>
            </w:pPr>
            <w:r>
              <w:rPr>
                <w:rFonts w:hint="eastAsia" w:ascii="宋体" w:hAnsi="宋体"/>
                <w:szCs w:val="21"/>
              </w:rPr>
              <w:t>2</w:t>
            </w:r>
            <w:r>
              <w:rPr>
                <w:rFonts w:ascii="宋体" w:hAnsi="宋体"/>
                <w:szCs w:val="21"/>
              </w:rPr>
              <w:t>-12</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舆情应对方案</w:t>
            </w:r>
          </w:p>
        </w:tc>
        <w:tc>
          <w:tcPr>
            <w:tcW w:w="4805" w:type="dxa"/>
            <w:shd w:val="clear" w:color="auto" w:fill="auto"/>
          </w:tcPr>
          <w:p>
            <w:pPr>
              <w:spacing w:after="120" w:line="480" w:lineRule="auto"/>
              <w:rPr>
                <w:rFonts w:hint="eastAsia" w:ascii="宋体" w:hAnsi="宋体"/>
                <w:szCs w:val="21"/>
              </w:rPr>
            </w:pPr>
            <w:r>
              <w:rPr>
                <w:rFonts w:hint="eastAsia" w:ascii="宋体" w:hAnsi="宋体"/>
                <w:szCs w:val="21"/>
              </w:rPr>
              <w:t>针对项目实施过程中的敏感信息内外部管控、社会层面舆情监控、舆情上报和处理配合等舆情应对工作制定方案。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ind w:firstLine="105" w:firstLineChars="50"/>
              <w:rPr>
                <w:rFonts w:hint="eastAsia" w:ascii="宋体" w:hAnsi="宋体"/>
                <w:szCs w:val="21"/>
              </w:rPr>
            </w:pPr>
            <w:r>
              <w:rPr>
                <w:rFonts w:hint="eastAsia" w:ascii="宋体" w:hAnsi="宋体"/>
                <w:szCs w:val="21"/>
              </w:rPr>
              <w:t>2</w:t>
            </w:r>
            <w:r>
              <w:rPr>
                <w:rFonts w:ascii="宋体" w:hAnsi="宋体"/>
                <w:szCs w:val="21"/>
              </w:rPr>
              <w:t>-1</w:t>
            </w:r>
            <w:r>
              <w:rPr>
                <w:rFonts w:hint="eastAsia" w:ascii="宋体" w:hAnsi="宋体"/>
                <w:szCs w:val="21"/>
              </w:rPr>
              <w:t>3</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风险防范化解方案（</w:t>
            </w:r>
            <w:r>
              <w:rPr>
                <w:rFonts w:ascii="宋体" w:hAnsi="宋体"/>
                <w:szCs w:val="21"/>
              </w:rPr>
              <w:t>如须报送安防费，方案须包括</w:t>
            </w:r>
            <w:r>
              <w:rPr>
                <w:rFonts w:hint="eastAsia" w:ascii="宋体" w:hAnsi="宋体"/>
                <w:szCs w:val="21"/>
              </w:rPr>
              <w:t>防范</w:t>
            </w:r>
            <w:r>
              <w:rPr>
                <w:rFonts w:ascii="宋体" w:hAnsi="宋体"/>
                <w:szCs w:val="21"/>
              </w:rPr>
              <w:t>恐怖主义相关内容</w:t>
            </w:r>
            <w:r>
              <w:rPr>
                <w:rFonts w:hint="eastAsia" w:ascii="宋体" w:hAnsi="宋体"/>
                <w:szCs w:val="21"/>
              </w:rPr>
              <w:t>）</w:t>
            </w:r>
          </w:p>
        </w:tc>
        <w:tc>
          <w:tcPr>
            <w:tcW w:w="4805" w:type="dxa"/>
            <w:shd w:val="clear" w:color="auto" w:fill="auto"/>
          </w:tcPr>
          <w:p>
            <w:pPr>
              <w:spacing w:after="120" w:line="480" w:lineRule="auto"/>
              <w:rPr>
                <w:rFonts w:hint="eastAsia" w:ascii="宋体" w:hAnsi="宋体"/>
                <w:szCs w:val="21"/>
              </w:rPr>
            </w:pPr>
            <w:r>
              <w:rPr>
                <w:rFonts w:hint="eastAsia" w:ascii="Arial" w:hAnsi="Arial" w:cs="Arial"/>
              </w:rPr>
              <w:t>针对质量、安全、廉洁、进度、资金和不可抗力事件等风险，制订防范化解和应对方案。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ind w:firstLine="105" w:firstLineChars="50"/>
              <w:rPr>
                <w:rFonts w:hint="eastAsia" w:ascii="宋体" w:hAnsi="宋体"/>
                <w:szCs w:val="21"/>
              </w:rPr>
            </w:pPr>
            <w:r>
              <w:rPr>
                <w:rFonts w:hint="eastAsia" w:ascii="宋体" w:hAnsi="宋体"/>
                <w:szCs w:val="21"/>
              </w:rPr>
              <w:t>2</w:t>
            </w:r>
            <w:r>
              <w:rPr>
                <w:rFonts w:ascii="宋体" w:hAnsi="宋体"/>
                <w:szCs w:val="21"/>
              </w:rPr>
              <w:t>-1</w:t>
            </w:r>
            <w:r>
              <w:rPr>
                <w:rFonts w:hint="eastAsia" w:ascii="宋体" w:hAnsi="宋体"/>
                <w:szCs w:val="21"/>
              </w:rPr>
              <w:t>4</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质量保证期</w:t>
            </w:r>
          </w:p>
        </w:tc>
        <w:tc>
          <w:tcPr>
            <w:tcW w:w="4805" w:type="dxa"/>
            <w:shd w:val="clear" w:color="auto" w:fill="auto"/>
          </w:tcPr>
          <w:p>
            <w:pPr>
              <w:pStyle w:val="20"/>
              <w:spacing w:after="120" w:line="480" w:lineRule="auto"/>
              <w:jc w:val="left"/>
              <w:rPr>
                <w:rFonts w:hint="eastAsia" w:hAnsi="宋体" w:cs="Arial"/>
              </w:rPr>
            </w:pPr>
            <w:r>
              <w:rPr>
                <w:rFonts w:hint="eastAsia" w:hAnsi="宋体" w:cs="Arial"/>
              </w:rPr>
              <w:t>硬件为自运抵之日起1年</w:t>
            </w:r>
          </w:p>
          <w:p>
            <w:pPr>
              <w:spacing w:after="120" w:line="480" w:lineRule="auto"/>
              <w:rPr>
                <w:rFonts w:hint="eastAsia" w:ascii="宋体" w:hAnsi="宋体"/>
                <w:szCs w:val="21"/>
              </w:rPr>
            </w:pPr>
            <w:r>
              <w:rPr>
                <w:rFonts w:hint="eastAsia" w:hAnsi="宋体" w:cs="Arial"/>
              </w:rPr>
              <w:t>软件为自运抵之日起3年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auto"/>
            <w:vAlign w:val="center"/>
          </w:tcPr>
          <w:p>
            <w:pPr>
              <w:spacing w:after="120" w:line="480" w:lineRule="auto"/>
              <w:ind w:firstLine="105" w:firstLineChars="50"/>
              <w:rPr>
                <w:rFonts w:hint="eastAsia" w:ascii="宋体" w:hAnsi="宋体"/>
                <w:szCs w:val="21"/>
              </w:rPr>
            </w:pPr>
            <w:r>
              <w:rPr>
                <w:rFonts w:hint="eastAsia" w:ascii="宋体" w:hAnsi="宋体"/>
                <w:szCs w:val="21"/>
              </w:rPr>
              <w:t>2</w:t>
            </w:r>
            <w:r>
              <w:rPr>
                <w:rFonts w:ascii="宋体" w:hAnsi="宋体"/>
                <w:szCs w:val="21"/>
              </w:rPr>
              <w:t>-1</w:t>
            </w:r>
            <w:r>
              <w:rPr>
                <w:rFonts w:hint="eastAsia" w:ascii="宋体" w:hAnsi="宋体"/>
                <w:szCs w:val="21"/>
              </w:rPr>
              <w:t>5</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主要标的的生产企业质量管理、环境管理和职业健康安全管理体系</w:t>
            </w:r>
          </w:p>
        </w:tc>
        <w:tc>
          <w:tcPr>
            <w:tcW w:w="4805" w:type="dxa"/>
            <w:shd w:val="clear" w:color="auto" w:fill="auto"/>
          </w:tcPr>
          <w:p>
            <w:pPr>
              <w:spacing w:after="120" w:line="480" w:lineRule="auto"/>
              <w:rPr>
                <w:rFonts w:hint="eastAsia" w:ascii="宋体" w:hAnsi="宋体"/>
                <w:szCs w:val="21"/>
              </w:rPr>
            </w:pPr>
            <w:r>
              <w:rPr>
                <w:rFonts w:hint="eastAsia" w:ascii="宋体" w:hAnsi="宋体"/>
                <w:szCs w:val="21"/>
              </w:rPr>
              <w:t>本项目主要标的为：</w:t>
            </w:r>
          </w:p>
          <w:p>
            <w:pPr>
              <w:spacing w:after="120" w:line="480" w:lineRule="auto"/>
              <w:rPr>
                <w:rFonts w:hint="eastAsia" w:ascii="宋体" w:hAnsi="宋体"/>
                <w:szCs w:val="21"/>
              </w:rPr>
            </w:pPr>
            <w:r>
              <w:rPr>
                <w:rFonts w:hint="eastAsia" w:ascii="宋体" w:hAnsi="宋体"/>
                <w:szCs w:val="21"/>
              </w:rPr>
              <w:t>第2项物资数据恢复设备、第3项物资现勘取证设备、第4项物资现勘取证设备(软件）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5" w:hRule="atLeast"/>
        </w:trPr>
        <w:tc>
          <w:tcPr>
            <w:tcW w:w="1129" w:type="dxa"/>
            <w:shd w:val="clear" w:color="auto" w:fill="auto"/>
            <w:vAlign w:val="center"/>
          </w:tcPr>
          <w:p>
            <w:pPr>
              <w:spacing w:after="120" w:line="480" w:lineRule="auto"/>
              <w:ind w:firstLine="105" w:firstLineChars="50"/>
              <w:rPr>
                <w:rFonts w:hint="eastAsia" w:ascii="宋体" w:hAnsi="宋体"/>
                <w:szCs w:val="21"/>
              </w:rPr>
            </w:pPr>
            <w:r>
              <w:rPr>
                <w:rFonts w:hint="eastAsia" w:ascii="宋体" w:hAnsi="宋体"/>
                <w:szCs w:val="21"/>
              </w:rPr>
              <w:t>2-16</w:t>
            </w:r>
          </w:p>
        </w:tc>
        <w:tc>
          <w:tcPr>
            <w:tcW w:w="2552" w:type="dxa"/>
            <w:shd w:val="clear" w:color="auto" w:fill="auto"/>
            <w:vAlign w:val="center"/>
          </w:tcPr>
          <w:p>
            <w:pPr>
              <w:spacing w:after="120" w:line="480" w:lineRule="auto"/>
              <w:rPr>
                <w:rFonts w:hint="eastAsia" w:ascii="宋体" w:hAnsi="宋体"/>
                <w:szCs w:val="21"/>
              </w:rPr>
            </w:pPr>
            <w:r>
              <w:rPr>
                <w:rFonts w:hint="eastAsia" w:ascii="宋体" w:hAnsi="宋体"/>
                <w:szCs w:val="21"/>
              </w:rPr>
              <w:t>其他</w:t>
            </w:r>
          </w:p>
        </w:tc>
        <w:tc>
          <w:tcPr>
            <w:tcW w:w="4805" w:type="dxa"/>
            <w:shd w:val="clear" w:color="auto" w:fill="auto"/>
          </w:tcPr>
          <w:p>
            <w:pPr>
              <w:tabs>
                <w:tab w:val="left" w:pos="8280"/>
              </w:tabs>
              <w:spacing w:after="120" w:line="276" w:lineRule="auto"/>
              <w:ind w:right="-108"/>
              <w:rPr>
                <w:rFonts w:hint="eastAsia" w:ascii="宋体" w:hAnsi="宋体"/>
                <w:szCs w:val="21"/>
              </w:rPr>
            </w:pPr>
            <w:r>
              <w:rPr>
                <w:rFonts w:hint="eastAsia" w:ascii="宋体" w:hAnsi="宋体"/>
                <w:szCs w:val="21"/>
              </w:rPr>
              <w:t>1、手机取证系统（软件）可以在取证魔方上安装一套，另外两套手机取证系统需用户自行准备电脑，用于安装。电脑配置建议：英文版win10推荐配置：i7-8750H 16G内存，256G固态+2T</w:t>
            </w:r>
          </w:p>
          <w:p>
            <w:pPr>
              <w:tabs>
                <w:tab w:val="left" w:pos="8280"/>
              </w:tabs>
              <w:spacing w:after="120" w:line="276" w:lineRule="auto"/>
              <w:ind w:right="-108"/>
              <w:rPr>
                <w:rFonts w:hint="eastAsia" w:ascii="宋体" w:hAnsi="宋体"/>
                <w:szCs w:val="21"/>
              </w:rPr>
            </w:pPr>
            <w:r>
              <w:rPr>
                <w:rFonts w:hint="eastAsia" w:ascii="宋体" w:hAnsi="宋体"/>
                <w:szCs w:val="21"/>
              </w:rPr>
              <w:t>2、设备操作界面语言至少包括英文，另配备符合当地标准的电源插头转换器，配备英文版产品说明书。</w:t>
            </w:r>
          </w:p>
          <w:p>
            <w:pPr>
              <w:tabs>
                <w:tab w:val="left" w:pos="8280"/>
              </w:tabs>
              <w:spacing w:after="120" w:line="276" w:lineRule="auto"/>
              <w:ind w:right="-108"/>
              <w:rPr>
                <w:rFonts w:hint="eastAsia" w:ascii="宋体" w:hAnsi="宋体" w:cs="宋体"/>
                <w:szCs w:val="21"/>
              </w:rPr>
            </w:pPr>
            <w:r>
              <w:rPr>
                <w:rFonts w:hint="eastAsia" w:ascii="宋体" w:hAnsi="宋体"/>
                <w:szCs w:val="21"/>
              </w:rPr>
              <w:t>3、</w:t>
            </w:r>
            <w:r>
              <w:rPr>
                <w:rFonts w:hint="eastAsia" w:ascii="宋体" w:hAnsi="宋体" w:cs="宋体"/>
                <w:szCs w:val="21"/>
              </w:rPr>
              <w:t>缅方需在运抵前按中方要求准备好场地，投标人应提前确认好基础环境条件。</w:t>
            </w:r>
          </w:p>
          <w:p>
            <w:pPr>
              <w:tabs>
                <w:tab w:val="left" w:pos="8280"/>
              </w:tabs>
              <w:spacing w:after="120" w:line="276" w:lineRule="auto"/>
              <w:ind w:right="-108"/>
              <w:rPr>
                <w:rFonts w:hint="eastAsia" w:ascii="宋体" w:hAnsi="宋体" w:cs="宋体"/>
                <w:szCs w:val="21"/>
              </w:rPr>
            </w:pPr>
            <w:r>
              <w:rPr>
                <w:rFonts w:hint="eastAsia" w:ascii="宋体" w:hAnsi="宋体" w:cs="宋体"/>
                <w:szCs w:val="21"/>
              </w:rPr>
              <w:t>4、采购人将全部项目纳入内部审计范围。实施企业完成物资发运等任务节点并向采购人提交结算材料后，须按程序配合采购人委派的第三方审计机构实施现场审计工作。采购人将根据审计报告办理后续资金支付和合同违约处理。</w:t>
            </w:r>
          </w:p>
          <w:p>
            <w:pPr>
              <w:tabs>
                <w:tab w:val="left" w:pos="8280"/>
              </w:tabs>
              <w:spacing w:after="120" w:line="276" w:lineRule="auto"/>
              <w:ind w:right="-108"/>
              <w:rPr>
                <w:rFonts w:hint="eastAsia" w:ascii="宋体" w:hAnsi="宋体" w:cs="宋体"/>
                <w:szCs w:val="21"/>
              </w:rPr>
            </w:pPr>
            <w:r>
              <w:rPr>
                <w:rFonts w:hint="eastAsia" w:ascii="宋体" w:hAnsi="宋体" w:cs="宋体"/>
                <w:szCs w:val="21"/>
              </w:rPr>
              <w:t>5、项目定标后，采购代理机构继续承担本项目物资出厂验收影子审查工作。中标企业应协助采购代理机构完成本项目物资出厂验收影子审查工作。</w:t>
            </w:r>
          </w:p>
          <w:p>
            <w:pPr>
              <w:tabs>
                <w:tab w:val="left" w:pos="8280"/>
              </w:tabs>
              <w:spacing w:after="120" w:line="276" w:lineRule="auto"/>
              <w:ind w:right="-108"/>
              <w:rPr>
                <w:rFonts w:hint="eastAsia" w:ascii="宋体" w:hAnsi="宋体" w:cs="宋体"/>
                <w:szCs w:val="21"/>
              </w:rPr>
            </w:pPr>
            <w:r>
              <w:rPr>
                <w:rFonts w:hint="eastAsia" w:ascii="宋体" w:hAnsi="宋体" w:cs="宋体"/>
                <w:szCs w:val="21"/>
              </w:rPr>
              <w:t>6、供应商提供的设备必须是全新的, 符合“可标准化、技术成熟、质量优良、合理适用、绿色环保、售后服务可保障”的原则，产品的性能、材料、结构、外观、质量、安全、技术规格、物理特性等要求，必须符合国家相关标准、行业标准、地方标准或者其他标准、规范。同时，尽量符合受援方当地标准和制式要求或受援方接受的国际通用标准，并确保所供货物不会侵犯任何第三方知识产权。此外，应保证投标产品停产后至少5年的备件供应。</w:t>
            </w:r>
          </w:p>
          <w:p>
            <w:pPr>
              <w:tabs>
                <w:tab w:val="left" w:pos="8280"/>
              </w:tabs>
              <w:spacing w:after="120" w:line="276" w:lineRule="auto"/>
              <w:ind w:right="-108"/>
              <w:rPr>
                <w:rFonts w:hint="eastAsia" w:ascii="宋体" w:hAnsi="宋体"/>
                <w:szCs w:val="21"/>
              </w:rPr>
            </w:pPr>
            <w:r>
              <w:rPr>
                <w:rFonts w:hint="eastAsia" w:ascii="宋体" w:hAnsi="宋体" w:cs="宋体"/>
                <w:szCs w:val="21"/>
              </w:rPr>
              <w:t>7、供应商必须如实提供产品的相关数据和资料。在确定中标人前，采购人保留对中标候选人的投标产品进行抽检的权力，如检测结果和该中标候选人投标文件提供的技术指标不符，采购人有权拒绝该中标候选人并向同级政府采购监督管理部门进行通报，同时保留对该中标候选人进行进一步追索的权利。</w:t>
            </w:r>
          </w:p>
        </w:tc>
      </w:tr>
    </w:tbl>
    <w:p>
      <w:pPr>
        <w:widowControl/>
        <w:jc w:val="left"/>
      </w:pP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Cambria">
    <w:panose1 w:val="02040503050406030204"/>
    <w:charset w:val="00"/>
    <w:family w:val="roman"/>
    <w:pitch w:val="default"/>
    <w:sig w:usb0="E00006FF" w:usb1="420024FF" w:usb2="02000000" w:usb3="00000000" w:csb0="2000019F" w:csb1="00000000"/>
  </w:font>
  <w:font w:name="方正小标宋_GBK">
    <w:altName w:val="微软雅黑"/>
    <w:panose1 w:val="00000000000000000000"/>
    <w:charset w:val="86"/>
    <w:family w:val="script"/>
    <w:pitch w:val="default"/>
    <w:sig w:usb0="00000000" w:usb1="00000000" w:usb2="00082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font>
  <w:font w:name="..C....">
    <w:altName w:val="宋体"/>
    <w:panose1 w:val="00000000000000000000"/>
    <w:charset w:val="86"/>
    <w:family w:val="roman"/>
    <w:pitch w:val="default"/>
    <w:sig w:usb0="00000000" w:usb1="00000000" w:usb2="00000010" w:usb3="00000000" w:csb0="00040000" w:csb1="00000000"/>
  </w:font>
  <w:font w:name="Verdana">
    <w:panose1 w:val="020B0604030504040204"/>
    <w:charset w:val="00"/>
    <w:family w:val="swiss"/>
    <w:pitch w:val="default"/>
    <w:sig w:usb0="A00006FF" w:usb1="4000205B" w:usb2="00000010" w:usb3="00000000" w:csb0="2000019F" w:csb1="00000000"/>
  </w:font>
  <w:font w:name="Arial Unicode MS">
    <w:altName w:val="宋体"/>
    <w:panose1 w:val="020B0604020202020204"/>
    <w:charset w:val="86"/>
    <w:family w:val="swiss"/>
    <w:pitch w:val="default"/>
    <w:sig w:usb0="00000000" w:usb1="00000000" w:usb2="0000003F" w:usb3="00000000" w:csb0="003F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D7F5BE"/>
    <w:multiLevelType w:val="multilevel"/>
    <w:tmpl w:val="E2D7F5BE"/>
    <w:lvl w:ilvl="0" w:tentative="0">
      <w:start w:val="0"/>
      <w:numFmt w:val="decimal"/>
      <w:pStyle w:val="22"/>
      <w:lvlText w:val=""/>
      <w:lvlJc w:val="left"/>
      <w:pPr>
        <w:tabs>
          <w:tab w:val="left" w:pos="0"/>
        </w:tabs>
        <w:ind w:left="0" w:firstLine="0"/>
      </w:pPr>
    </w:lvl>
    <w:lvl w:ilvl="1" w:tentative="0">
      <w:start w:val="0"/>
      <w:numFmt w:val="decimal"/>
      <w:lvlText w:val=""/>
      <w:lvlJc w:val="left"/>
      <w:pPr>
        <w:tabs>
          <w:tab w:val="left" w:pos="0"/>
        </w:tabs>
        <w:ind w:left="0" w:firstLine="0"/>
      </w:pPr>
    </w:lvl>
    <w:lvl w:ilvl="2" w:tentative="0">
      <w:start w:val="0"/>
      <w:numFmt w:val="decimal"/>
      <w:lvlText w:val=""/>
      <w:lvlJc w:val="left"/>
      <w:pPr>
        <w:tabs>
          <w:tab w:val="left" w:pos="0"/>
        </w:tabs>
        <w:ind w:left="0" w:firstLine="0"/>
      </w:pPr>
    </w:lvl>
    <w:lvl w:ilvl="3" w:tentative="0">
      <w:start w:val="0"/>
      <w:numFmt w:val="decimal"/>
      <w:lvlText w:val=""/>
      <w:lvlJc w:val="left"/>
      <w:pPr>
        <w:tabs>
          <w:tab w:val="left" w:pos="0"/>
        </w:tabs>
        <w:ind w:left="0" w:firstLine="0"/>
      </w:pPr>
    </w:lvl>
    <w:lvl w:ilvl="4" w:tentative="0">
      <w:start w:val="0"/>
      <w:numFmt w:val="decimal"/>
      <w:lvlText w:val=""/>
      <w:lvlJc w:val="left"/>
      <w:pPr>
        <w:tabs>
          <w:tab w:val="left" w:pos="0"/>
        </w:tabs>
        <w:ind w:left="0" w:firstLine="0"/>
      </w:pPr>
    </w:lvl>
    <w:lvl w:ilvl="5" w:tentative="0">
      <w:start w:val="0"/>
      <w:numFmt w:val="decimal"/>
      <w:lvlText w:val=""/>
      <w:lvlJc w:val="left"/>
      <w:pPr>
        <w:tabs>
          <w:tab w:val="left" w:pos="0"/>
        </w:tabs>
        <w:ind w:left="0" w:firstLine="0"/>
      </w:pPr>
    </w:lvl>
    <w:lvl w:ilvl="6" w:tentative="0">
      <w:start w:val="0"/>
      <w:numFmt w:val="decimal"/>
      <w:lvlText w:val=""/>
      <w:lvlJc w:val="left"/>
      <w:pPr>
        <w:tabs>
          <w:tab w:val="left" w:pos="0"/>
        </w:tabs>
        <w:ind w:left="0" w:firstLine="0"/>
      </w:pPr>
    </w:lvl>
    <w:lvl w:ilvl="7" w:tentative="0">
      <w:start w:val="0"/>
      <w:numFmt w:val="decimal"/>
      <w:lvlText w:val=""/>
      <w:lvlJc w:val="left"/>
      <w:pPr>
        <w:tabs>
          <w:tab w:val="left" w:pos="0"/>
        </w:tabs>
        <w:ind w:left="0" w:firstLine="0"/>
      </w:pPr>
    </w:lvl>
    <w:lvl w:ilvl="8" w:tentative="0">
      <w:start w:val="0"/>
      <w:numFmt w:val="decimal"/>
      <w:lvlText w:val=""/>
      <w:lvlJc w:val="left"/>
      <w:pPr>
        <w:tabs>
          <w:tab w:val="left" w:pos="0"/>
        </w:tabs>
        <w:ind w:left="0" w:firstLine="0"/>
      </w:pPr>
    </w:lvl>
  </w:abstractNum>
  <w:abstractNum w:abstractNumId="1">
    <w:nsid w:val="0FFFFF7F"/>
    <w:multiLevelType w:val="singleLevel"/>
    <w:tmpl w:val="0FFFFF7F"/>
    <w:lvl w:ilvl="0" w:tentative="0">
      <w:start w:val="1"/>
      <w:numFmt w:val="decimal"/>
      <w:pStyle w:val="50"/>
      <w:lvlText w:val="%1."/>
      <w:lvlJc w:val="left"/>
      <w:pPr>
        <w:tabs>
          <w:tab w:val="left" w:pos="780"/>
        </w:tabs>
        <w:ind w:left="780" w:hanging="360"/>
      </w:pPr>
    </w:lvl>
  </w:abstractNum>
  <w:abstractNum w:abstractNumId="2">
    <w:nsid w:val="0FFFFF80"/>
    <w:multiLevelType w:val="singleLevel"/>
    <w:tmpl w:val="0FFFFF80"/>
    <w:lvl w:ilvl="0" w:tentative="0">
      <w:start w:val="1"/>
      <w:numFmt w:val="bullet"/>
      <w:pStyle w:val="23"/>
      <w:lvlText w:val=""/>
      <w:lvlJc w:val="left"/>
      <w:pPr>
        <w:tabs>
          <w:tab w:val="left" w:pos="2040"/>
        </w:tabs>
        <w:ind w:left="2040" w:hanging="360"/>
      </w:pPr>
      <w:rPr>
        <w:rFonts w:hint="default" w:ascii="Wingdings" w:hAnsi="Wingdings"/>
      </w:rPr>
    </w:lvl>
  </w:abstractNum>
  <w:abstractNum w:abstractNumId="3">
    <w:nsid w:val="0FFFFF81"/>
    <w:multiLevelType w:val="singleLevel"/>
    <w:tmpl w:val="0FFFFF81"/>
    <w:lvl w:ilvl="0" w:tentative="0">
      <w:start w:val="1"/>
      <w:numFmt w:val="bullet"/>
      <w:pStyle w:val="102"/>
      <w:lvlText w:val=""/>
      <w:lvlJc w:val="left"/>
      <w:pPr>
        <w:tabs>
          <w:tab w:val="left" w:pos="1620"/>
        </w:tabs>
        <w:ind w:left="1620" w:hanging="360"/>
      </w:pPr>
      <w:rPr>
        <w:rFonts w:hint="default" w:ascii="Wingdings" w:hAnsi="Wingdings"/>
      </w:rPr>
    </w:lvl>
  </w:abstractNum>
  <w:abstractNum w:abstractNumId="4">
    <w:nsid w:val="0FFFFF83"/>
    <w:multiLevelType w:val="singleLevel"/>
    <w:tmpl w:val="0FFFFF83"/>
    <w:lvl w:ilvl="0" w:tentative="0">
      <w:start w:val="1"/>
      <w:numFmt w:val="bullet"/>
      <w:pStyle w:val="17"/>
      <w:lvlText w:val=""/>
      <w:lvlJc w:val="left"/>
      <w:pPr>
        <w:tabs>
          <w:tab w:val="left" w:pos="780"/>
        </w:tabs>
        <w:ind w:left="780" w:hanging="360"/>
      </w:pPr>
      <w:rPr>
        <w:rFonts w:hint="default" w:ascii="Wingdings" w:hAnsi="Wingdings"/>
      </w:rPr>
    </w:lvl>
  </w:abstractNum>
  <w:abstractNum w:abstractNumId="5">
    <w:nsid w:val="0FFFFF88"/>
    <w:multiLevelType w:val="singleLevel"/>
    <w:tmpl w:val="0FFFFF88"/>
    <w:lvl w:ilvl="0" w:tentative="0">
      <w:start w:val="1"/>
      <w:numFmt w:val="decimal"/>
      <w:pStyle w:val="90"/>
      <w:lvlText w:val="%1."/>
      <w:lvlJc w:val="left"/>
      <w:pPr>
        <w:tabs>
          <w:tab w:val="left" w:pos="360"/>
        </w:tabs>
        <w:ind w:left="360" w:hanging="360"/>
      </w:pPr>
    </w:lvl>
  </w:abstractNum>
  <w:abstractNum w:abstractNumId="6">
    <w:nsid w:val="0FFFFF89"/>
    <w:multiLevelType w:val="singleLevel"/>
    <w:tmpl w:val="0FFFFF89"/>
    <w:lvl w:ilvl="0" w:tentative="0">
      <w:start w:val="1"/>
      <w:numFmt w:val="bullet"/>
      <w:pStyle w:val="94"/>
      <w:lvlText w:val=""/>
      <w:lvlJc w:val="left"/>
      <w:pPr>
        <w:tabs>
          <w:tab w:val="left" w:pos="360"/>
        </w:tabs>
        <w:ind w:left="360" w:hanging="360"/>
      </w:pPr>
      <w:rPr>
        <w:rFonts w:hint="default" w:ascii="Wingdings" w:hAnsi="Wingdings"/>
      </w:rPr>
    </w:lvl>
  </w:abstractNum>
  <w:abstractNum w:abstractNumId="7">
    <w:nsid w:val="29D32FBB"/>
    <w:multiLevelType w:val="multilevel"/>
    <w:tmpl w:val="29D32FBB"/>
    <w:lvl w:ilvl="0" w:tentative="0">
      <w:start w:val="0"/>
      <w:numFmt w:val="decimal"/>
      <w:pStyle w:val="97"/>
      <w:lvlText w:val=""/>
      <w:lvlJc w:val="left"/>
      <w:pPr>
        <w:tabs>
          <w:tab w:val="left" w:pos="0"/>
        </w:tabs>
        <w:ind w:left="0" w:firstLine="0"/>
      </w:pPr>
    </w:lvl>
    <w:lvl w:ilvl="1" w:tentative="0">
      <w:start w:val="0"/>
      <w:numFmt w:val="decimal"/>
      <w:lvlText w:val=""/>
      <w:lvlJc w:val="left"/>
      <w:pPr>
        <w:tabs>
          <w:tab w:val="left" w:pos="0"/>
        </w:tabs>
        <w:ind w:left="0" w:firstLine="0"/>
      </w:pPr>
    </w:lvl>
    <w:lvl w:ilvl="2" w:tentative="0">
      <w:start w:val="0"/>
      <w:numFmt w:val="decimal"/>
      <w:lvlText w:val=""/>
      <w:lvlJc w:val="left"/>
      <w:pPr>
        <w:tabs>
          <w:tab w:val="left" w:pos="0"/>
        </w:tabs>
        <w:ind w:left="0" w:firstLine="0"/>
      </w:pPr>
    </w:lvl>
    <w:lvl w:ilvl="3" w:tentative="0">
      <w:start w:val="0"/>
      <w:numFmt w:val="decimal"/>
      <w:lvlText w:val=""/>
      <w:lvlJc w:val="left"/>
      <w:pPr>
        <w:tabs>
          <w:tab w:val="left" w:pos="0"/>
        </w:tabs>
        <w:ind w:left="0" w:firstLine="0"/>
      </w:pPr>
    </w:lvl>
    <w:lvl w:ilvl="4" w:tentative="0">
      <w:start w:val="0"/>
      <w:numFmt w:val="decimal"/>
      <w:lvlText w:val=""/>
      <w:lvlJc w:val="left"/>
      <w:pPr>
        <w:tabs>
          <w:tab w:val="left" w:pos="0"/>
        </w:tabs>
        <w:ind w:left="0" w:firstLine="0"/>
      </w:pPr>
    </w:lvl>
    <w:lvl w:ilvl="5" w:tentative="0">
      <w:start w:val="0"/>
      <w:numFmt w:val="decimal"/>
      <w:lvlText w:val=""/>
      <w:lvlJc w:val="left"/>
      <w:pPr>
        <w:tabs>
          <w:tab w:val="left" w:pos="0"/>
        </w:tabs>
        <w:ind w:left="0" w:firstLine="0"/>
      </w:pPr>
    </w:lvl>
    <w:lvl w:ilvl="6" w:tentative="0">
      <w:start w:val="0"/>
      <w:numFmt w:val="decimal"/>
      <w:lvlText w:val=""/>
      <w:lvlJc w:val="left"/>
      <w:pPr>
        <w:tabs>
          <w:tab w:val="left" w:pos="0"/>
        </w:tabs>
        <w:ind w:left="0" w:firstLine="0"/>
      </w:pPr>
    </w:lvl>
    <w:lvl w:ilvl="7" w:tentative="0">
      <w:start w:val="0"/>
      <w:numFmt w:val="decimal"/>
      <w:lvlText w:val=""/>
      <w:lvlJc w:val="left"/>
      <w:pPr>
        <w:tabs>
          <w:tab w:val="left" w:pos="0"/>
        </w:tabs>
        <w:ind w:left="0" w:firstLine="0"/>
      </w:pPr>
    </w:lvl>
    <w:lvl w:ilvl="8" w:tentative="0">
      <w:start w:val="0"/>
      <w:numFmt w:val="decimal"/>
      <w:lvlText w:val=""/>
      <w:lvlJc w:val="left"/>
      <w:pPr>
        <w:tabs>
          <w:tab w:val="left" w:pos="0"/>
        </w:tabs>
        <w:ind w:left="0" w:firstLine="0"/>
      </w:pPr>
    </w:lvl>
  </w:abstractNum>
  <w:abstractNum w:abstractNumId="8">
    <w:nsid w:val="2CB97AFE"/>
    <w:multiLevelType w:val="multilevel"/>
    <w:tmpl w:val="2CB97AFE"/>
    <w:lvl w:ilvl="0" w:tentative="0">
      <w:start w:val="1"/>
      <w:numFmt w:val="decimal"/>
      <w:pStyle w:val="30"/>
      <w:suff w:val="nothing"/>
      <w:lvlText w:val="%1"/>
      <w:lvlJc w:val="center"/>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pStyle w:val="5"/>
      <w:lvlText w:val="%4."/>
      <w:lvlJc w:val="left"/>
      <w:pPr>
        <w:ind w:left="1680" w:hanging="420"/>
      </w:pPr>
    </w:lvl>
    <w:lvl w:ilvl="4" w:tentative="0">
      <w:start w:val="1"/>
      <w:numFmt w:val="lowerLetter"/>
      <w:pStyle w:val="6"/>
      <w:lvlText w:val="%5)"/>
      <w:lvlJc w:val="left"/>
      <w:pPr>
        <w:ind w:left="2100" w:hanging="420"/>
      </w:pPr>
    </w:lvl>
    <w:lvl w:ilvl="5" w:tentative="0">
      <w:start w:val="1"/>
      <w:numFmt w:val="lowerRoman"/>
      <w:pStyle w:val="7"/>
      <w:lvlText w:val="%6."/>
      <w:lvlJc w:val="right"/>
      <w:pPr>
        <w:ind w:left="2520" w:hanging="420"/>
      </w:pPr>
    </w:lvl>
    <w:lvl w:ilvl="6" w:tentative="0">
      <w:start w:val="1"/>
      <w:numFmt w:val="decimal"/>
      <w:pStyle w:val="8"/>
      <w:lvlText w:val="%7."/>
      <w:lvlJc w:val="left"/>
      <w:pPr>
        <w:ind w:left="2940" w:hanging="420"/>
      </w:pPr>
    </w:lvl>
    <w:lvl w:ilvl="7" w:tentative="0">
      <w:start w:val="1"/>
      <w:numFmt w:val="lowerLetter"/>
      <w:pStyle w:val="9"/>
      <w:lvlText w:val="%8)"/>
      <w:lvlJc w:val="left"/>
      <w:pPr>
        <w:ind w:left="3360" w:hanging="420"/>
      </w:pPr>
    </w:lvl>
    <w:lvl w:ilvl="8" w:tentative="0">
      <w:start w:val="1"/>
      <w:numFmt w:val="lowerRoman"/>
      <w:pStyle w:val="10"/>
      <w:lvlText w:val="%9."/>
      <w:lvlJc w:val="right"/>
      <w:pPr>
        <w:ind w:left="3780" w:hanging="420"/>
      </w:pPr>
    </w:lvl>
  </w:abstractNum>
  <w:num w:numId="1">
    <w:abstractNumId w:val="8"/>
  </w:num>
  <w:num w:numId="2">
    <w:abstractNumId w:val="4"/>
  </w:num>
  <w:num w:numId="3">
    <w:abstractNumId w:val="0"/>
  </w:num>
  <w:num w:numId="4">
    <w:abstractNumId w:val="2"/>
  </w:num>
  <w:num w:numId="5">
    <w:abstractNumId w:val="1"/>
  </w:num>
  <w:num w:numId="6">
    <w:abstractNumId w:val="5"/>
  </w:num>
  <w:num w:numId="7">
    <w:abstractNumId w:val="6"/>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NotTrackMoves/>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MTQ3ZjYyM2ZlM2VmMTk3ZTQ4NzFlNTRiMDczNDJkOTcifQ=="/>
  </w:docVars>
  <w:rsids>
    <w:rsidRoot w:val="00633886"/>
    <w:rsid w:val="003A3C88"/>
    <w:rsid w:val="003E2178"/>
    <w:rsid w:val="00401EC1"/>
    <w:rsid w:val="004F3254"/>
    <w:rsid w:val="005344CA"/>
    <w:rsid w:val="00633886"/>
    <w:rsid w:val="0072170C"/>
    <w:rsid w:val="008B2B7C"/>
    <w:rsid w:val="009D3DC6"/>
    <w:rsid w:val="009E43BE"/>
    <w:rsid w:val="00AA74D3"/>
    <w:rsid w:val="00B35D35"/>
    <w:rsid w:val="00B42DF0"/>
    <w:rsid w:val="00BA5FEA"/>
    <w:rsid w:val="00BB1D18"/>
    <w:rsid w:val="00BD10CF"/>
    <w:rsid w:val="00BF3ECA"/>
    <w:rsid w:val="00CE2628"/>
    <w:rsid w:val="00D06C5D"/>
    <w:rsid w:val="00D5034C"/>
    <w:rsid w:val="00D77219"/>
    <w:rsid w:val="00EB0960"/>
    <w:rsid w:val="2BA64916"/>
    <w:rsid w:val="319A0743"/>
    <w:rsid w:val="70AE12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qFormat="1"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iPriority="0" w:name="footnote text"/>
    <w:lsdException w:uiPriority="0" w:semiHidden="0" w:name="annotation text"/>
    <w:lsdException w:unhideWhenUsed="0" w:uiPriority="0" w:semiHidden="0" w:name="header"/>
    <w:lsdException w:unhideWhenUsed="0" w:uiPriority="0" w:semiHidden="0" w:name="footer"/>
    <w:lsdException w:uiPriority="0" w:name="index heading"/>
    <w:lsdException w:qFormat="1" w:unhideWhenUsed="0" w:uiPriority="0" w:semiHidden="0" w:name="caption"/>
    <w:lsdException w:uiPriority="0" w:name="table of figures"/>
    <w:lsdException w:uiPriority="0" w:name="envelope address"/>
    <w:lsdException w:uiPriority="0" w:name="envelope return"/>
    <w:lsdException w:uiPriority="0" w:name="footnote reference"/>
    <w:lsdException w:unhideWhenUsed="0" w:uiPriority="0" w:semiHidden="0" w:name="annotation reference"/>
    <w:lsdException w:uiPriority="0" w:name="line number"/>
    <w:lsdException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11" w:semiHidden="0" w:name="Subtitle"/>
    <w:lsdException w:uiPriority="0" w:name="Salutation"/>
    <w:lsdException w:unhideWhenUsed="0" w:uiPriority="0" w:semiHidden="0" w:name="Date"/>
    <w:lsdException w:uiPriority="0" w:name="Body Text First Indent"/>
    <w:lsdException w:uiPriority="0" w:name="Body Text First Indent 2"/>
    <w:lsdException w:uiPriority="0" w:name="Note Heading"/>
    <w:lsdException w:unhideWhenUsed="0" w:uiPriority="0" w:semiHidden="0" w:name="Body Text 2"/>
    <w:lsdException w:uiPriority="0" w:name="Body Text 3"/>
    <w:lsdException w:unhideWhenUsed="0" w:uiPriority="0" w:semiHidden="0" w:name="Body Text Indent 2"/>
    <w:lsdException w:unhideWhenUsed="0" w:uiPriority="0" w:semiHidden="0" w:name="Body Text Indent 3"/>
    <w:lsdException w:uiPriority="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0" w:name="E-mail Signature"/>
    <w:lsdException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08"/>
    <w:qFormat/>
    <w:uiPriority w:val="0"/>
    <w:pPr>
      <w:keepNext/>
      <w:keepLines/>
      <w:spacing w:before="340" w:after="330" w:line="576" w:lineRule="auto"/>
      <w:outlineLvl w:val="0"/>
    </w:pPr>
    <w:rPr>
      <w:b/>
      <w:kern w:val="44"/>
      <w:sz w:val="44"/>
    </w:rPr>
  </w:style>
  <w:style w:type="paragraph" w:styleId="3">
    <w:name w:val="heading 2"/>
    <w:basedOn w:val="1"/>
    <w:next w:val="1"/>
    <w:link w:val="109"/>
    <w:qFormat/>
    <w:uiPriority w:val="0"/>
    <w:pPr>
      <w:keepNext/>
      <w:keepLines/>
      <w:spacing w:before="260" w:after="260" w:line="412" w:lineRule="auto"/>
      <w:outlineLvl w:val="1"/>
    </w:pPr>
    <w:rPr>
      <w:rFonts w:ascii="Arial" w:hAnsi="Arial" w:eastAsia="黑体"/>
      <w:b/>
      <w:sz w:val="32"/>
    </w:rPr>
  </w:style>
  <w:style w:type="paragraph" w:styleId="4">
    <w:name w:val="heading 3"/>
    <w:basedOn w:val="1"/>
    <w:next w:val="1"/>
    <w:link w:val="110"/>
    <w:qFormat/>
    <w:uiPriority w:val="0"/>
    <w:pPr>
      <w:keepNext/>
      <w:keepLines/>
      <w:spacing w:before="260" w:after="260" w:line="412" w:lineRule="auto"/>
      <w:outlineLvl w:val="2"/>
    </w:pPr>
    <w:rPr>
      <w:b/>
      <w:sz w:val="32"/>
    </w:rPr>
  </w:style>
  <w:style w:type="paragraph" w:styleId="5">
    <w:name w:val="heading 4"/>
    <w:basedOn w:val="1"/>
    <w:next w:val="1"/>
    <w:link w:val="111"/>
    <w:qFormat/>
    <w:uiPriority w:val="0"/>
    <w:pPr>
      <w:keepNext/>
      <w:keepLines/>
      <w:numPr>
        <w:ilvl w:val="3"/>
        <w:numId w:val="1"/>
      </w:numPr>
      <w:tabs>
        <w:tab w:val="left" w:pos="0"/>
      </w:tabs>
      <w:spacing w:before="280" w:after="290" w:line="376" w:lineRule="atLeast"/>
      <w:outlineLvl w:val="3"/>
    </w:pPr>
    <w:rPr>
      <w:rFonts w:ascii="Arial" w:hAnsi="Arial" w:eastAsia="黑体"/>
      <w:b/>
      <w:bCs/>
      <w:sz w:val="28"/>
      <w:szCs w:val="28"/>
    </w:rPr>
  </w:style>
  <w:style w:type="paragraph" w:styleId="6">
    <w:name w:val="heading 5"/>
    <w:basedOn w:val="1"/>
    <w:next w:val="1"/>
    <w:link w:val="112"/>
    <w:qFormat/>
    <w:uiPriority w:val="0"/>
    <w:pPr>
      <w:keepNext/>
      <w:keepLines/>
      <w:numPr>
        <w:ilvl w:val="4"/>
        <w:numId w:val="1"/>
      </w:numPr>
      <w:tabs>
        <w:tab w:val="left" w:pos="0"/>
      </w:tabs>
      <w:spacing w:before="280" w:after="290" w:line="376" w:lineRule="atLeast"/>
      <w:outlineLvl w:val="4"/>
    </w:pPr>
    <w:rPr>
      <w:b/>
      <w:bCs/>
      <w:sz w:val="28"/>
      <w:szCs w:val="28"/>
    </w:rPr>
  </w:style>
  <w:style w:type="paragraph" w:styleId="7">
    <w:name w:val="heading 6"/>
    <w:basedOn w:val="1"/>
    <w:next w:val="1"/>
    <w:link w:val="113"/>
    <w:qFormat/>
    <w:uiPriority w:val="0"/>
    <w:pPr>
      <w:keepNext/>
      <w:keepLines/>
      <w:numPr>
        <w:ilvl w:val="5"/>
        <w:numId w:val="1"/>
      </w:numPr>
      <w:tabs>
        <w:tab w:val="left" w:pos="0"/>
      </w:tabs>
      <w:spacing w:before="240" w:after="64" w:line="320" w:lineRule="atLeast"/>
      <w:outlineLvl w:val="5"/>
    </w:pPr>
    <w:rPr>
      <w:rFonts w:ascii="Arial" w:hAnsi="Arial" w:eastAsia="黑体"/>
      <w:b/>
      <w:bCs/>
      <w:szCs w:val="24"/>
    </w:rPr>
  </w:style>
  <w:style w:type="paragraph" w:styleId="8">
    <w:name w:val="heading 7"/>
    <w:basedOn w:val="1"/>
    <w:next w:val="1"/>
    <w:link w:val="114"/>
    <w:qFormat/>
    <w:uiPriority w:val="0"/>
    <w:pPr>
      <w:keepNext/>
      <w:keepLines/>
      <w:numPr>
        <w:ilvl w:val="6"/>
        <w:numId w:val="1"/>
      </w:numPr>
      <w:tabs>
        <w:tab w:val="left" w:pos="0"/>
      </w:tabs>
      <w:spacing w:before="240" w:after="64" w:line="320" w:lineRule="atLeast"/>
      <w:outlineLvl w:val="6"/>
    </w:pPr>
    <w:rPr>
      <w:b/>
      <w:bCs/>
      <w:szCs w:val="24"/>
    </w:rPr>
  </w:style>
  <w:style w:type="paragraph" w:styleId="9">
    <w:name w:val="heading 8"/>
    <w:basedOn w:val="1"/>
    <w:next w:val="1"/>
    <w:link w:val="115"/>
    <w:qFormat/>
    <w:uiPriority w:val="0"/>
    <w:pPr>
      <w:keepNext/>
      <w:keepLines/>
      <w:numPr>
        <w:ilvl w:val="7"/>
        <w:numId w:val="1"/>
      </w:numPr>
      <w:tabs>
        <w:tab w:val="left" w:pos="0"/>
      </w:tabs>
      <w:spacing w:before="240" w:after="64" w:line="320" w:lineRule="atLeast"/>
      <w:outlineLvl w:val="7"/>
    </w:pPr>
    <w:rPr>
      <w:rFonts w:ascii="Arial" w:hAnsi="Arial" w:eastAsia="黑体"/>
      <w:szCs w:val="24"/>
    </w:rPr>
  </w:style>
  <w:style w:type="paragraph" w:styleId="10">
    <w:name w:val="heading 9"/>
    <w:basedOn w:val="1"/>
    <w:next w:val="1"/>
    <w:link w:val="116"/>
    <w:qFormat/>
    <w:uiPriority w:val="0"/>
    <w:pPr>
      <w:keepNext/>
      <w:keepLines/>
      <w:numPr>
        <w:ilvl w:val="8"/>
        <w:numId w:val="1"/>
      </w:numPr>
      <w:tabs>
        <w:tab w:val="left" w:pos="0"/>
      </w:tabs>
      <w:spacing w:before="240" w:after="64" w:line="320" w:lineRule="atLeast"/>
      <w:outlineLvl w:val="8"/>
    </w:pPr>
    <w:rPr>
      <w:rFonts w:ascii="Arial" w:hAnsi="Arial" w:eastAsia="黑体"/>
      <w:szCs w:val="21"/>
    </w:rPr>
  </w:style>
  <w:style w:type="character" w:default="1" w:styleId="39">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uiPriority w:val="0"/>
    <w:pPr>
      <w:ind w:left="1260"/>
      <w:jc w:val="left"/>
    </w:pPr>
    <w:rPr>
      <w:rFonts w:ascii="Times New Roman" w:hAnsi="Times New Roman"/>
      <w:sz w:val="18"/>
      <w:szCs w:val="18"/>
    </w:rPr>
  </w:style>
  <w:style w:type="paragraph" w:styleId="12">
    <w:name w:val="Normal Indent"/>
    <w:basedOn w:val="1"/>
    <w:qFormat/>
    <w:uiPriority w:val="0"/>
    <w:pPr>
      <w:ind w:firstLine="420"/>
    </w:pPr>
  </w:style>
  <w:style w:type="paragraph" w:styleId="13">
    <w:name w:val="caption"/>
    <w:basedOn w:val="1"/>
    <w:next w:val="1"/>
    <w:qFormat/>
    <w:uiPriority w:val="0"/>
    <w:pPr>
      <w:spacing w:line="480" w:lineRule="auto"/>
    </w:pPr>
    <w:rPr>
      <w:rFonts w:ascii="华文中宋" w:eastAsia="华文中宋"/>
      <w:sz w:val="36"/>
    </w:rPr>
  </w:style>
  <w:style w:type="paragraph" w:styleId="14">
    <w:name w:val="Document Map"/>
    <w:basedOn w:val="1"/>
    <w:link w:val="123"/>
    <w:qFormat/>
    <w:uiPriority w:val="0"/>
    <w:pPr>
      <w:shd w:val="clear" w:color="auto" w:fill="000080"/>
    </w:pPr>
  </w:style>
  <w:style w:type="paragraph" w:styleId="15">
    <w:name w:val="annotation text"/>
    <w:basedOn w:val="1"/>
    <w:link w:val="119"/>
    <w:unhideWhenUsed/>
    <w:uiPriority w:val="0"/>
    <w:pPr>
      <w:jc w:val="left"/>
    </w:pPr>
  </w:style>
  <w:style w:type="paragraph" w:styleId="16">
    <w:name w:val="Body Text"/>
    <w:basedOn w:val="1"/>
    <w:link w:val="126"/>
    <w:qFormat/>
    <w:uiPriority w:val="0"/>
    <w:rPr>
      <w:sz w:val="28"/>
    </w:rPr>
  </w:style>
  <w:style w:type="paragraph" w:styleId="17">
    <w:name w:val="Body Text Indent"/>
    <w:basedOn w:val="1"/>
    <w:link w:val="130"/>
    <w:uiPriority w:val="0"/>
    <w:pPr>
      <w:numPr>
        <w:ilvl w:val="0"/>
        <w:numId w:val="2"/>
      </w:numPr>
      <w:ind w:left="1104" w:firstLine="0"/>
    </w:pPr>
    <w:rPr>
      <w:rFonts w:ascii="宋体"/>
      <w:szCs w:val="21"/>
    </w:rPr>
  </w:style>
  <w:style w:type="paragraph" w:styleId="18">
    <w:name w:val="toc 5"/>
    <w:basedOn w:val="1"/>
    <w:next w:val="1"/>
    <w:qFormat/>
    <w:uiPriority w:val="0"/>
    <w:pPr>
      <w:ind w:left="840"/>
      <w:jc w:val="left"/>
    </w:pPr>
    <w:rPr>
      <w:rFonts w:ascii="Times New Roman" w:hAnsi="Times New Roman"/>
      <w:sz w:val="18"/>
      <w:szCs w:val="18"/>
    </w:rPr>
  </w:style>
  <w:style w:type="paragraph" w:styleId="19">
    <w:name w:val="toc 3"/>
    <w:basedOn w:val="1"/>
    <w:next w:val="1"/>
    <w:uiPriority w:val="0"/>
    <w:pPr>
      <w:ind w:left="420"/>
      <w:jc w:val="left"/>
    </w:pPr>
    <w:rPr>
      <w:rFonts w:ascii="Times New Roman" w:hAnsi="Times New Roman"/>
      <w:i/>
      <w:iCs/>
      <w:sz w:val="20"/>
      <w:szCs w:val="20"/>
    </w:rPr>
  </w:style>
  <w:style w:type="paragraph" w:styleId="20">
    <w:name w:val="Plain Text"/>
    <w:basedOn w:val="1"/>
    <w:link w:val="107"/>
    <w:qFormat/>
    <w:uiPriority w:val="0"/>
    <w:rPr>
      <w:rFonts w:ascii="宋体"/>
      <w:szCs w:val="21"/>
    </w:rPr>
  </w:style>
  <w:style w:type="paragraph" w:styleId="21">
    <w:name w:val="toc 8"/>
    <w:basedOn w:val="1"/>
    <w:next w:val="1"/>
    <w:uiPriority w:val="0"/>
    <w:pPr>
      <w:ind w:left="1470"/>
      <w:jc w:val="left"/>
    </w:pPr>
    <w:rPr>
      <w:rFonts w:ascii="Times New Roman" w:hAnsi="Times New Roman"/>
      <w:sz w:val="18"/>
      <w:szCs w:val="18"/>
    </w:rPr>
  </w:style>
  <w:style w:type="paragraph" w:styleId="22">
    <w:name w:val="Date"/>
    <w:basedOn w:val="1"/>
    <w:next w:val="1"/>
    <w:link w:val="125"/>
    <w:uiPriority w:val="0"/>
    <w:pPr>
      <w:numPr>
        <w:ilvl w:val="0"/>
        <w:numId w:val="3"/>
      </w:numPr>
      <w:ind w:left="100"/>
    </w:pPr>
  </w:style>
  <w:style w:type="paragraph" w:styleId="23">
    <w:name w:val="Body Text Indent 2"/>
    <w:basedOn w:val="1"/>
    <w:link w:val="129"/>
    <w:uiPriority w:val="0"/>
    <w:pPr>
      <w:numPr>
        <w:ilvl w:val="0"/>
        <w:numId w:val="4"/>
      </w:numPr>
      <w:ind w:left="0" w:firstLine="586"/>
    </w:pPr>
    <w:rPr>
      <w:rFonts w:ascii="宋体"/>
      <w:szCs w:val="21"/>
    </w:rPr>
  </w:style>
  <w:style w:type="paragraph" w:styleId="24">
    <w:name w:val="Balloon Text"/>
    <w:basedOn w:val="1"/>
    <w:link w:val="121"/>
    <w:qFormat/>
    <w:uiPriority w:val="0"/>
    <w:rPr>
      <w:sz w:val="18"/>
      <w:szCs w:val="18"/>
    </w:rPr>
  </w:style>
  <w:style w:type="paragraph" w:styleId="25">
    <w:name w:val="footer"/>
    <w:basedOn w:val="1"/>
    <w:link w:val="128"/>
    <w:uiPriority w:val="0"/>
    <w:pPr>
      <w:tabs>
        <w:tab w:val="center" w:pos="4153"/>
        <w:tab w:val="right" w:pos="8306"/>
      </w:tabs>
      <w:snapToGrid w:val="0"/>
      <w:jc w:val="left"/>
    </w:pPr>
    <w:rPr>
      <w:sz w:val="18"/>
      <w:szCs w:val="18"/>
    </w:rPr>
  </w:style>
  <w:style w:type="paragraph" w:styleId="26">
    <w:name w:val="header"/>
    <w:basedOn w:val="1"/>
    <w:link w:val="124"/>
    <w:uiPriority w:val="0"/>
    <w:pPr>
      <w:pBdr>
        <w:bottom w:val="single" w:color="auto" w:sz="6" w:space="1"/>
      </w:pBdr>
      <w:tabs>
        <w:tab w:val="center" w:pos="4153"/>
        <w:tab w:val="right" w:pos="8306"/>
      </w:tabs>
      <w:snapToGrid w:val="0"/>
      <w:jc w:val="center"/>
    </w:pPr>
    <w:rPr>
      <w:sz w:val="18"/>
      <w:szCs w:val="18"/>
    </w:rPr>
  </w:style>
  <w:style w:type="paragraph" w:styleId="27">
    <w:name w:val="toc 1"/>
    <w:basedOn w:val="1"/>
    <w:next w:val="1"/>
    <w:uiPriority w:val="0"/>
    <w:pPr>
      <w:spacing w:before="120" w:after="120"/>
      <w:jc w:val="left"/>
    </w:pPr>
    <w:rPr>
      <w:rFonts w:ascii="Times New Roman" w:hAnsi="Times New Roman"/>
      <w:b/>
      <w:bCs/>
      <w:caps/>
      <w:sz w:val="20"/>
      <w:szCs w:val="20"/>
    </w:rPr>
  </w:style>
  <w:style w:type="paragraph" w:styleId="28">
    <w:name w:val="toc 4"/>
    <w:basedOn w:val="1"/>
    <w:next w:val="1"/>
    <w:uiPriority w:val="0"/>
    <w:pPr>
      <w:ind w:left="630"/>
      <w:jc w:val="left"/>
    </w:pPr>
    <w:rPr>
      <w:rFonts w:ascii="Times New Roman" w:hAnsi="Times New Roman"/>
      <w:sz w:val="18"/>
      <w:szCs w:val="18"/>
    </w:rPr>
  </w:style>
  <w:style w:type="paragraph" w:styleId="29">
    <w:name w:val="toc 6"/>
    <w:basedOn w:val="1"/>
    <w:next w:val="1"/>
    <w:qFormat/>
    <w:uiPriority w:val="0"/>
    <w:pPr>
      <w:ind w:left="1050"/>
      <w:jc w:val="left"/>
    </w:pPr>
    <w:rPr>
      <w:rFonts w:ascii="Times New Roman" w:hAnsi="Times New Roman"/>
      <w:sz w:val="18"/>
      <w:szCs w:val="18"/>
    </w:rPr>
  </w:style>
  <w:style w:type="paragraph" w:styleId="30">
    <w:name w:val="Body Text Indent 3"/>
    <w:basedOn w:val="1"/>
    <w:link w:val="122"/>
    <w:uiPriority w:val="0"/>
    <w:pPr>
      <w:numPr>
        <w:ilvl w:val="0"/>
        <w:numId w:val="1"/>
      </w:numPr>
      <w:ind w:left="0" w:firstLine="570"/>
    </w:pPr>
    <w:rPr>
      <w:sz w:val="28"/>
    </w:rPr>
  </w:style>
  <w:style w:type="paragraph" w:styleId="31">
    <w:name w:val="toc 2"/>
    <w:basedOn w:val="1"/>
    <w:next w:val="1"/>
    <w:uiPriority w:val="0"/>
    <w:pPr>
      <w:ind w:left="210"/>
      <w:jc w:val="left"/>
    </w:pPr>
    <w:rPr>
      <w:rFonts w:ascii="Times New Roman" w:hAnsi="Times New Roman"/>
      <w:smallCaps/>
      <w:sz w:val="20"/>
      <w:szCs w:val="20"/>
    </w:rPr>
  </w:style>
  <w:style w:type="paragraph" w:styleId="32">
    <w:name w:val="toc 9"/>
    <w:basedOn w:val="1"/>
    <w:next w:val="1"/>
    <w:uiPriority w:val="0"/>
    <w:pPr>
      <w:ind w:left="1680"/>
      <w:jc w:val="left"/>
    </w:pPr>
    <w:rPr>
      <w:rFonts w:ascii="Times New Roman" w:hAnsi="Times New Roman"/>
      <w:sz w:val="18"/>
      <w:szCs w:val="18"/>
    </w:rPr>
  </w:style>
  <w:style w:type="paragraph" w:styleId="33">
    <w:name w:val="Body Text 2"/>
    <w:basedOn w:val="1"/>
    <w:link w:val="127"/>
    <w:uiPriority w:val="0"/>
    <w:pPr>
      <w:spacing w:after="120" w:line="480" w:lineRule="auto"/>
    </w:pPr>
  </w:style>
  <w:style w:type="paragraph" w:styleId="34">
    <w:name w:val="Normal (Web)"/>
    <w:basedOn w:val="1"/>
    <w:uiPriority w:val="0"/>
    <w:pPr>
      <w:widowControl/>
      <w:spacing w:before="100" w:beforeAutospacing="1" w:after="100" w:afterAutospacing="1"/>
    </w:pPr>
    <w:rPr>
      <w:rFonts w:ascii="宋体"/>
      <w:szCs w:val="24"/>
      <w:lang w:eastAsia="en-US"/>
    </w:rPr>
  </w:style>
  <w:style w:type="paragraph" w:styleId="35">
    <w:name w:val="Title"/>
    <w:basedOn w:val="1"/>
    <w:next w:val="1"/>
    <w:link w:val="131"/>
    <w:qFormat/>
    <w:uiPriority w:val="0"/>
    <w:pPr>
      <w:spacing w:before="240" w:after="60"/>
      <w:jc w:val="center"/>
      <w:outlineLvl w:val="0"/>
    </w:pPr>
    <w:rPr>
      <w:rFonts w:ascii="Cambria" w:hAnsi="Cambria"/>
      <w:b/>
      <w:bCs/>
      <w:sz w:val="32"/>
      <w:szCs w:val="32"/>
    </w:rPr>
  </w:style>
  <w:style w:type="paragraph" w:styleId="36">
    <w:name w:val="annotation subject"/>
    <w:basedOn w:val="15"/>
    <w:next w:val="15"/>
    <w:link w:val="120"/>
    <w:uiPriority w:val="0"/>
    <w:pPr>
      <w:jc w:val="both"/>
    </w:pPr>
    <w:rPr>
      <w:b/>
      <w:bCs/>
    </w:rPr>
  </w:style>
  <w:style w:type="table" w:styleId="38">
    <w:name w:val="Table Grid"/>
    <w:basedOn w:val="37"/>
    <w:qFormat/>
    <w:uiPriority w:val="39"/>
    <w:rPr>
      <w:rFonts w:eastAsia="方正小标宋_GBK"/>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40">
    <w:name w:val="Strong"/>
    <w:qFormat/>
    <w:uiPriority w:val="0"/>
    <w:rPr>
      <w:b/>
    </w:rPr>
  </w:style>
  <w:style w:type="character" w:styleId="41">
    <w:name w:val="page number"/>
    <w:basedOn w:val="39"/>
    <w:uiPriority w:val="0"/>
  </w:style>
  <w:style w:type="character" w:styleId="42">
    <w:name w:val="FollowedHyperlink"/>
    <w:uiPriority w:val="0"/>
    <w:rPr>
      <w:color w:val="800080"/>
      <w:u w:val="single"/>
    </w:rPr>
  </w:style>
  <w:style w:type="character" w:styleId="43">
    <w:name w:val="Hyperlink"/>
    <w:qFormat/>
    <w:uiPriority w:val="0"/>
    <w:rPr>
      <w:color w:val="0000FF"/>
      <w:u w:val="single"/>
    </w:rPr>
  </w:style>
  <w:style w:type="character" w:styleId="44">
    <w:name w:val="annotation reference"/>
    <w:uiPriority w:val="0"/>
    <w:rPr>
      <w:sz w:val="21"/>
      <w:szCs w:val="21"/>
    </w:rPr>
  </w:style>
  <w:style w:type="paragraph" w:customStyle="1" w:styleId="45">
    <w:name w:val="Char Char Char Char"/>
    <w:basedOn w:val="1"/>
    <w:uiPriority w:val="0"/>
    <w:rPr>
      <w:rFonts w:ascii="Tahoma" w:hAnsi="Tahoma"/>
    </w:rPr>
  </w:style>
  <w:style w:type="paragraph" w:customStyle="1" w:styleId="46">
    <w:name w:val="默认段落字体 Para Char Char Char Char"/>
    <w:basedOn w:val="1"/>
    <w:uiPriority w:val="0"/>
    <w:rPr>
      <w:rFonts w:ascii="Arial" w:hAnsi="Arial" w:cs="Arial"/>
      <w:szCs w:val="21"/>
    </w:rPr>
  </w:style>
  <w:style w:type="paragraph" w:customStyle="1" w:styleId="47">
    <w:name w:val="PMletterText"/>
    <w:basedOn w:val="48"/>
    <w:uiPriority w:val="0"/>
    <w:pPr>
      <w:spacing w:before="240"/>
      <w:ind w:left="720"/>
    </w:pPr>
  </w:style>
  <w:style w:type="paragraph" w:customStyle="1" w:styleId="48">
    <w:name w:val="PMstyle"/>
    <w:qFormat/>
    <w:uiPriority w:val="0"/>
    <w:rPr>
      <w:rFonts w:ascii="Tahoma" w:hAnsi="Tahoma" w:eastAsia="宋体" w:cs="Times New Roman"/>
      <w:sz w:val="22"/>
      <w:lang w:val="en-US" w:eastAsia="zh-CN" w:bidi="ar-SA"/>
    </w:rPr>
  </w:style>
  <w:style w:type="paragraph" w:customStyle="1" w:styleId="49">
    <w:name w:val="样式 标题 2 + 宋体 五号 非加粗 黑色"/>
    <w:basedOn w:val="3"/>
    <w:uiPriority w:val="0"/>
    <w:pPr>
      <w:tabs>
        <w:tab w:val="left" w:pos="1140"/>
      </w:tabs>
      <w:ind w:left="1140" w:hanging="720"/>
    </w:pPr>
    <w:rPr>
      <w:rFonts w:ascii="宋体" w:eastAsia="宋体"/>
      <w:b w:val="0"/>
      <w:bCs/>
      <w:color w:val="000000"/>
      <w:sz w:val="21"/>
    </w:rPr>
  </w:style>
  <w:style w:type="paragraph" w:customStyle="1" w:styleId="50">
    <w:name w:val="Body Text 21"/>
    <w:basedOn w:val="1"/>
    <w:uiPriority w:val="0"/>
    <w:pPr>
      <w:numPr>
        <w:ilvl w:val="0"/>
        <w:numId w:val="5"/>
      </w:numPr>
      <w:spacing w:before="240" w:line="400" w:lineRule="exact"/>
      <w:ind w:left="0" w:firstLine="357"/>
    </w:pPr>
    <w:rPr>
      <w:sz w:val="28"/>
    </w:rPr>
  </w:style>
  <w:style w:type="paragraph" w:customStyle="1" w:styleId="51">
    <w:name w:val="样式 样式 标题 2 + 宋体 五号 非加粗 黑色 + 段前: 6 磅 段后: 0 磅 行距: 单倍行距"/>
    <w:basedOn w:val="49"/>
    <w:uiPriority w:val="0"/>
    <w:pPr>
      <w:spacing w:before="120" w:after="0" w:line="240" w:lineRule="auto"/>
    </w:pPr>
    <w:rPr>
      <w:szCs w:val="20"/>
    </w:rPr>
  </w:style>
  <w:style w:type="paragraph" w:customStyle="1" w:styleId="52">
    <w:name w:val="TOC 标题1"/>
    <w:basedOn w:val="2"/>
    <w:next w:val="1"/>
    <w:qFormat/>
    <w:uiPriority w:val="0"/>
    <w:pPr>
      <w:widowControl/>
      <w:spacing w:before="480" w:after="0" w:line="276" w:lineRule="auto"/>
      <w:outlineLvl w:val="9"/>
    </w:pPr>
    <w:rPr>
      <w:rFonts w:ascii="Cambria" w:hAnsi="Cambria"/>
      <w:color w:val="365F91"/>
      <w:kern w:val="0"/>
      <w:sz w:val="28"/>
    </w:rPr>
  </w:style>
  <w:style w:type="paragraph" w:customStyle="1" w:styleId="53">
    <w:name w:val="正文缩进_0"/>
    <w:basedOn w:val="54"/>
    <w:uiPriority w:val="0"/>
    <w:pPr>
      <w:ind w:firstLine="420"/>
    </w:pPr>
  </w:style>
  <w:style w:type="paragraph" w:customStyle="1" w:styleId="54">
    <w:name w:val="正文_3_0"/>
    <w:qFormat/>
    <w:uiPriority w:val="0"/>
    <w:pPr>
      <w:widowControl w:val="0"/>
      <w:jc w:val="both"/>
    </w:pPr>
    <w:rPr>
      <w:rFonts w:ascii="Times New Roman" w:hAnsi="Times New Roman" w:eastAsia="宋体" w:cs="Times New Roman"/>
      <w:lang w:val="en-US" w:eastAsia="zh-CN" w:bidi="ar-SA"/>
    </w:rPr>
  </w:style>
  <w:style w:type="paragraph" w:customStyle="1" w:styleId="55">
    <w:name w:val="样式 标题 4 + 段前: 5 磅 段后: 5 磅 行距: 单倍行距"/>
    <w:basedOn w:val="5"/>
    <w:uiPriority w:val="0"/>
    <w:pPr>
      <w:numPr>
        <w:numId w:val="0"/>
      </w:numPr>
      <w:tabs>
        <w:tab w:val="left" w:pos="1680"/>
        <w:tab w:val="clear" w:pos="0"/>
      </w:tabs>
      <w:spacing w:before="100" w:after="100" w:line="240" w:lineRule="auto"/>
      <w:ind w:left="1680" w:hanging="420"/>
    </w:pPr>
    <w:rPr>
      <w:szCs w:val="20"/>
    </w:rPr>
  </w:style>
  <w:style w:type="paragraph" w:customStyle="1" w:styleId="56">
    <w:name w:val="修订1"/>
    <w:uiPriority w:val="0"/>
    <w:rPr>
      <w:rFonts w:ascii="Times New Roman" w:hAnsi="Times New Roman" w:eastAsia="宋体" w:cs="Times New Roman"/>
      <w:sz w:val="24"/>
      <w:lang w:val="en-US" w:eastAsia="zh-CN" w:bidi="ar-SA"/>
    </w:rPr>
  </w:style>
  <w:style w:type="paragraph" w:customStyle="1" w:styleId="57">
    <w:name w:val="标题 3_0"/>
    <w:basedOn w:val="58"/>
    <w:next w:val="58"/>
    <w:uiPriority w:val="0"/>
    <w:pPr>
      <w:keepNext/>
      <w:keepLines/>
      <w:spacing w:before="260" w:after="260" w:line="412" w:lineRule="auto"/>
      <w:outlineLvl w:val="2"/>
    </w:pPr>
    <w:rPr>
      <w:b/>
      <w:sz w:val="32"/>
    </w:rPr>
  </w:style>
  <w:style w:type="paragraph" w:customStyle="1" w:styleId="58">
    <w:name w:val="正文_3"/>
    <w:uiPriority w:val="0"/>
    <w:pPr>
      <w:widowControl w:val="0"/>
      <w:jc w:val="both"/>
    </w:pPr>
    <w:rPr>
      <w:rFonts w:ascii="Times New Roman" w:hAnsi="Times New Roman" w:eastAsia="宋体" w:cs="Times New Roman"/>
      <w:lang w:val="en-US" w:eastAsia="zh-CN" w:bidi="ar-SA"/>
    </w:rPr>
  </w:style>
  <w:style w:type="paragraph" w:customStyle="1" w:styleId="59">
    <w:name w:val="样式 样式 标题 4 + 段前: 5 磅 段后: 5 磅 行距: 单倍行距 + 五号"/>
    <w:basedOn w:val="55"/>
    <w:uiPriority w:val="0"/>
    <w:rPr>
      <w:sz w:val="21"/>
    </w:rPr>
  </w:style>
  <w:style w:type="paragraph" w:customStyle="1" w:styleId="60">
    <w:name w:val="样式1_0"/>
    <w:basedOn w:val="54"/>
    <w:uiPriority w:val="0"/>
    <w:pPr>
      <w:tabs>
        <w:tab w:val="left" w:pos="0"/>
      </w:tabs>
    </w:pPr>
    <w:rPr>
      <w:rFonts w:ascii="宋体"/>
      <w:szCs w:val="21"/>
    </w:rPr>
  </w:style>
  <w:style w:type="paragraph" w:customStyle="1" w:styleId="61">
    <w:name w:val="样式 标题 2 + 宋体 五号 行距: 单倍行距"/>
    <w:basedOn w:val="3"/>
    <w:uiPriority w:val="0"/>
    <w:pPr>
      <w:tabs>
        <w:tab w:val="left" w:pos="1140"/>
      </w:tabs>
      <w:spacing w:line="240" w:lineRule="auto"/>
      <w:ind w:left="1140" w:hanging="720"/>
    </w:pPr>
    <w:rPr>
      <w:rFonts w:ascii="宋体" w:eastAsia="宋体"/>
      <w:sz w:val="21"/>
      <w:szCs w:val="20"/>
    </w:rPr>
  </w:style>
  <w:style w:type="paragraph" w:customStyle="1" w:styleId="62">
    <w:name w:val="样式 宋体 五号 行距: 单倍行距"/>
    <w:basedOn w:val="1"/>
    <w:uiPriority w:val="0"/>
    <w:rPr>
      <w:rFonts w:ascii="宋体"/>
    </w:rPr>
  </w:style>
  <w:style w:type="paragraph" w:customStyle="1" w:styleId="63">
    <w:name w:val="样式4"/>
    <w:basedOn w:val="31"/>
    <w:uiPriority w:val="0"/>
    <w:pPr>
      <w:ind w:left="420"/>
    </w:pPr>
    <w:rPr>
      <w:sz w:val="28"/>
    </w:rPr>
  </w:style>
  <w:style w:type="paragraph" w:customStyle="1" w:styleId="64">
    <w:name w:val="正文_1"/>
    <w:uiPriority w:val="0"/>
    <w:pPr>
      <w:widowControl w:val="0"/>
      <w:jc w:val="both"/>
    </w:pPr>
    <w:rPr>
      <w:rFonts w:ascii="Times New Roman" w:hAnsi="Times New Roman" w:eastAsia="宋体" w:cs="Times New Roman"/>
      <w:lang w:val="en-US" w:eastAsia="zh-CN" w:bidi="ar-SA"/>
    </w:rPr>
  </w:style>
  <w:style w:type="paragraph" w:customStyle="1" w:styleId="65">
    <w:name w:val="xl23"/>
    <w:basedOn w:val="1"/>
    <w:uiPriority w:val="0"/>
    <w:pPr>
      <w:widowControl/>
      <w:spacing w:before="100" w:beforeAutospacing="1" w:after="100" w:afterAutospacing="1" w:line="360" w:lineRule="auto"/>
      <w:textAlignment w:val="top"/>
    </w:pPr>
    <w:rPr>
      <w:szCs w:val="24"/>
    </w:rPr>
  </w:style>
  <w:style w:type="paragraph" w:customStyle="1" w:styleId="66">
    <w:name w:val="样式 标题 3h3H3sect1.2.3 + 五号 段前: 6 磅 段后: 6 磅 行距: 单倍行距"/>
    <w:basedOn w:val="4"/>
    <w:uiPriority w:val="0"/>
    <w:pPr>
      <w:tabs>
        <w:tab w:val="left" w:pos="1260"/>
      </w:tabs>
      <w:spacing w:before="120" w:after="120" w:line="240" w:lineRule="auto"/>
      <w:ind w:left="1260" w:hanging="420"/>
    </w:pPr>
    <w:rPr>
      <w:sz w:val="21"/>
      <w:szCs w:val="20"/>
    </w:rPr>
  </w:style>
  <w:style w:type="paragraph" w:customStyle="1" w:styleId="67">
    <w:name w:val="样式 样式 样式 标题 2 + 宋体 五号 非加粗 黑色 + 段前: 6 磅 段后: 0 磅 行距: 单倍行距 + 段前: 12..."/>
    <w:basedOn w:val="51"/>
    <w:qFormat/>
    <w:uiPriority w:val="0"/>
    <w:pPr>
      <w:tabs>
        <w:tab w:val="clear" w:pos="1140"/>
      </w:tabs>
      <w:spacing w:before="240"/>
    </w:pPr>
  </w:style>
  <w:style w:type="paragraph" w:customStyle="1" w:styleId="68">
    <w:name w:val="样式2"/>
    <w:basedOn w:val="1"/>
    <w:qFormat/>
    <w:uiPriority w:val="0"/>
    <w:pPr>
      <w:tabs>
        <w:tab w:val="left" w:pos="567"/>
      </w:tabs>
      <w:ind w:left="567" w:hanging="567"/>
    </w:pPr>
    <w:rPr>
      <w:rFonts w:ascii="宋体"/>
      <w:szCs w:val="21"/>
    </w:rPr>
  </w:style>
  <w:style w:type="paragraph" w:customStyle="1" w:styleId="69">
    <w:name w:val="正文1"/>
    <w:qFormat/>
    <w:uiPriority w:val="0"/>
    <w:pPr>
      <w:jc w:val="both"/>
    </w:pPr>
    <w:rPr>
      <w:rFonts w:ascii="Times New Roman" w:hAnsi="Times New Roman" w:eastAsia="宋体" w:cs="Times New Roman"/>
      <w:szCs w:val="21"/>
      <w:lang w:val="en-US" w:eastAsia="zh-CN" w:bidi="ar-SA"/>
    </w:rPr>
  </w:style>
  <w:style w:type="paragraph" w:customStyle="1" w:styleId="70">
    <w:name w:val="PMtextBullet"/>
    <w:basedOn w:val="48"/>
    <w:qFormat/>
    <w:uiPriority w:val="0"/>
    <w:pPr>
      <w:tabs>
        <w:tab w:val="left" w:pos="2520"/>
      </w:tabs>
      <w:spacing w:after="200"/>
      <w:ind w:left="2520" w:firstLine="288"/>
    </w:pPr>
  </w:style>
  <w:style w:type="paragraph" w:customStyle="1" w:styleId="71">
    <w:name w:val="_Style 2"/>
    <w:basedOn w:val="1"/>
    <w:qFormat/>
    <w:uiPriority w:val="0"/>
    <w:pPr>
      <w:ind w:firstLine="420" w:firstLineChars="200"/>
    </w:pPr>
  </w:style>
  <w:style w:type="paragraph" w:customStyle="1" w:styleId="72">
    <w:name w:val="Char2"/>
    <w:basedOn w:val="1"/>
    <w:uiPriority w:val="0"/>
    <w:pPr>
      <w:widowControl/>
      <w:spacing w:after="160" w:line="240" w:lineRule="exact"/>
    </w:pPr>
    <w:rPr>
      <w:szCs w:val="24"/>
    </w:rPr>
  </w:style>
  <w:style w:type="paragraph" w:customStyle="1" w:styleId="73">
    <w:name w:val="Default"/>
    <w:uiPriority w:val="0"/>
    <w:pPr>
      <w:widowControl w:val="0"/>
      <w:autoSpaceDE w:val="0"/>
      <w:autoSpaceDN w:val="0"/>
      <w:adjustRightInd w:val="0"/>
    </w:pPr>
    <w:rPr>
      <w:rFonts w:ascii="..C...." w:hAnsi="Calibri" w:eastAsia="..C...." w:cs="..C...."/>
      <w:color w:val="000000"/>
      <w:sz w:val="24"/>
      <w:szCs w:val="24"/>
      <w:lang w:val="en-US" w:eastAsia="zh-CN" w:bidi="ar-SA"/>
    </w:rPr>
  </w:style>
  <w:style w:type="paragraph" w:customStyle="1" w:styleId="74">
    <w:name w:val="样式 标题 1 + 四号 居中 段前: 12 磅 段后: 12 磅 行距: 单倍行距"/>
    <w:basedOn w:val="2"/>
    <w:qFormat/>
    <w:uiPriority w:val="0"/>
    <w:pPr>
      <w:spacing w:before="240" w:after="240" w:line="240" w:lineRule="auto"/>
      <w:jc w:val="center"/>
    </w:pPr>
    <w:rPr>
      <w:sz w:val="28"/>
      <w:szCs w:val="20"/>
    </w:rPr>
  </w:style>
  <w:style w:type="paragraph" w:customStyle="1" w:styleId="75">
    <w:name w:val="列表段落1"/>
    <w:basedOn w:val="1"/>
    <w:qFormat/>
    <w:uiPriority w:val="99"/>
    <w:pPr>
      <w:ind w:firstLine="420"/>
    </w:pPr>
  </w:style>
  <w:style w:type="paragraph" w:customStyle="1" w:styleId="76">
    <w:name w:val="样式 样式 样式 样式 标题 2 + 宋体 五号 非加粗 黑色 + 段前: 6 磅 段后: 0 磅 行距: 单倍行距 + 段前:..."/>
    <w:basedOn w:val="67"/>
    <w:qFormat/>
    <w:uiPriority w:val="0"/>
    <w:pPr/>
    <w:rPr>
      <w:b/>
      <w:bCs w:val="0"/>
    </w:rPr>
  </w:style>
  <w:style w:type="paragraph" w:customStyle="1" w:styleId="77">
    <w:name w:val="PMletterTextBullet"/>
    <w:basedOn w:val="47"/>
    <w:qFormat/>
    <w:uiPriority w:val="0"/>
    <w:pPr>
      <w:tabs>
        <w:tab w:val="left" w:pos="840"/>
        <w:tab w:val="left" w:pos="1800"/>
      </w:tabs>
      <w:ind w:left="1800" w:hanging="360"/>
    </w:pPr>
  </w:style>
  <w:style w:type="paragraph" w:customStyle="1" w:styleId="78">
    <w:name w:val="样式 样式 标题 5 + 段前: 5 磅 段后: 5 磅 行距: 单倍行距 + 五号"/>
    <w:basedOn w:val="79"/>
    <w:qFormat/>
    <w:uiPriority w:val="0"/>
    <w:pPr>
      <w:tabs>
        <w:tab w:val="left" w:pos="2100"/>
      </w:tabs>
    </w:pPr>
    <w:rPr>
      <w:sz w:val="21"/>
    </w:rPr>
  </w:style>
  <w:style w:type="paragraph" w:customStyle="1" w:styleId="79">
    <w:name w:val="样式 标题 5 + 段前: 5 磅 段后: 5 磅 行距: 单倍行距"/>
    <w:basedOn w:val="6"/>
    <w:qFormat/>
    <w:uiPriority w:val="0"/>
    <w:pPr>
      <w:numPr>
        <w:numId w:val="0"/>
      </w:numPr>
      <w:tabs>
        <w:tab w:val="left" w:pos="2100"/>
        <w:tab w:val="clear" w:pos="0"/>
      </w:tabs>
      <w:spacing w:before="100" w:after="100" w:line="240" w:lineRule="auto"/>
      <w:ind w:left="2100" w:hanging="420"/>
    </w:pPr>
    <w:rPr>
      <w:szCs w:val="20"/>
    </w:rPr>
  </w:style>
  <w:style w:type="paragraph" w:customStyle="1" w:styleId="80">
    <w:name w:val="样式6"/>
    <w:basedOn w:val="3"/>
    <w:qFormat/>
    <w:uiPriority w:val="0"/>
    <w:pPr>
      <w:spacing w:before="0" w:after="0" w:line="560" w:lineRule="exact"/>
    </w:pPr>
    <w:rPr>
      <w:rFonts w:eastAsia="宋体"/>
      <w:b w:val="0"/>
      <w:sz w:val="28"/>
    </w:rPr>
  </w:style>
  <w:style w:type="paragraph" w:customStyle="1" w:styleId="81">
    <w:name w:val="正文_1_0"/>
    <w:qFormat/>
    <w:uiPriority w:val="0"/>
    <w:pPr>
      <w:widowControl w:val="0"/>
      <w:jc w:val="both"/>
    </w:pPr>
    <w:rPr>
      <w:rFonts w:ascii="Times New Roman" w:hAnsi="Times New Roman" w:eastAsia="宋体" w:cs="Times New Roman"/>
      <w:lang w:val="en-US" w:eastAsia="zh-CN" w:bidi="ar-SA"/>
    </w:rPr>
  </w:style>
  <w:style w:type="paragraph" w:customStyle="1" w:styleId="82">
    <w:name w:val="正文_1_1"/>
    <w:qFormat/>
    <w:uiPriority w:val="0"/>
    <w:pPr>
      <w:widowControl w:val="0"/>
      <w:jc w:val="both"/>
    </w:pPr>
    <w:rPr>
      <w:rFonts w:ascii="Times New Roman" w:hAnsi="Times New Roman" w:eastAsia="宋体" w:cs="Times New Roman"/>
      <w:lang w:val="en-US" w:eastAsia="zh-CN" w:bidi="ar-SA"/>
    </w:rPr>
  </w:style>
  <w:style w:type="paragraph" w:customStyle="1" w:styleId="83">
    <w:name w:val="样式 宋体 五号 两端对齐 行距: 单倍行距1"/>
    <w:basedOn w:val="1"/>
    <w:qFormat/>
    <w:uiPriority w:val="0"/>
    <w:rPr>
      <w:rFonts w:ascii="宋体"/>
    </w:rPr>
  </w:style>
  <w:style w:type="paragraph" w:customStyle="1" w:styleId="84">
    <w:name w:val="正文_2"/>
    <w:qFormat/>
    <w:uiPriority w:val="0"/>
    <w:pPr>
      <w:widowControl w:val="0"/>
      <w:adjustRightInd w:val="0"/>
      <w:spacing w:line="360" w:lineRule="atLeast"/>
      <w:textAlignment w:val="baseline"/>
    </w:pPr>
    <w:rPr>
      <w:rFonts w:ascii="Times New Roman" w:hAnsi="Times New Roman" w:eastAsia="宋体" w:cs="Times New Roman"/>
      <w:sz w:val="24"/>
      <w:lang w:val="en-US" w:eastAsia="zh-CN" w:bidi="ar-SA"/>
    </w:rPr>
  </w:style>
  <w:style w:type="paragraph" w:customStyle="1" w:styleId="85">
    <w:name w:val="Char Char Char Char Char Char Char Char Char Char Char Char Char"/>
    <w:basedOn w:val="1"/>
    <w:qFormat/>
    <w:uiPriority w:val="0"/>
    <w:pPr>
      <w:widowControl/>
      <w:spacing w:after="160" w:line="240" w:lineRule="exact"/>
    </w:pPr>
    <w:rPr>
      <w:rFonts w:ascii="Verdana" w:hAnsi="Verdana"/>
      <w:sz w:val="20"/>
      <w:lang w:eastAsia="en-US"/>
    </w:rPr>
  </w:style>
  <w:style w:type="paragraph" w:customStyle="1" w:styleId="86">
    <w:name w:val="无间隔1"/>
    <w:qFormat/>
    <w:uiPriority w:val="0"/>
    <w:rPr>
      <w:rFonts w:ascii="Calibri" w:hAnsi="Calibri" w:eastAsia="宋体" w:cs="Times New Roman"/>
      <w:kern w:val="2"/>
      <w:sz w:val="22"/>
      <w:lang w:val="en-US" w:eastAsia="zh-CN" w:bidi="ar-SA"/>
    </w:rPr>
  </w:style>
  <w:style w:type="paragraph" w:customStyle="1" w:styleId="87">
    <w:name w:val="样式 宋体 五号 两端对齐 行距: 单倍行距"/>
    <w:basedOn w:val="1"/>
    <w:qFormat/>
    <w:uiPriority w:val="0"/>
    <w:rPr>
      <w:rFonts w:ascii="宋体"/>
    </w:rPr>
  </w:style>
  <w:style w:type="paragraph" w:customStyle="1" w:styleId="88">
    <w:name w:val="xl27"/>
    <w:basedOn w:val="1"/>
    <w:qFormat/>
    <w:uiPriority w:val="0"/>
    <w:pPr>
      <w:widowControl/>
      <w:spacing w:before="100" w:beforeAutospacing="1" w:after="100" w:afterAutospacing="1"/>
      <w:jc w:val="center"/>
    </w:pPr>
    <w:rPr>
      <w:rFonts w:ascii="Arial Unicode MS" w:eastAsia="Arial Unicode MS" w:cs="Arial Unicode MS"/>
      <w:szCs w:val="24"/>
    </w:rPr>
  </w:style>
  <w:style w:type="paragraph" w:customStyle="1" w:styleId="89">
    <w:name w:val="样式5"/>
    <w:basedOn w:val="2"/>
    <w:qFormat/>
    <w:uiPriority w:val="0"/>
    <w:rPr>
      <w:sz w:val="28"/>
    </w:rPr>
  </w:style>
  <w:style w:type="paragraph" w:customStyle="1" w:styleId="90">
    <w:name w:val="样式1"/>
    <w:basedOn w:val="1"/>
    <w:qFormat/>
    <w:uiPriority w:val="0"/>
    <w:pPr>
      <w:numPr>
        <w:ilvl w:val="0"/>
        <w:numId w:val="6"/>
      </w:numPr>
      <w:tabs>
        <w:tab w:val="left" w:pos="0"/>
      </w:tabs>
    </w:pPr>
    <w:rPr>
      <w:rFonts w:ascii="宋体"/>
      <w:szCs w:val="21"/>
    </w:rPr>
  </w:style>
  <w:style w:type="paragraph" w:customStyle="1" w:styleId="91">
    <w:name w:val="正文_0"/>
    <w:qFormat/>
    <w:uiPriority w:val="0"/>
    <w:pPr>
      <w:widowControl w:val="0"/>
      <w:jc w:val="both"/>
    </w:pPr>
    <w:rPr>
      <w:rFonts w:ascii="Times New Roman" w:hAnsi="Times New Roman" w:eastAsia="宋体" w:cs="Times New Roman"/>
      <w:lang w:val="en-US" w:eastAsia="zh-CN" w:bidi="ar-SA"/>
    </w:rPr>
  </w:style>
  <w:style w:type="paragraph" w:customStyle="1" w:styleId="92">
    <w:name w:val="Body Text Indent 21"/>
    <w:basedOn w:val="1"/>
    <w:qFormat/>
    <w:uiPriority w:val="0"/>
    <w:pPr>
      <w:ind w:left="720" w:hanging="720"/>
    </w:pPr>
    <w:rPr>
      <w:b/>
      <w:sz w:val="28"/>
    </w:rPr>
  </w:style>
  <w:style w:type="paragraph" w:customStyle="1" w:styleId="93">
    <w:name w:val="Char"/>
    <w:basedOn w:val="1"/>
    <w:qFormat/>
    <w:uiPriority w:val="0"/>
    <w:pPr>
      <w:widowControl/>
      <w:spacing w:after="160" w:line="240" w:lineRule="exact"/>
    </w:pPr>
    <w:rPr>
      <w:rFonts w:ascii="Verdana" w:hAnsi="Verdana"/>
      <w:sz w:val="20"/>
      <w:lang w:eastAsia="en-US"/>
    </w:rPr>
  </w:style>
  <w:style w:type="paragraph" w:customStyle="1" w:styleId="94">
    <w:name w:val="Char1 Char Char Char"/>
    <w:basedOn w:val="1"/>
    <w:qFormat/>
    <w:uiPriority w:val="0"/>
    <w:pPr>
      <w:numPr>
        <w:ilvl w:val="0"/>
        <w:numId w:val="7"/>
      </w:numPr>
      <w:ind w:left="0" w:firstLine="0"/>
    </w:pPr>
    <w:rPr>
      <w:rFonts w:ascii="Tahoma" w:hAnsi="Tahoma"/>
    </w:rPr>
  </w:style>
  <w:style w:type="paragraph" w:customStyle="1" w:styleId="95">
    <w:name w:val="p0"/>
    <w:basedOn w:val="1"/>
    <w:qFormat/>
    <w:uiPriority w:val="0"/>
    <w:pPr>
      <w:widowControl/>
    </w:pPr>
    <w:rPr>
      <w:rFonts w:ascii="Times New Roman" w:hAnsi="Times New Roman"/>
      <w:kern w:val="0"/>
      <w:szCs w:val="21"/>
    </w:rPr>
  </w:style>
  <w:style w:type="paragraph" w:customStyle="1" w:styleId="96">
    <w:name w:val="列出段落1"/>
    <w:basedOn w:val="1"/>
    <w:qFormat/>
    <w:uiPriority w:val="0"/>
    <w:pPr>
      <w:ind w:firstLine="420"/>
    </w:pPr>
    <w:rPr>
      <w:szCs w:val="24"/>
    </w:rPr>
  </w:style>
  <w:style w:type="paragraph" w:customStyle="1" w:styleId="97">
    <w:name w:val="Char Char Char Char Char Char Char Char Char Char"/>
    <w:basedOn w:val="1"/>
    <w:qFormat/>
    <w:uiPriority w:val="0"/>
    <w:pPr>
      <w:widowControl/>
      <w:numPr>
        <w:ilvl w:val="0"/>
        <w:numId w:val="8"/>
      </w:numPr>
      <w:spacing w:after="160" w:line="240" w:lineRule="exact"/>
    </w:pPr>
  </w:style>
  <w:style w:type="paragraph" w:customStyle="1" w:styleId="98">
    <w:name w:val="0000000000正文"/>
    <w:basedOn w:val="1"/>
    <w:link w:val="132"/>
    <w:qFormat/>
    <w:uiPriority w:val="0"/>
    <w:pPr>
      <w:spacing w:line="360" w:lineRule="auto"/>
    </w:pPr>
    <w:rPr>
      <w:rFonts w:cs="黑体"/>
      <w:sz w:val="24"/>
      <w:szCs w:val="24"/>
    </w:rPr>
  </w:style>
  <w:style w:type="paragraph" w:customStyle="1" w:styleId="99">
    <w:name w:val="修订2"/>
    <w:hidden/>
    <w:unhideWhenUsed/>
    <w:qFormat/>
    <w:uiPriority w:val="99"/>
    <w:rPr>
      <w:rFonts w:ascii="Calibri" w:hAnsi="Calibri" w:eastAsia="宋体" w:cs="Times New Roman"/>
      <w:lang w:val="en-US" w:eastAsia="zh-CN" w:bidi="ar-SA"/>
    </w:rPr>
  </w:style>
  <w:style w:type="paragraph" w:customStyle="1" w:styleId="100">
    <w:name w:val="Char1 Char Char Char1"/>
    <w:basedOn w:val="1"/>
    <w:qFormat/>
    <w:uiPriority w:val="0"/>
    <w:rPr>
      <w:rFonts w:ascii="Tahoma" w:hAnsi="Tahoma"/>
    </w:rPr>
  </w:style>
  <w:style w:type="paragraph" w:customStyle="1" w:styleId="101">
    <w:name w:val="Char Char Char Char1"/>
    <w:basedOn w:val="1"/>
    <w:qFormat/>
    <w:uiPriority w:val="0"/>
    <w:rPr>
      <w:rFonts w:ascii="Tahoma" w:hAnsi="Tahoma"/>
    </w:rPr>
  </w:style>
  <w:style w:type="paragraph" w:customStyle="1" w:styleId="102">
    <w:name w:val="Char Char Char Char Char Char Char Char Char Char1"/>
    <w:basedOn w:val="1"/>
    <w:qFormat/>
    <w:uiPriority w:val="0"/>
    <w:pPr>
      <w:widowControl/>
      <w:numPr>
        <w:ilvl w:val="0"/>
        <w:numId w:val="9"/>
      </w:numPr>
      <w:spacing w:after="160" w:line="240" w:lineRule="exact"/>
      <w:ind w:left="0" w:firstLine="0"/>
    </w:pPr>
  </w:style>
  <w:style w:type="paragraph" w:customStyle="1" w:styleId="103">
    <w:name w:val="Char21"/>
    <w:basedOn w:val="1"/>
    <w:qFormat/>
    <w:uiPriority w:val="0"/>
    <w:pPr>
      <w:widowControl/>
      <w:spacing w:after="160" w:line="240" w:lineRule="exact"/>
    </w:pPr>
    <w:rPr>
      <w:szCs w:val="24"/>
    </w:rPr>
  </w:style>
  <w:style w:type="paragraph" w:customStyle="1" w:styleId="104">
    <w:name w:val="Char Char Char Char Char Char Char Char Char Char Char Char Char1"/>
    <w:basedOn w:val="1"/>
    <w:qFormat/>
    <w:uiPriority w:val="0"/>
    <w:pPr>
      <w:widowControl/>
      <w:spacing w:after="160" w:line="240" w:lineRule="exact"/>
    </w:pPr>
    <w:rPr>
      <w:rFonts w:ascii="Verdana" w:hAnsi="Verdana"/>
      <w:sz w:val="20"/>
      <w:lang w:eastAsia="en-US"/>
    </w:rPr>
  </w:style>
  <w:style w:type="paragraph" w:customStyle="1" w:styleId="105">
    <w:name w:val="Char1"/>
    <w:basedOn w:val="1"/>
    <w:qFormat/>
    <w:uiPriority w:val="0"/>
    <w:pPr>
      <w:widowControl/>
      <w:spacing w:after="160" w:line="240" w:lineRule="exact"/>
    </w:pPr>
    <w:rPr>
      <w:rFonts w:ascii="Verdana" w:hAnsi="Verdana"/>
      <w:sz w:val="20"/>
      <w:lang w:eastAsia="en-US"/>
    </w:rPr>
  </w:style>
  <w:style w:type="paragraph" w:customStyle="1" w:styleId="106">
    <w:name w:val="Table Paragraph"/>
    <w:basedOn w:val="1"/>
    <w:qFormat/>
    <w:uiPriority w:val="1"/>
    <w:pPr>
      <w:autoSpaceDE w:val="0"/>
      <w:autoSpaceDN w:val="0"/>
      <w:jc w:val="left"/>
    </w:pPr>
    <w:rPr>
      <w:rFonts w:ascii="宋体" w:hAnsi="宋体" w:cs="宋体"/>
      <w:kern w:val="0"/>
      <w:sz w:val="22"/>
      <w:lang w:eastAsia="en-US"/>
    </w:rPr>
  </w:style>
  <w:style w:type="character" w:customStyle="1" w:styleId="107">
    <w:name w:val="纯文本 字符"/>
    <w:link w:val="20"/>
    <w:qFormat/>
    <w:uiPriority w:val="0"/>
    <w:rPr>
      <w:rFonts w:ascii="宋体" w:hAnsi="Calibri" w:eastAsia="宋体" w:cs="Times New Roman"/>
      <w:szCs w:val="21"/>
    </w:rPr>
  </w:style>
  <w:style w:type="character" w:customStyle="1" w:styleId="108">
    <w:name w:val="标题 1 字符"/>
    <w:link w:val="2"/>
    <w:qFormat/>
    <w:uiPriority w:val="0"/>
    <w:rPr>
      <w:rFonts w:ascii="Calibri" w:hAnsi="Calibri" w:eastAsia="宋体" w:cs="Times New Roman"/>
      <w:b/>
      <w:kern w:val="44"/>
      <w:sz w:val="44"/>
    </w:rPr>
  </w:style>
  <w:style w:type="character" w:customStyle="1" w:styleId="109">
    <w:name w:val="标题 2 字符"/>
    <w:link w:val="3"/>
    <w:qFormat/>
    <w:uiPriority w:val="0"/>
    <w:rPr>
      <w:rFonts w:ascii="Arial" w:hAnsi="Arial" w:eastAsia="黑体" w:cs="Times New Roman"/>
      <w:b/>
      <w:sz w:val="32"/>
    </w:rPr>
  </w:style>
  <w:style w:type="character" w:customStyle="1" w:styleId="110">
    <w:name w:val="标题 3 字符"/>
    <w:link w:val="4"/>
    <w:qFormat/>
    <w:uiPriority w:val="0"/>
    <w:rPr>
      <w:rFonts w:ascii="Calibri" w:hAnsi="Calibri" w:eastAsia="宋体" w:cs="Times New Roman"/>
      <w:b/>
      <w:sz w:val="32"/>
    </w:rPr>
  </w:style>
  <w:style w:type="character" w:customStyle="1" w:styleId="111">
    <w:name w:val="标题 4 字符"/>
    <w:link w:val="5"/>
    <w:qFormat/>
    <w:uiPriority w:val="0"/>
    <w:rPr>
      <w:rFonts w:ascii="Arial" w:hAnsi="Arial" w:eastAsia="黑体" w:cs="Times New Roman"/>
      <w:b/>
      <w:bCs/>
      <w:sz w:val="28"/>
      <w:szCs w:val="28"/>
    </w:rPr>
  </w:style>
  <w:style w:type="character" w:customStyle="1" w:styleId="112">
    <w:name w:val="标题 5 字符"/>
    <w:link w:val="6"/>
    <w:qFormat/>
    <w:uiPriority w:val="0"/>
    <w:rPr>
      <w:rFonts w:ascii="Calibri" w:hAnsi="Calibri" w:eastAsia="宋体" w:cs="Times New Roman"/>
      <w:b/>
      <w:bCs/>
      <w:sz w:val="28"/>
      <w:szCs w:val="28"/>
    </w:rPr>
  </w:style>
  <w:style w:type="character" w:customStyle="1" w:styleId="113">
    <w:name w:val="标题 6 字符"/>
    <w:link w:val="7"/>
    <w:qFormat/>
    <w:uiPriority w:val="0"/>
    <w:rPr>
      <w:rFonts w:ascii="Arial" w:hAnsi="Arial" w:eastAsia="黑体" w:cs="Times New Roman"/>
      <w:b/>
      <w:bCs/>
      <w:szCs w:val="24"/>
    </w:rPr>
  </w:style>
  <w:style w:type="character" w:customStyle="1" w:styleId="114">
    <w:name w:val="标题 7 字符"/>
    <w:link w:val="8"/>
    <w:qFormat/>
    <w:uiPriority w:val="0"/>
    <w:rPr>
      <w:rFonts w:ascii="Calibri" w:hAnsi="Calibri" w:eastAsia="宋体" w:cs="Times New Roman"/>
      <w:b/>
      <w:bCs/>
      <w:szCs w:val="24"/>
    </w:rPr>
  </w:style>
  <w:style w:type="character" w:customStyle="1" w:styleId="115">
    <w:name w:val="标题 8 字符"/>
    <w:link w:val="9"/>
    <w:qFormat/>
    <w:uiPriority w:val="0"/>
    <w:rPr>
      <w:rFonts w:ascii="Arial" w:hAnsi="Arial" w:eastAsia="黑体" w:cs="Times New Roman"/>
      <w:szCs w:val="24"/>
    </w:rPr>
  </w:style>
  <w:style w:type="character" w:customStyle="1" w:styleId="116">
    <w:name w:val="标题 9 字符"/>
    <w:link w:val="10"/>
    <w:qFormat/>
    <w:uiPriority w:val="0"/>
    <w:rPr>
      <w:rFonts w:ascii="Arial" w:hAnsi="Arial" w:eastAsia="黑体" w:cs="Times New Roman"/>
      <w:szCs w:val="21"/>
    </w:rPr>
  </w:style>
  <w:style w:type="character" w:customStyle="1" w:styleId="117">
    <w:name w:val="样式1 Char"/>
    <w:qFormat/>
    <w:uiPriority w:val="0"/>
    <w:rPr>
      <w:rFonts w:ascii="宋体" w:eastAsia="宋体"/>
      <w:sz w:val="21"/>
      <w:szCs w:val="21"/>
      <w:lang w:val="en-US" w:eastAsia="zh-CN" w:bidi="ar-SA"/>
    </w:rPr>
  </w:style>
  <w:style w:type="character" w:customStyle="1" w:styleId="118">
    <w:name w:val="h3 Char"/>
    <w:qFormat/>
    <w:uiPriority w:val="0"/>
    <w:rPr>
      <w:rFonts w:eastAsia="宋体"/>
      <w:b/>
      <w:bCs/>
      <w:sz w:val="32"/>
      <w:szCs w:val="32"/>
      <w:lang w:val="en-US" w:eastAsia="zh-CN" w:bidi="ar-SA"/>
    </w:rPr>
  </w:style>
  <w:style w:type="character" w:customStyle="1" w:styleId="119">
    <w:name w:val="批注文字 字符"/>
    <w:link w:val="15"/>
    <w:semiHidden/>
    <w:qFormat/>
    <w:uiPriority w:val="99"/>
    <w:rPr>
      <w:rFonts w:ascii="Calibri" w:hAnsi="Calibri" w:eastAsia="宋体" w:cs="Times New Roman"/>
    </w:rPr>
  </w:style>
  <w:style w:type="character" w:customStyle="1" w:styleId="120">
    <w:name w:val="批注主题 字符"/>
    <w:link w:val="36"/>
    <w:qFormat/>
    <w:uiPriority w:val="0"/>
    <w:rPr>
      <w:rFonts w:ascii="Calibri" w:hAnsi="Calibri" w:eastAsia="宋体" w:cs="Times New Roman"/>
      <w:b/>
      <w:bCs/>
    </w:rPr>
  </w:style>
  <w:style w:type="character" w:customStyle="1" w:styleId="121">
    <w:name w:val="批注框文本 字符"/>
    <w:link w:val="24"/>
    <w:qFormat/>
    <w:uiPriority w:val="0"/>
    <w:rPr>
      <w:rFonts w:ascii="Calibri" w:hAnsi="Calibri" w:eastAsia="宋体" w:cs="Times New Roman"/>
      <w:sz w:val="18"/>
      <w:szCs w:val="18"/>
    </w:rPr>
  </w:style>
  <w:style w:type="character" w:customStyle="1" w:styleId="122">
    <w:name w:val="正文文本缩进 3 字符"/>
    <w:link w:val="30"/>
    <w:qFormat/>
    <w:uiPriority w:val="0"/>
    <w:rPr>
      <w:rFonts w:ascii="Calibri" w:hAnsi="Calibri" w:eastAsia="宋体" w:cs="Times New Roman"/>
      <w:sz w:val="28"/>
    </w:rPr>
  </w:style>
  <w:style w:type="character" w:customStyle="1" w:styleId="123">
    <w:name w:val="文档结构图 字符"/>
    <w:link w:val="14"/>
    <w:qFormat/>
    <w:uiPriority w:val="0"/>
    <w:rPr>
      <w:rFonts w:ascii="Calibri" w:hAnsi="Calibri" w:eastAsia="宋体" w:cs="Times New Roman"/>
      <w:shd w:val="clear" w:color="auto" w:fill="000080"/>
    </w:rPr>
  </w:style>
  <w:style w:type="character" w:customStyle="1" w:styleId="124">
    <w:name w:val="页眉 字符"/>
    <w:link w:val="26"/>
    <w:qFormat/>
    <w:uiPriority w:val="0"/>
    <w:rPr>
      <w:rFonts w:ascii="Calibri" w:hAnsi="Calibri" w:eastAsia="宋体" w:cs="Times New Roman"/>
      <w:sz w:val="18"/>
      <w:szCs w:val="18"/>
    </w:rPr>
  </w:style>
  <w:style w:type="character" w:customStyle="1" w:styleId="125">
    <w:name w:val="日期 字符"/>
    <w:link w:val="22"/>
    <w:qFormat/>
    <w:uiPriority w:val="0"/>
    <w:rPr>
      <w:rFonts w:ascii="Calibri" w:hAnsi="Calibri" w:eastAsia="宋体" w:cs="Times New Roman"/>
    </w:rPr>
  </w:style>
  <w:style w:type="character" w:customStyle="1" w:styleId="126">
    <w:name w:val="正文文本 字符"/>
    <w:link w:val="16"/>
    <w:qFormat/>
    <w:uiPriority w:val="0"/>
    <w:rPr>
      <w:rFonts w:ascii="Calibri" w:hAnsi="Calibri" w:eastAsia="宋体" w:cs="Times New Roman"/>
      <w:sz w:val="28"/>
    </w:rPr>
  </w:style>
  <w:style w:type="character" w:customStyle="1" w:styleId="127">
    <w:name w:val="正文文本 2 字符"/>
    <w:link w:val="33"/>
    <w:qFormat/>
    <w:uiPriority w:val="0"/>
    <w:rPr>
      <w:rFonts w:ascii="Calibri" w:hAnsi="Calibri" w:eastAsia="宋体" w:cs="Times New Roman"/>
    </w:rPr>
  </w:style>
  <w:style w:type="character" w:customStyle="1" w:styleId="128">
    <w:name w:val="页脚 字符"/>
    <w:link w:val="25"/>
    <w:qFormat/>
    <w:uiPriority w:val="99"/>
    <w:rPr>
      <w:rFonts w:ascii="Calibri" w:hAnsi="Calibri" w:eastAsia="宋体" w:cs="Times New Roman"/>
      <w:sz w:val="18"/>
      <w:szCs w:val="18"/>
    </w:rPr>
  </w:style>
  <w:style w:type="character" w:customStyle="1" w:styleId="129">
    <w:name w:val="正文文本缩进 2 字符"/>
    <w:link w:val="23"/>
    <w:qFormat/>
    <w:uiPriority w:val="0"/>
    <w:rPr>
      <w:rFonts w:ascii="宋体" w:hAnsi="Calibri" w:eastAsia="宋体" w:cs="Times New Roman"/>
      <w:szCs w:val="21"/>
    </w:rPr>
  </w:style>
  <w:style w:type="character" w:customStyle="1" w:styleId="130">
    <w:name w:val="正文文本缩进 字符"/>
    <w:link w:val="17"/>
    <w:qFormat/>
    <w:uiPriority w:val="0"/>
    <w:rPr>
      <w:rFonts w:ascii="宋体" w:hAnsi="Calibri" w:eastAsia="宋体" w:cs="Times New Roman"/>
      <w:szCs w:val="21"/>
    </w:rPr>
  </w:style>
  <w:style w:type="character" w:customStyle="1" w:styleId="131">
    <w:name w:val="标题 字符"/>
    <w:link w:val="35"/>
    <w:qFormat/>
    <w:uiPriority w:val="0"/>
    <w:rPr>
      <w:rFonts w:ascii="Cambria" w:hAnsi="Cambria" w:eastAsia="宋体" w:cs="Times New Roman"/>
      <w:b/>
      <w:bCs/>
      <w:sz w:val="32"/>
      <w:szCs w:val="32"/>
    </w:rPr>
  </w:style>
  <w:style w:type="character" w:customStyle="1" w:styleId="132">
    <w:name w:val="0000000000正文 Char"/>
    <w:link w:val="98"/>
    <w:qFormat/>
    <w:uiPriority w:val="0"/>
    <w:rPr>
      <w:rFonts w:ascii="Calibri" w:hAnsi="Calibri"/>
      <w:sz w:val="24"/>
      <w:szCs w:val="24"/>
    </w:rPr>
  </w:style>
  <w:style w:type="character" w:customStyle="1" w:styleId="133">
    <w:name w:val="纯文本 Char1"/>
    <w:semiHidden/>
    <w:qFormat/>
    <w:uiPriority w:val="99"/>
    <w:rPr>
      <w:rFonts w:ascii="宋体" w:hAnsi="Courier New" w:eastAsia="宋体" w:cs="Courier New"/>
      <w:szCs w:val="21"/>
    </w:rPr>
  </w:style>
  <w:style w:type="character" w:customStyle="1" w:styleId="134">
    <w:name w:val="页脚 Char1"/>
    <w:semiHidden/>
    <w:qFormat/>
    <w:uiPriority w:val="99"/>
    <w:rPr>
      <w:sz w:val="18"/>
      <w:szCs w:val="18"/>
    </w:rPr>
  </w:style>
  <w:style w:type="character" w:customStyle="1" w:styleId="135">
    <w:name w:val="product-title-list-view"/>
    <w:basedOn w:val="39"/>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2421</Words>
  <Characters>2575</Characters>
  <Lines>25</Lines>
  <Paragraphs>7</Paragraphs>
  <TotalTime>0</TotalTime>
  <ScaleCrop>false</ScaleCrop>
  <LinksUpToDate>false</LinksUpToDate>
  <CharactersWithSpaces>2583</CharactersWithSpaces>
  <Application>WPS Office_11.1.0.12173_F1E327BC-269C-435d-A152-05C5408002CA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2018-03-30T07:06:00Z</dcterms:created>
  <dc:creator>宋玖</dc:creator>
  <cp:lastModifiedBy>蝈蝈</cp:lastModifiedBy>
  <dcterms:modified xsi:type="dcterms:W3CDTF">2025-07-10T07:19:08Z</dcterms:modified>
  <dc:title>项目名称</dc:title>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2052-11.1.0.12173</vt:lpwstr>
  </property>
  <property fmtid="{D5CDD505-2E9C-101B-9397-08002B2CF9AE}" pid="3" name="KSOTemplateDocerSaveRecord">
    <vt:lpwstr>eyJoZGlkIjoiMjE0ODA4NTg1M2NkYjQxMmEwN2MyMzhhYjZmNGI0NDMiLCJ1c2VySWQiOiI0NDg0NDg3MzkifQ==</vt:lpwstr>
  </property>
  <property fmtid="{D5CDD505-2E9C-101B-9397-08002B2CF9AE}" pid="4" name="ICV">
    <vt:lpwstr>A51A7C9DCE3E4203AA36C3BDF9166CEA_12</vt:lpwstr>
  </property>
</Properties>
</file>