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F896" w14:textId="38590A68" w:rsidR="00405B2A" w:rsidRPr="00642F3B" w:rsidRDefault="003A6E1D" w:rsidP="00405B2A">
      <w:pPr>
        <w:pStyle w:val="Sinespaciado"/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lang w:val="es-GT"/>
        </w:rPr>
      </w:pPr>
      <w:r>
        <w:rPr>
          <w:rFonts w:asciiTheme="majorHAnsi" w:hAnsiTheme="majorHAnsi" w:cstheme="majorHAnsi"/>
          <w:b/>
          <w:lang w:val="es-GT"/>
        </w:rPr>
        <w:t>EJEMPLO 1</w:t>
      </w:r>
      <w:r w:rsidR="00405B2A">
        <w:rPr>
          <w:rFonts w:asciiTheme="majorHAnsi" w:hAnsiTheme="majorHAnsi" w:cstheme="majorHAnsi"/>
          <w:b/>
          <w:lang w:val="es-GT"/>
        </w:rPr>
        <w:t xml:space="preserve">: </w:t>
      </w:r>
      <w:r w:rsidR="0088495C">
        <w:rPr>
          <w:rFonts w:asciiTheme="majorHAnsi" w:hAnsiTheme="majorHAnsi" w:cstheme="majorHAnsi"/>
          <w:b/>
          <w:lang w:val="es-GT"/>
        </w:rPr>
        <w:t>DISTRIBUIDORA NACIONAL</w:t>
      </w:r>
      <w:r w:rsidR="00405B2A" w:rsidRPr="00642F3B">
        <w:rPr>
          <w:rFonts w:asciiTheme="majorHAnsi" w:hAnsiTheme="majorHAnsi" w:cstheme="majorHAnsi"/>
          <w:b/>
          <w:lang w:val="es-GT"/>
        </w:rPr>
        <w:t>, S.A.</w:t>
      </w:r>
    </w:p>
    <w:p w14:paraId="57FF3635" w14:textId="2113F1FD" w:rsidR="00405B2A" w:rsidRPr="00642F3B" w:rsidRDefault="0088495C" w:rsidP="00405B2A">
      <w:pPr>
        <w:pStyle w:val="Sinespaciado"/>
        <w:jc w:val="both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lang w:val="es-GT"/>
        </w:rPr>
        <w:t>Distribuidora Nacional</w:t>
      </w:r>
      <w:r w:rsidR="00405B2A" w:rsidRPr="00642F3B">
        <w:rPr>
          <w:rFonts w:asciiTheme="majorHAnsi" w:hAnsiTheme="majorHAnsi" w:cstheme="majorHAnsi"/>
          <w:lang w:val="es-GT"/>
        </w:rPr>
        <w:t xml:space="preserve">, S.A. es una empresa que se dedica a la comercialización de mercadería de consumo masivo.  A </w:t>
      </w:r>
      <w:r w:rsidR="00D11DA0" w:rsidRPr="00642F3B">
        <w:rPr>
          <w:rFonts w:asciiTheme="majorHAnsi" w:hAnsiTheme="majorHAnsi" w:cstheme="majorHAnsi"/>
          <w:lang w:val="es-GT"/>
        </w:rPr>
        <w:t>continuación,</w:t>
      </w:r>
      <w:r w:rsidR="00405B2A" w:rsidRPr="00642F3B">
        <w:rPr>
          <w:rFonts w:asciiTheme="majorHAnsi" w:hAnsiTheme="majorHAnsi" w:cstheme="majorHAnsi"/>
          <w:lang w:val="es-GT"/>
        </w:rPr>
        <w:t xml:space="preserve"> encontrará las cuentas que conforman el Estado de Resultados y el Balance General para el cierre del año 20</w:t>
      </w:r>
      <w:r w:rsidR="00405B2A">
        <w:rPr>
          <w:rFonts w:asciiTheme="majorHAnsi" w:hAnsiTheme="majorHAnsi" w:cstheme="majorHAnsi"/>
          <w:lang w:val="es-GT"/>
        </w:rPr>
        <w:t>2</w:t>
      </w:r>
      <w:r w:rsidR="003A6E1D">
        <w:rPr>
          <w:rFonts w:asciiTheme="majorHAnsi" w:hAnsiTheme="majorHAnsi" w:cstheme="majorHAnsi"/>
          <w:lang w:val="es-GT"/>
        </w:rPr>
        <w:t>2</w:t>
      </w:r>
      <w:r w:rsidR="00405B2A" w:rsidRPr="00642F3B">
        <w:rPr>
          <w:rFonts w:asciiTheme="majorHAnsi" w:hAnsiTheme="majorHAnsi" w:cstheme="majorHAnsi"/>
          <w:lang w:val="es-GT"/>
        </w:rPr>
        <w:t xml:space="preserve"> </w:t>
      </w:r>
      <w:r w:rsidR="003A6E1D">
        <w:rPr>
          <w:rFonts w:asciiTheme="majorHAnsi" w:hAnsiTheme="majorHAnsi" w:cstheme="majorHAnsi"/>
          <w:lang w:val="es-GT"/>
        </w:rPr>
        <w:t>(expresados en miles de quetzales).</w:t>
      </w:r>
    </w:p>
    <w:tbl>
      <w:tblPr>
        <w:tblW w:w="5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8"/>
        <w:gridCol w:w="1297"/>
      </w:tblGrid>
      <w:tr w:rsidR="00405B2A" w:rsidRPr="00642F3B" w14:paraId="143ECC4F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74CF6292" w14:textId="77777777" w:rsidR="00405B2A" w:rsidRPr="00642F3B" w:rsidRDefault="00405B2A" w:rsidP="00C069D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ES" w:eastAsia="es-ES"/>
              </w:rPr>
              <w:t>Cuentas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53057AA4" w14:textId="77777777" w:rsidR="00405B2A" w:rsidRPr="00642F3B" w:rsidRDefault="00405B2A" w:rsidP="00C069D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s-ES" w:eastAsia="es-ES"/>
              </w:rPr>
              <w:t>Monto</w:t>
            </w:r>
          </w:p>
        </w:tc>
      </w:tr>
      <w:tr w:rsidR="00405B2A" w:rsidRPr="00642F3B" w14:paraId="41697391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4830A74C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Caja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D8EFC15" w14:textId="024D738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</w:t>
            </w:r>
            <w:r w:rsidR="0088495C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2</w:t>
            </w: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5,000.00</w:t>
            </w:r>
          </w:p>
        </w:tc>
      </w:tr>
      <w:tr w:rsidR="00405B2A" w:rsidRPr="00642F3B" w14:paraId="0A02C444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05835586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Bancos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A74B2F9" w14:textId="20F0FA36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</w:t>
            </w:r>
            <w:r w:rsidR="0088495C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1</w:t>
            </w: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0,000.00</w:t>
            </w:r>
          </w:p>
        </w:tc>
      </w:tr>
      <w:tr w:rsidR="00405B2A" w:rsidRPr="00642F3B" w14:paraId="06EFB5B2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273014F5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Inversiones a Largo Plazo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AA0D3F1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Q85,000.00</w:t>
            </w:r>
          </w:p>
        </w:tc>
      </w:tr>
      <w:tr w:rsidR="00405B2A" w:rsidRPr="00642F3B" w14:paraId="4747B665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351A2BEE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Ventas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8142120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Q180,000.00</w:t>
            </w:r>
          </w:p>
        </w:tc>
      </w:tr>
      <w:tr w:rsidR="00405B2A" w:rsidRPr="00642F3B" w14:paraId="1AE0B5DD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252D1E81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Clientes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EF7FE39" w14:textId="569A0FF4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</w:t>
            </w:r>
            <w:r w:rsidR="0088495C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2</w:t>
            </w: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5,000.00</w:t>
            </w:r>
          </w:p>
        </w:tc>
      </w:tr>
      <w:tr w:rsidR="00405B2A" w:rsidRPr="00642F3B" w14:paraId="75353EF3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</w:tcPr>
          <w:p w14:paraId="39AD9B01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Documentos por Pagar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54204649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Q1,300.00</w:t>
            </w:r>
          </w:p>
        </w:tc>
      </w:tr>
      <w:tr w:rsidR="00405B2A" w:rsidRPr="00642F3B" w14:paraId="1A5486FC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16BCE7B7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Anticipo de Impuestos y Contribuciones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8121FA2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Q1,800.00</w:t>
            </w:r>
          </w:p>
        </w:tc>
      </w:tr>
      <w:tr w:rsidR="00405B2A" w:rsidRPr="00642F3B" w14:paraId="5000058F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37CB3210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Cuentas por Cobrar (Colaboradores)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94C525A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Q600.00</w:t>
            </w:r>
          </w:p>
        </w:tc>
      </w:tr>
      <w:tr w:rsidR="00405B2A" w:rsidRPr="00642F3B" w14:paraId="19331D48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2BE22800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Inventario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E2554CE" w14:textId="4207E4A1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</w:t>
            </w:r>
            <w:r w:rsidR="0088495C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2</w:t>
            </w: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5,000.00</w:t>
            </w:r>
          </w:p>
        </w:tc>
      </w:tr>
      <w:tr w:rsidR="00405B2A" w:rsidRPr="00642F3B" w14:paraId="14444E06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58F720B5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Construcciones y Edificaciones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BAE9985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Q80,000.00</w:t>
            </w:r>
          </w:p>
        </w:tc>
      </w:tr>
      <w:tr w:rsidR="00405B2A" w:rsidRPr="00642F3B" w14:paraId="320B046C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1B71F354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Equipos de Oficina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D90AB5D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Q15,000.00</w:t>
            </w:r>
          </w:p>
        </w:tc>
      </w:tr>
      <w:tr w:rsidR="00405B2A" w:rsidRPr="00642F3B" w14:paraId="3625D5E2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</w:tcPr>
          <w:p w14:paraId="6BB583F7" w14:textId="32F9AC25" w:rsidR="00405B2A" w:rsidRPr="00642F3B" w:rsidRDefault="003A6E1D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Sueldo Administrativo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2D9487AD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Q3,000.00</w:t>
            </w:r>
          </w:p>
        </w:tc>
      </w:tr>
      <w:tr w:rsidR="00405B2A" w:rsidRPr="00642F3B" w14:paraId="3D7D5F65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648B175D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Equipos de Cómputo y Comunicación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70C49F0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Q3,500.00</w:t>
            </w:r>
          </w:p>
        </w:tc>
      </w:tr>
      <w:tr w:rsidR="00405B2A" w:rsidRPr="00642F3B" w14:paraId="4CDD8B15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0DC16C0D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Depreciación Acumulada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505AF7B4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Q18,000.00</w:t>
            </w:r>
          </w:p>
        </w:tc>
      </w:tr>
      <w:tr w:rsidR="00405B2A" w:rsidRPr="00642F3B" w14:paraId="61BAF23C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6A2D8489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Gastos Pagados por Anticipado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F4268CA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Q1,700.00</w:t>
            </w:r>
          </w:p>
        </w:tc>
      </w:tr>
      <w:tr w:rsidR="00405B2A" w:rsidRPr="00642F3B" w14:paraId="44D2294D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5BEBD484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Cargos Diferidos – Papelería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144BB4D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Q1,300.00</w:t>
            </w:r>
          </w:p>
        </w:tc>
      </w:tr>
      <w:tr w:rsidR="00405B2A" w:rsidRPr="00642F3B" w14:paraId="5EFD958B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4D874EE2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Obligaciones Financieras de Largo Plazo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5AEA0639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Q21,000.00</w:t>
            </w:r>
          </w:p>
        </w:tc>
      </w:tr>
      <w:tr w:rsidR="00405B2A" w:rsidRPr="00642F3B" w14:paraId="28EF0072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415ED15C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Proveedores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D92846B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Q25,000.00</w:t>
            </w:r>
          </w:p>
        </w:tc>
      </w:tr>
      <w:tr w:rsidR="00405B2A" w:rsidRPr="00642F3B" w14:paraId="67A21E3E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73F0EDC0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Costos y Gastos por Pagar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CDDE4DE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Q1,800.00</w:t>
            </w:r>
          </w:p>
        </w:tc>
      </w:tr>
      <w:tr w:rsidR="00405B2A" w:rsidRPr="00642F3B" w14:paraId="0F2D005A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516F2BA1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Impuesto sobre ventas por pagar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30E9AA0A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Q1,500.00</w:t>
            </w:r>
          </w:p>
        </w:tc>
      </w:tr>
      <w:tr w:rsidR="00405B2A" w:rsidRPr="00642F3B" w14:paraId="0656E391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4C733172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Salarios por Pagar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A3CB774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Q2,500.00</w:t>
            </w:r>
          </w:p>
        </w:tc>
      </w:tr>
      <w:tr w:rsidR="00405B2A" w:rsidRPr="00642F3B" w14:paraId="509F22EE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4E64E00E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Provisión Prestaciones Laborales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EF463A3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Q1,600.00</w:t>
            </w:r>
          </w:p>
        </w:tc>
      </w:tr>
      <w:tr w:rsidR="00405B2A" w:rsidRPr="00642F3B" w14:paraId="7564F878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040BDF94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Aportes Sociales Capital Común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568CDF72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Q339,150.00</w:t>
            </w:r>
          </w:p>
        </w:tc>
      </w:tr>
      <w:tr w:rsidR="00405B2A" w:rsidRPr="00642F3B" w14:paraId="47BC9F92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3D9D0E8D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Reserva Legal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D4413E9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Q650.00</w:t>
            </w:r>
          </w:p>
        </w:tc>
      </w:tr>
      <w:tr w:rsidR="00405B2A" w:rsidRPr="00642F3B" w14:paraId="3DA3A4C8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2A427A48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Utilidades Acumuladas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 xml:space="preserve"> (Período anterior)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5359F89E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Q18,000.00</w:t>
            </w:r>
          </w:p>
        </w:tc>
      </w:tr>
      <w:tr w:rsidR="00405B2A" w:rsidRPr="00642F3B" w14:paraId="6E1D2ECB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49F56F43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Devoluciones en Ventas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7BA38AD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Q15,000.00</w:t>
            </w:r>
          </w:p>
        </w:tc>
      </w:tr>
      <w:tr w:rsidR="00405B2A" w:rsidRPr="00642F3B" w14:paraId="0CE29095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70991BCD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Préstamos Hipotecario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3CCC83A1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Q10,912.50</w:t>
            </w:r>
          </w:p>
        </w:tc>
      </w:tr>
      <w:tr w:rsidR="00405B2A" w:rsidRPr="00642F3B" w14:paraId="2F64904A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6AD1567A" w14:textId="476C617D" w:rsidR="00405B2A" w:rsidRPr="00642F3B" w:rsidRDefault="003A6E1D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Sueldos de Vendedores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BEF88EB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Q5,000.00</w:t>
            </w:r>
          </w:p>
        </w:tc>
      </w:tr>
      <w:tr w:rsidR="00405B2A" w:rsidRPr="00642F3B" w14:paraId="176EB200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40003688" w14:textId="181A9B70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Arrendamiento</w:t>
            </w:r>
            <w:r w:rsidR="003A6E1D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 xml:space="preserve"> de Oficina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338DC77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Q2,500.00</w:t>
            </w:r>
          </w:p>
        </w:tc>
      </w:tr>
      <w:tr w:rsidR="00405B2A" w:rsidRPr="00642F3B" w14:paraId="4D8A30FF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0CAF6BA4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Seguros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0C12A8D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Q300.00</w:t>
            </w:r>
          </w:p>
        </w:tc>
      </w:tr>
      <w:tr w:rsidR="00405B2A" w:rsidRPr="00642F3B" w14:paraId="5AC67C44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4986954E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Servicios pagados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B1AB60A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Q950.00</w:t>
            </w:r>
          </w:p>
        </w:tc>
      </w:tr>
      <w:tr w:rsidR="00405B2A" w:rsidRPr="00642F3B" w14:paraId="213325F1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0B9A265B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Depreciación del período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33BE28E2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Q650.00</w:t>
            </w:r>
          </w:p>
        </w:tc>
      </w:tr>
      <w:tr w:rsidR="00405B2A" w:rsidRPr="00642F3B" w14:paraId="0D540CF3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42435F19" w14:textId="2BEA28C5" w:rsidR="00405B2A" w:rsidRPr="00642F3B" w:rsidRDefault="003A6E1D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Viáticos de vendedores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DA4260A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Q1,950.00</w:t>
            </w:r>
          </w:p>
        </w:tc>
      </w:tr>
      <w:tr w:rsidR="00405B2A" w:rsidRPr="00642F3B" w14:paraId="7CDCA141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  <w:hideMark/>
          </w:tcPr>
          <w:p w14:paraId="6C818C68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Costo de ventas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0F47295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Q114,000.00</w:t>
            </w:r>
          </w:p>
        </w:tc>
      </w:tr>
      <w:tr w:rsidR="00405B2A" w:rsidRPr="00642F3B" w14:paraId="179A8C55" w14:textId="77777777" w:rsidTr="00C069D5">
        <w:trPr>
          <w:trHeight w:val="300"/>
          <w:jc w:val="center"/>
        </w:trPr>
        <w:tc>
          <w:tcPr>
            <w:tcW w:w="4098" w:type="dxa"/>
            <w:shd w:val="clear" w:color="auto" w:fill="auto"/>
            <w:noWrap/>
            <w:vAlign w:val="bottom"/>
          </w:tcPr>
          <w:p w14:paraId="372346BB" w14:textId="77777777" w:rsidR="00405B2A" w:rsidRPr="00642F3B" w:rsidRDefault="00405B2A" w:rsidP="00C069D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Flota y Equipo de Transporte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5F5D412F" w14:textId="77777777" w:rsidR="00405B2A" w:rsidRPr="00642F3B" w:rsidRDefault="00405B2A" w:rsidP="00C069D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642F3B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>Q95,000.00</w:t>
            </w:r>
          </w:p>
        </w:tc>
      </w:tr>
    </w:tbl>
    <w:p w14:paraId="1F064DB5" w14:textId="77777777" w:rsidR="00405B2A" w:rsidRPr="00642F3B" w:rsidRDefault="00405B2A" w:rsidP="00D11DA0">
      <w:pPr>
        <w:spacing w:after="0" w:line="240" w:lineRule="auto"/>
        <w:ind w:left="354"/>
        <w:rPr>
          <w:rFonts w:asciiTheme="majorHAnsi" w:hAnsiTheme="majorHAnsi" w:cstheme="majorHAnsi"/>
          <w:sz w:val="10"/>
          <w:szCs w:val="10"/>
          <w:lang w:val="es-GT"/>
        </w:rPr>
      </w:pPr>
    </w:p>
    <w:p w14:paraId="4FDFCE67" w14:textId="7FF91566" w:rsidR="00405B2A" w:rsidRPr="00642F3B" w:rsidRDefault="00405B2A" w:rsidP="00D11DA0">
      <w:pPr>
        <w:numPr>
          <w:ilvl w:val="0"/>
          <w:numId w:val="5"/>
        </w:numPr>
        <w:spacing w:after="0" w:line="240" w:lineRule="auto"/>
        <w:ind w:left="360"/>
        <w:rPr>
          <w:rFonts w:asciiTheme="majorHAnsi" w:hAnsiTheme="majorHAnsi" w:cstheme="majorHAnsi"/>
          <w:lang w:val="es-GT"/>
        </w:rPr>
      </w:pPr>
      <w:r w:rsidRPr="00642F3B">
        <w:rPr>
          <w:rFonts w:asciiTheme="majorHAnsi" w:hAnsiTheme="majorHAnsi" w:cstheme="majorHAnsi"/>
          <w:lang w:val="es-GT"/>
        </w:rPr>
        <w:t>Elabore el Estado de Resultados para el año 20</w:t>
      </w:r>
      <w:r>
        <w:rPr>
          <w:rFonts w:asciiTheme="majorHAnsi" w:hAnsiTheme="majorHAnsi" w:cstheme="majorHAnsi"/>
          <w:lang w:val="es-GT"/>
        </w:rPr>
        <w:t>2</w:t>
      </w:r>
      <w:r w:rsidR="003A6E1D">
        <w:rPr>
          <w:rFonts w:asciiTheme="majorHAnsi" w:hAnsiTheme="majorHAnsi" w:cstheme="majorHAnsi"/>
          <w:lang w:val="es-GT"/>
        </w:rPr>
        <w:t>2</w:t>
      </w:r>
    </w:p>
    <w:p w14:paraId="50C9835F" w14:textId="322BAD61" w:rsidR="00FB63A0" w:rsidRPr="008A298A" w:rsidRDefault="00405B2A" w:rsidP="00D11DA0">
      <w:pPr>
        <w:numPr>
          <w:ilvl w:val="0"/>
          <w:numId w:val="5"/>
        </w:numPr>
        <w:spacing w:after="0" w:line="240" w:lineRule="auto"/>
        <w:ind w:left="360"/>
        <w:rPr>
          <w:rFonts w:asciiTheme="majorHAnsi" w:eastAsia="Times New Roman" w:hAnsiTheme="majorHAnsi" w:cstheme="majorHAnsi"/>
          <w:szCs w:val="20"/>
          <w:lang w:val="es-GT" w:eastAsia="es-GT"/>
        </w:rPr>
      </w:pPr>
      <w:r w:rsidRPr="00405B2A">
        <w:rPr>
          <w:rFonts w:asciiTheme="majorHAnsi" w:hAnsiTheme="majorHAnsi" w:cstheme="majorHAnsi"/>
          <w:lang w:val="es-GT"/>
        </w:rPr>
        <w:t>Elabore el Balance General para el año 202</w:t>
      </w:r>
      <w:r w:rsidR="003A6E1D">
        <w:rPr>
          <w:rFonts w:asciiTheme="majorHAnsi" w:hAnsiTheme="majorHAnsi" w:cstheme="majorHAnsi"/>
          <w:lang w:val="es-GT"/>
        </w:rPr>
        <w:t>2</w:t>
      </w:r>
    </w:p>
    <w:p w14:paraId="6C0DCCFF" w14:textId="759AA4B8" w:rsidR="008A298A" w:rsidRPr="008A298A" w:rsidRDefault="003A6E1D" w:rsidP="008A298A">
      <w:pPr>
        <w:pStyle w:val="Prrafodelista"/>
        <w:numPr>
          <w:ilvl w:val="0"/>
          <w:numId w:val="5"/>
        </w:numPr>
        <w:spacing w:after="160" w:line="259" w:lineRule="auto"/>
        <w:ind w:left="284" w:hanging="284"/>
        <w:rPr>
          <w:rFonts w:asciiTheme="majorHAnsi" w:eastAsia="Times New Roman" w:hAnsiTheme="majorHAnsi" w:cstheme="majorHAnsi"/>
          <w:szCs w:val="20"/>
          <w:lang w:val="es-GT" w:eastAsia="es-GT"/>
        </w:rPr>
      </w:pPr>
      <w:r>
        <w:rPr>
          <w:rFonts w:asciiTheme="majorHAnsi" w:eastAsia="Times New Roman" w:hAnsiTheme="majorHAnsi" w:cstheme="majorHAnsi"/>
          <w:szCs w:val="20"/>
          <w:lang w:val="es-GT" w:eastAsia="es-GT"/>
        </w:rPr>
        <w:t xml:space="preserve"> </w:t>
      </w:r>
      <w:r w:rsidR="008A298A" w:rsidRPr="008A298A">
        <w:rPr>
          <w:rFonts w:asciiTheme="majorHAnsi" w:eastAsia="Times New Roman" w:hAnsiTheme="majorHAnsi" w:cstheme="majorHAnsi"/>
          <w:szCs w:val="20"/>
          <w:lang w:val="es-GT" w:eastAsia="es-GT"/>
        </w:rPr>
        <w:t xml:space="preserve">La empresa esperaba obtener un </w:t>
      </w:r>
      <w:r>
        <w:rPr>
          <w:rFonts w:asciiTheme="majorHAnsi" w:eastAsia="Times New Roman" w:hAnsiTheme="majorHAnsi" w:cstheme="majorHAnsi"/>
          <w:szCs w:val="20"/>
          <w:lang w:val="es-GT" w:eastAsia="es-GT"/>
        </w:rPr>
        <w:t>10</w:t>
      </w:r>
      <w:r w:rsidR="008A298A" w:rsidRPr="008A298A">
        <w:rPr>
          <w:rFonts w:asciiTheme="majorHAnsi" w:eastAsia="Times New Roman" w:hAnsiTheme="majorHAnsi" w:cstheme="majorHAnsi"/>
          <w:szCs w:val="20"/>
          <w:lang w:val="es-GT" w:eastAsia="es-GT"/>
        </w:rPr>
        <w:t>% de utilidad neta en el período.  Indique si alcanzó la meta.</w:t>
      </w:r>
    </w:p>
    <w:p w14:paraId="449D9299" w14:textId="3B74BB3E" w:rsidR="008A298A" w:rsidRPr="003A6E1D" w:rsidRDefault="008A298A" w:rsidP="003A6E1D">
      <w:pPr>
        <w:pStyle w:val="Prrafodelista"/>
        <w:numPr>
          <w:ilvl w:val="0"/>
          <w:numId w:val="5"/>
        </w:numPr>
        <w:spacing w:after="0" w:line="240" w:lineRule="auto"/>
        <w:ind w:left="360"/>
        <w:rPr>
          <w:rFonts w:asciiTheme="majorHAnsi" w:eastAsia="Times New Roman" w:hAnsiTheme="majorHAnsi" w:cstheme="majorHAnsi"/>
          <w:szCs w:val="20"/>
          <w:lang w:val="es-GT" w:eastAsia="es-GT"/>
        </w:rPr>
      </w:pPr>
      <w:r w:rsidRPr="003A6E1D">
        <w:rPr>
          <w:rFonts w:asciiTheme="majorHAnsi" w:eastAsia="Times New Roman" w:hAnsiTheme="majorHAnsi" w:cstheme="majorHAnsi"/>
          <w:szCs w:val="20"/>
          <w:lang w:val="es-GT" w:eastAsia="es-GT"/>
        </w:rPr>
        <w:t>Indique la composición de las fuentes de financiamiento de largo plazo de la empresa.</w:t>
      </w:r>
    </w:p>
    <w:sectPr w:rsidR="008A298A" w:rsidRPr="003A6E1D" w:rsidSect="00FB63A0">
      <w:footerReference w:type="default" r:id="rId7"/>
      <w:pgSz w:w="12240" w:h="15840"/>
      <w:pgMar w:top="851" w:right="1701" w:bottom="1417" w:left="1701" w:header="708" w:footer="708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nThickSmallGap" w:sz="24" w:space="24" w:color="70AD47" w:themeColor="accent6"/>
        <w:right w:val="thinThickSmallGap" w:sz="24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7AD4" w14:textId="77777777" w:rsidR="001D1980" w:rsidRDefault="001D1980" w:rsidP="007E2425">
      <w:pPr>
        <w:spacing w:after="0" w:line="240" w:lineRule="auto"/>
      </w:pPr>
      <w:r>
        <w:separator/>
      </w:r>
    </w:p>
  </w:endnote>
  <w:endnote w:type="continuationSeparator" w:id="0">
    <w:p w14:paraId="646953BF" w14:textId="77777777" w:rsidR="001D1980" w:rsidRDefault="001D1980" w:rsidP="007E2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79F0" w14:textId="3848D901" w:rsidR="00FB63A0" w:rsidRPr="00156187" w:rsidRDefault="00FB63A0" w:rsidP="00FB63A0">
    <w:pPr>
      <w:pStyle w:val="Piedepgina"/>
      <w:jc w:val="center"/>
      <w:rPr>
        <w:b/>
        <w:lang w:val="es-GT"/>
      </w:rPr>
    </w:pPr>
    <w:r w:rsidRPr="00156187">
      <w:rPr>
        <w:b/>
        <w:lang w:val="es-GT"/>
      </w:rPr>
      <w:t>FUNDAMENTOS DE ADMINISTRACIÓN Y ANÁLISIS FINANCIERO, 202</w:t>
    </w:r>
    <w:r w:rsidR="003A6E1D">
      <w:rPr>
        <w:b/>
        <w:lang w:val="es-GT"/>
      </w:rPr>
      <w:t>3</w:t>
    </w:r>
  </w:p>
  <w:p w14:paraId="52C69BD5" w14:textId="2E59D5A7" w:rsidR="007E2425" w:rsidRPr="00FB63A0" w:rsidRDefault="00FB63A0" w:rsidP="00FB63A0">
    <w:pPr>
      <w:pStyle w:val="Piedepgina"/>
      <w:jc w:val="center"/>
      <w:rPr>
        <w:b/>
        <w:bCs/>
        <w:lang w:val="es-MX"/>
      </w:rPr>
    </w:pPr>
    <w:r w:rsidRPr="00FB63A0">
      <w:rPr>
        <w:b/>
        <w:bCs/>
        <w:lang w:val="es-MX"/>
      </w:rPr>
      <w:t>PREPARADO POR: VANESSA PAZ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111F" w14:textId="77777777" w:rsidR="001D1980" w:rsidRDefault="001D1980" w:rsidP="007E2425">
      <w:pPr>
        <w:spacing w:after="0" w:line="240" w:lineRule="auto"/>
      </w:pPr>
      <w:r>
        <w:separator/>
      </w:r>
    </w:p>
  </w:footnote>
  <w:footnote w:type="continuationSeparator" w:id="0">
    <w:p w14:paraId="660CD911" w14:textId="77777777" w:rsidR="001D1980" w:rsidRDefault="001D1980" w:rsidP="007E2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010"/>
    <w:multiLevelType w:val="hybridMultilevel"/>
    <w:tmpl w:val="3424D13A"/>
    <w:lvl w:ilvl="0" w:tplc="6D8E7C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A3869"/>
    <w:multiLevelType w:val="hybridMultilevel"/>
    <w:tmpl w:val="8A149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28E8"/>
    <w:multiLevelType w:val="hybridMultilevel"/>
    <w:tmpl w:val="25D4845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84E0D"/>
    <w:multiLevelType w:val="hybridMultilevel"/>
    <w:tmpl w:val="BC188864"/>
    <w:lvl w:ilvl="0" w:tplc="1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076D6"/>
    <w:multiLevelType w:val="multilevel"/>
    <w:tmpl w:val="807A3B3E"/>
    <w:lvl w:ilvl="0">
      <w:start w:val="735"/>
      <w:numFmt w:val="decimal"/>
      <w:lvlText w:val="%1.0"/>
      <w:lvlJc w:val="left"/>
      <w:pPr>
        <w:ind w:left="1032" w:hanging="588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40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8" w:hanging="1440"/>
      </w:pPr>
      <w:rPr>
        <w:rFonts w:hint="default"/>
      </w:rPr>
    </w:lvl>
  </w:abstractNum>
  <w:num w:numId="1" w16cid:durableId="110249351">
    <w:abstractNumId w:val="0"/>
  </w:num>
  <w:num w:numId="2" w16cid:durableId="466053215">
    <w:abstractNumId w:val="4"/>
  </w:num>
  <w:num w:numId="3" w16cid:durableId="194316985">
    <w:abstractNumId w:val="3"/>
  </w:num>
  <w:num w:numId="4" w16cid:durableId="1238249449">
    <w:abstractNumId w:val="1"/>
  </w:num>
  <w:num w:numId="5" w16cid:durableId="979769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25"/>
    <w:rsid w:val="00156187"/>
    <w:rsid w:val="001D1980"/>
    <w:rsid w:val="003A6E1D"/>
    <w:rsid w:val="003B6A92"/>
    <w:rsid w:val="00405B2A"/>
    <w:rsid w:val="004B0A87"/>
    <w:rsid w:val="0067080F"/>
    <w:rsid w:val="007E2425"/>
    <w:rsid w:val="0088495C"/>
    <w:rsid w:val="008A298A"/>
    <w:rsid w:val="00920738"/>
    <w:rsid w:val="00961C8F"/>
    <w:rsid w:val="00962689"/>
    <w:rsid w:val="00A24A07"/>
    <w:rsid w:val="00CD2A1E"/>
    <w:rsid w:val="00CE0506"/>
    <w:rsid w:val="00D11DA0"/>
    <w:rsid w:val="00F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15F1C"/>
  <w15:chartTrackingRefBased/>
  <w15:docId w15:val="{F9C85E0B-A3E4-4016-8FCA-6A894B66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24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425"/>
  </w:style>
  <w:style w:type="paragraph" w:styleId="Piedepgina">
    <w:name w:val="footer"/>
    <w:basedOn w:val="Normal"/>
    <w:link w:val="PiedepginaCar"/>
    <w:uiPriority w:val="99"/>
    <w:unhideWhenUsed/>
    <w:rsid w:val="007E24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425"/>
  </w:style>
  <w:style w:type="paragraph" w:styleId="Prrafodelista">
    <w:name w:val="List Paragraph"/>
    <w:basedOn w:val="Normal"/>
    <w:uiPriority w:val="34"/>
    <w:qFormat/>
    <w:rsid w:val="00FB63A0"/>
    <w:pPr>
      <w:ind w:left="720"/>
      <w:contextualSpacing/>
    </w:pPr>
  </w:style>
  <w:style w:type="paragraph" w:styleId="Sinespaciado">
    <w:name w:val="No Spacing"/>
    <w:uiPriority w:val="1"/>
    <w:qFormat/>
    <w:rsid w:val="00405B2A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</dc:creator>
  <cp:keywords/>
  <dc:description/>
  <cp:lastModifiedBy>Mariel  Paz</cp:lastModifiedBy>
  <cp:revision>3</cp:revision>
  <dcterms:created xsi:type="dcterms:W3CDTF">2023-01-19T00:45:00Z</dcterms:created>
  <dcterms:modified xsi:type="dcterms:W3CDTF">2023-01-19T00:47:00Z</dcterms:modified>
</cp:coreProperties>
</file>