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9"/>
        <w:ind w:left="3771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LICDA.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VANESSA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PAZ, FUNDAMENTOS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DE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ADMON.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Y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ANÁLISIS</w:t>
      </w:r>
      <w:r>
        <w:rPr>
          <w:rFonts w:ascii="Times New Roman" w:hAnsi="Times New Roman"/>
          <w:i/>
          <w:spacing w:val="-3"/>
          <w:sz w:val="20"/>
        </w:rPr>
        <w:t> </w:t>
      </w:r>
      <w:r>
        <w:rPr>
          <w:rFonts w:ascii="Times New Roman" w:hAnsi="Times New Roman"/>
          <w:i/>
          <w:sz w:val="20"/>
        </w:rPr>
        <w:t>FINANCIERO</w:t>
      </w:r>
    </w:p>
    <w:p>
      <w:pPr>
        <w:pStyle w:val="BodyText"/>
        <w:rPr>
          <w:rFonts w:ascii="Times New Roman"/>
          <w:i/>
        </w:rPr>
      </w:pPr>
    </w:p>
    <w:p>
      <w:pPr>
        <w:pStyle w:val="BodyText"/>
        <w:rPr>
          <w:rFonts w:ascii="Times New Roman"/>
          <w:i/>
        </w:rPr>
      </w:pPr>
    </w:p>
    <w:p>
      <w:pPr>
        <w:pStyle w:val="BodyText"/>
        <w:spacing w:before="1"/>
        <w:rPr>
          <w:rFonts w:ascii="Times New Roman"/>
          <w:i/>
          <w:sz w:val="30"/>
        </w:rPr>
      </w:pPr>
    </w:p>
    <w:p>
      <w:pPr>
        <w:pStyle w:val="Title"/>
      </w:pPr>
      <w:r>
        <w:rPr/>
        <w:t>MINI</w:t>
      </w:r>
      <w:r>
        <w:rPr>
          <w:spacing w:val="1"/>
        </w:rPr>
        <w:t> </w:t>
      </w:r>
      <w:r>
        <w:rPr/>
        <w:t>CASO</w:t>
      </w:r>
      <w:r>
        <w:rPr>
          <w:spacing w:val="1"/>
        </w:rPr>
        <w:t> </w:t>
      </w:r>
      <w:r>
        <w:rPr/>
        <w:t>1:</w:t>
      </w:r>
    </w:p>
    <w:p>
      <w:pPr>
        <w:pStyle w:val="BodyText"/>
        <w:spacing w:before="9"/>
        <w:rPr>
          <w:rFonts w:ascii="Calibri Light"/>
          <w:sz w:val="24"/>
        </w:rPr>
      </w:pPr>
    </w:p>
    <w:p>
      <w:pPr>
        <w:pStyle w:val="BodyText"/>
        <w:ind w:left="468"/>
      </w:pPr>
      <w:r>
        <w:rPr/>
        <w:t>Cierta</w:t>
      </w:r>
      <w:r>
        <w:rPr>
          <w:spacing w:val="27"/>
        </w:rPr>
        <w:t> </w:t>
      </w:r>
      <w:r>
        <w:rPr/>
        <w:t>empresa,</w:t>
      </w:r>
      <w:r>
        <w:rPr>
          <w:spacing w:val="27"/>
        </w:rPr>
        <w:t> </w:t>
      </w:r>
      <w:r>
        <w:rPr/>
        <w:t>reunió</w:t>
      </w:r>
      <w:r>
        <w:rPr>
          <w:spacing w:val="32"/>
        </w:rPr>
        <w:t> </w:t>
      </w:r>
      <w:r>
        <w:rPr/>
        <w:t>los</w:t>
      </w:r>
      <w:r>
        <w:rPr>
          <w:spacing w:val="27"/>
        </w:rPr>
        <w:t> </w:t>
      </w:r>
      <w:r>
        <w:rPr/>
        <w:t>datos</w:t>
      </w:r>
      <w:r>
        <w:rPr>
          <w:spacing w:val="30"/>
        </w:rPr>
        <w:t> </w:t>
      </w:r>
      <w:r>
        <w:rPr/>
        <w:t>que</w:t>
      </w:r>
      <w:r>
        <w:rPr>
          <w:spacing w:val="28"/>
        </w:rPr>
        <w:t> </w:t>
      </w:r>
      <w:r>
        <w:rPr/>
        <w:t>presenta</w:t>
      </w:r>
      <w:r>
        <w:rPr>
          <w:spacing w:val="31"/>
        </w:rPr>
        <w:t> </w:t>
      </w:r>
      <w:r>
        <w:rPr/>
        <w:t>la</w:t>
      </w:r>
      <w:r>
        <w:rPr>
          <w:spacing w:val="27"/>
        </w:rPr>
        <w:t> </w:t>
      </w:r>
      <w:r>
        <w:rPr/>
        <w:t>tabla</w:t>
      </w:r>
      <w:r>
        <w:rPr>
          <w:spacing w:val="30"/>
        </w:rPr>
        <w:t> </w:t>
      </w:r>
      <w:r>
        <w:rPr/>
        <w:t>siguiente</w:t>
      </w:r>
      <w:r>
        <w:rPr>
          <w:spacing w:val="28"/>
        </w:rPr>
        <w:t> </w:t>
      </w:r>
      <w:r>
        <w:rPr/>
        <w:t>para</w:t>
      </w:r>
      <w:r>
        <w:rPr>
          <w:spacing w:val="27"/>
        </w:rPr>
        <w:t> </w:t>
      </w:r>
      <w:r>
        <w:rPr/>
        <w:t>calcular</w:t>
      </w:r>
      <w:r>
        <w:rPr>
          <w:spacing w:val="26"/>
        </w:rPr>
        <w:t> </w:t>
      </w:r>
      <w:r>
        <w:rPr/>
        <w:t>los</w:t>
      </w:r>
      <w:r>
        <w:rPr>
          <w:spacing w:val="28"/>
        </w:rPr>
        <w:t> </w:t>
      </w:r>
      <w:r>
        <w:rPr/>
        <w:t>costos</w:t>
      </w:r>
      <w:r>
        <w:rPr>
          <w:spacing w:val="27"/>
        </w:rPr>
        <w:t> </w:t>
      </w:r>
      <w:r>
        <w:rPr/>
        <w:t>actuales</w:t>
      </w:r>
      <w:r>
        <w:rPr>
          <w:spacing w:val="31"/>
        </w:rPr>
        <w:t> </w:t>
      </w:r>
      <w:r>
        <w:rPr/>
        <w:t>de</w:t>
      </w:r>
      <w:r>
        <w:rPr>
          <w:spacing w:val="30"/>
        </w:rPr>
        <w:t> </w:t>
      </w:r>
      <w:r>
        <w:rPr/>
        <w:t>sus</w:t>
      </w:r>
      <w:r>
        <w:rPr>
          <w:spacing w:val="30"/>
        </w:rPr>
        <w:t> </w:t>
      </w:r>
      <w:r>
        <w:rPr/>
        <w:t>tres</w:t>
      </w:r>
      <w:r>
        <w:rPr>
          <w:spacing w:val="-47"/>
        </w:rPr>
        <w:t> </w:t>
      </w:r>
      <w:r>
        <w:rPr/>
        <w:t>fuentes</w:t>
      </w:r>
      <w:r>
        <w:rPr>
          <w:spacing w:val="-1"/>
        </w:rPr>
        <w:t> </w:t>
      </w:r>
      <w:r>
        <w:rPr/>
        <w:t>básicas de</w:t>
      </w:r>
      <w:r>
        <w:rPr>
          <w:spacing w:val="-2"/>
        </w:rPr>
        <w:t> </w:t>
      </w:r>
      <w:r>
        <w:rPr/>
        <w:t>capital para diversos</w:t>
      </w:r>
      <w:r>
        <w:rPr>
          <w:spacing w:val="-3"/>
        </w:rPr>
        <w:t> </w:t>
      </w:r>
      <w:r>
        <w:rPr/>
        <w:t>intervalos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nuevo</w:t>
      </w:r>
      <w:r>
        <w:rPr>
          <w:spacing w:val="-3"/>
        </w:rPr>
        <w:t> </w:t>
      </w:r>
      <w:r>
        <w:rPr/>
        <w:t>financiamiento.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1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5"/>
        <w:gridCol w:w="3214"/>
        <w:gridCol w:w="2609"/>
      </w:tblGrid>
      <w:tr>
        <w:trPr>
          <w:trHeight w:val="537" w:hRule="atLeast"/>
        </w:trPr>
        <w:tc>
          <w:tcPr>
            <w:tcW w:w="2345" w:type="dxa"/>
          </w:tcPr>
          <w:p>
            <w:pPr>
              <w:pStyle w:val="TableParagraph"/>
              <w:spacing w:line="240" w:lineRule="auto" w:before="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Fuente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Capital</w:t>
            </w:r>
          </w:p>
        </w:tc>
        <w:tc>
          <w:tcPr>
            <w:tcW w:w="3214" w:type="dxa"/>
          </w:tcPr>
          <w:p>
            <w:pPr>
              <w:pStyle w:val="TableParagraph"/>
              <w:spacing w:line="267" w:lineRule="exact" w:before="1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Intervalo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Nuevo</w:t>
            </w:r>
          </w:p>
          <w:p>
            <w:pPr>
              <w:pStyle w:val="TableParagraph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Financiamiento</w:t>
            </w:r>
          </w:p>
        </w:tc>
        <w:tc>
          <w:tcPr>
            <w:tcW w:w="2609" w:type="dxa"/>
          </w:tcPr>
          <w:p>
            <w:pPr>
              <w:pStyle w:val="TableParagraph"/>
              <w:spacing w:line="267" w:lineRule="exact" w:before="1"/>
              <w:rPr>
                <w:b/>
                <w:sz w:val="22"/>
              </w:rPr>
            </w:pPr>
            <w:r>
              <w:rPr>
                <w:b/>
                <w:sz w:val="22"/>
              </w:rPr>
              <w:t>Costo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después de</w:t>
            </w:r>
          </w:p>
          <w:p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Impuestos</w:t>
            </w:r>
          </w:p>
        </w:tc>
      </w:tr>
      <w:tr>
        <w:trPr>
          <w:trHeight w:val="268" w:hRule="atLeast"/>
        </w:trPr>
        <w:tc>
          <w:tcPr>
            <w:tcW w:w="2345" w:type="dxa"/>
            <w:vMerge w:val="restart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Deuda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largo plazo</w:t>
            </w:r>
          </w:p>
        </w:tc>
        <w:tc>
          <w:tcPr>
            <w:tcW w:w="321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320,000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dólares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6%</w:t>
            </w:r>
          </w:p>
        </w:tc>
      </w:tr>
      <w:tr>
        <w:trPr>
          <w:trHeight w:val="270" w:hRule="atLeast"/>
        </w:trPr>
        <w:tc>
          <w:tcPr>
            <w:tcW w:w="2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spacing w:line="249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320 dólares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adelante</w:t>
            </w:r>
          </w:p>
        </w:tc>
        <w:tc>
          <w:tcPr>
            <w:tcW w:w="2609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sz w:val="22"/>
              </w:rPr>
              <w:t>8%</w:t>
            </w:r>
          </w:p>
        </w:tc>
      </w:tr>
      <w:tr>
        <w:trPr>
          <w:trHeight w:val="269" w:hRule="atLeast"/>
        </w:trPr>
        <w:tc>
          <w:tcPr>
            <w:tcW w:w="2345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Acciones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preferentes</w:t>
            </w:r>
          </w:p>
        </w:tc>
        <w:tc>
          <w:tcPr>
            <w:tcW w:w="3214" w:type="dxa"/>
          </w:tcPr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0 dólares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 adelante</w:t>
            </w:r>
          </w:p>
        </w:tc>
        <w:tc>
          <w:tcPr>
            <w:tcW w:w="2609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sz w:val="22"/>
              </w:rPr>
              <w:t>17%</w:t>
            </w:r>
          </w:p>
        </w:tc>
      </w:tr>
      <w:tr>
        <w:trPr>
          <w:trHeight w:val="268" w:hRule="atLeast"/>
        </w:trPr>
        <w:tc>
          <w:tcPr>
            <w:tcW w:w="2345" w:type="dxa"/>
            <w:vMerge w:val="restart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z w:val="22"/>
              </w:rPr>
              <w:t>Capital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acciones</w:t>
            </w:r>
          </w:p>
          <w:p>
            <w:pPr>
              <w:pStyle w:val="TableParagraph"/>
              <w:spacing w:line="259" w:lineRule="exact"/>
              <w:ind w:left="107"/>
              <w:rPr>
                <w:sz w:val="22"/>
              </w:rPr>
            </w:pPr>
            <w:r>
              <w:rPr>
                <w:sz w:val="22"/>
              </w:rPr>
              <w:t>comunes</w:t>
            </w:r>
          </w:p>
        </w:tc>
        <w:tc>
          <w:tcPr>
            <w:tcW w:w="321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dólares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234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200,000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dólares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adelante</w:t>
            </w:r>
          </w:p>
        </w:tc>
        <w:tc>
          <w:tcPr>
            <w:tcW w:w="26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24%</w:t>
            </w:r>
          </w:p>
        </w:tc>
      </w:tr>
    </w:tbl>
    <w:p>
      <w:pPr>
        <w:pStyle w:val="BodyText"/>
        <w:spacing w:before="145"/>
        <w:ind w:left="107" w:right="745"/>
      </w:pPr>
      <w:r>
        <w:rPr/>
        <w:t>Las ponderaciones de la estructura de capital de la empresa usadas para calcular su costo de capital promedio</w:t>
      </w:r>
      <w:r>
        <w:rPr>
          <w:spacing w:val="-47"/>
        </w:rPr>
        <w:t> </w:t>
      </w:r>
      <w:r>
        <w:rPr/>
        <w:t>ponderado</w:t>
      </w:r>
      <w:r>
        <w:rPr>
          <w:spacing w:val="-2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presentan</w:t>
      </w:r>
      <w:r>
        <w:rPr>
          <w:spacing w:val="-3"/>
        </w:rPr>
        <w:t> </w:t>
      </w:r>
      <w:r>
        <w:rPr/>
        <w:t>en</w:t>
      </w:r>
      <w:r>
        <w:rPr>
          <w:spacing w:val="-1"/>
        </w:rPr>
        <w:t> </w:t>
      </w:r>
      <w:r>
        <w:rPr/>
        <w:t>la tabla siguiente:</w:t>
      </w:r>
    </w:p>
    <w:p>
      <w:pPr>
        <w:pStyle w:val="BodyText"/>
        <w:spacing w:after="1"/>
        <w:rPr>
          <w:sz w:val="16"/>
        </w:rPr>
      </w:pPr>
    </w:p>
    <w:tbl>
      <w:tblPr>
        <w:tblW w:w="0" w:type="auto"/>
        <w:jc w:val="left"/>
        <w:tblInd w:w="17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49"/>
        <w:gridCol w:w="4040"/>
      </w:tblGrid>
      <w:tr>
        <w:trPr>
          <w:trHeight w:val="537" w:hRule="atLeast"/>
        </w:trPr>
        <w:tc>
          <w:tcPr>
            <w:tcW w:w="3149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Fuente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Capital</w:t>
            </w:r>
          </w:p>
        </w:tc>
        <w:tc>
          <w:tcPr>
            <w:tcW w:w="4040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Ponderación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Objetivo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del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Valor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</w:p>
          <w:p>
            <w:pPr>
              <w:pStyle w:val="TableParagraph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Mercado</w:t>
            </w:r>
          </w:p>
        </w:tc>
      </w:tr>
      <w:tr>
        <w:trPr>
          <w:trHeight w:val="268" w:hRule="atLeast"/>
        </w:trPr>
        <w:tc>
          <w:tcPr>
            <w:tcW w:w="314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Deuda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largo plazo</w:t>
            </w:r>
          </w:p>
        </w:tc>
        <w:tc>
          <w:tcPr>
            <w:tcW w:w="4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</w:tr>
      <w:tr>
        <w:trPr>
          <w:trHeight w:val="268" w:hRule="atLeast"/>
        </w:trPr>
        <w:tc>
          <w:tcPr>
            <w:tcW w:w="314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Acciones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preferentes</w:t>
            </w:r>
          </w:p>
        </w:tc>
        <w:tc>
          <w:tcPr>
            <w:tcW w:w="4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20%</w:t>
            </w:r>
          </w:p>
        </w:tc>
      </w:tr>
      <w:tr>
        <w:trPr>
          <w:trHeight w:val="268" w:hRule="atLeast"/>
        </w:trPr>
        <w:tc>
          <w:tcPr>
            <w:tcW w:w="3149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Capital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acciones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comunes</w:t>
            </w:r>
          </w:p>
        </w:tc>
        <w:tc>
          <w:tcPr>
            <w:tcW w:w="404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40%</w:t>
            </w:r>
          </w:p>
        </w:tc>
      </w:tr>
    </w:tbl>
    <w:p>
      <w:pPr>
        <w:pStyle w:val="BodyText"/>
        <w:spacing w:before="145"/>
        <w:ind w:left="107"/>
      </w:pPr>
      <w:r>
        <w:rPr/>
        <w:t>Calcule el costo de capital promedio ponderado para cada intervalo del nuevo financiamiento total.</w:t>
      </w:r>
      <w:r>
        <w:rPr>
          <w:spacing w:val="1"/>
        </w:rPr>
        <w:t> </w:t>
      </w:r>
      <w:r>
        <w:rPr/>
        <w:t>¿Cuál de las</w:t>
      </w:r>
      <w:r>
        <w:rPr>
          <w:spacing w:val="-47"/>
        </w:rPr>
        <w:t> </w:t>
      </w:r>
      <w:r>
        <w:rPr/>
        <w:t>siguientes inversiones</w:t>
      </w:r>
      <w:r>
        <w:rPr>
          <w:spacing w:val="1"/>
        </w:rPr>
        <w:t> </w:t>
      </w:r>
      <w:r>
        <w:rPr/>
        <w:t>disponibles, si</w:t>
      </w:r>
      <w:r>
        <w:rPr>
          <w:spacing w:val="-4"/>
        </w:rPr>
        <w:t> </w:t>
      </w:r>
      <w:r>
        <w:rPr/>
        <w:t>las hay, le</w:t>
      </w:r>
      <w:r>
        <w:rPr>
          <w:spacing w:val="-1"/>
        </w:rPr>
        <w:t> </w:t>
      </w:r>
      <w:r>
        <w:rPr/>
        <w:t>recomienda</w:t>
      </w:r>
      <w:r>
        <w:rPr>
          <w:spacing w:val="-1"/>
        </w:rPr>
        <w:t> </w:t>
      </w:r>
      <w:r>
        <w:rPr/>
        <w:t>a la empresa?</w:t>
      </w:r>
    </w:p>
    <w:p>
      <w:pPr>
        <w:pStyle w:val="BodyText"/>
        <w:spacing w:before="2"/>
        <w:rPr>
          <w:sz w:val="12"/>
        </w:rPr>
      </w:pPr>
    </w:p>
    <w:tbl>
      <w:tblPr>
        <w:tblW w:w="0" w:type="auto"/>
        <w:jc w:val="left"/>
        <w:tblInd w:w="1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97"/>
        <w:gridCol w:w="3308"/>
        <w:gridCol w:w="1923"/>
      </w:tblGrid>
      <w:tr>
        <w:trPr>
          <w:trHeight w:val="537" w:hRule="atLeast"/>
        </w:trPr>
        <w:tc>
          <w:tcPr>
            <w:tcW w:w="2797" w:type="dxa"/>
          </w:tcPr>
          <w:p>
            <w:pPr>
              <w:pStyle w:val="TableParagraph"/>
              <w:spacing w:line="268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Oportunidad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Inversión</w:t>
            </w:r>
          </w:p>
        </w:tc>
        <w:tc>
          <w:tcPr>
            <w:tcW w:w="3308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Tasa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Interna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Rendimiento</w:t>
            </w:r>
          </w:p>
          <w:p>
            <w:pPr>
              <w:pStyle w:val="TableParagraph"/>
              <w:spacing w:line="249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(TIR)</w:t>
            </w:r>
          </w:p>
        </w:tc>
        <w:tc>
          <w:tcPr>
            <w:tcW w:w="1923" w:type="dxa"/>
          </w:tcPr>
          <w:p>
            <w:pPr>
              <w:pStyle w:val="TableParagraph"/>
              <w:spacing w:line="268" w:lineRule="exact"/>
              <w:ind w:left="106"/>
              <w:rPr>
                <w:b/>
                <w:sz w:val="22"/>
              </w:rPr>
            </w:pPr>
            <w:r>
              <w:rPr>
                <w:b/>
                <w:sz w:val="22"/>
              </w:rPr>
              <w:t>Inversión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Inicial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A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19%</w:t>
            </w:r>
          </w:p>
        </w:tc>
        <w:tc>
          <w:tcPr>
            <w:tcW w:w="1923" w:type="dxa"/>
          </w:tcPr>
          <w:p>
            <w:pPr>
              <w:pStyle w:val="TableParagraph"/>
              <w:ind w:left="106"/>
              <w:rPr>
                <w:sz w:val="22"/>
              </w:rPr>
            </w:pPr>
            <w:r>
              <w:rPr>
                <w:sz w:val="22"/>
              </w:rPr>
              <w:t>$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B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15%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300,000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C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22%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100,000</w:t>
            </w:r>
          </w:p>
        </w:tc>
      </w:tr>
      <w:tr>
        <w:trPr>
          <w:trHeight w:val="270" w:hRule="atLeast"/>
        </w:trPr>
        <w:tc>
          <w:tcPr>
            <w:tcW w:w="2797" w:type="dxa"/>
          </w:tcPr>
          <w:p>
            <w:pPr>
              <w:pStyle w:val="TableParagraph"/>
              <w:spacing w:line="249" w:lineRule="exact" w:before="1"/>
              <w:rPr>
                <w:sz w:val="22"/>
              </w:rPr>
            </w:pPr>
            <w:r>
              <w:rPr>
                <w:w w:val="100"/>
                <w:sz w:val="22"/>
              </w:rPr>
              <w:t>D</w:t>
            </w:r>
          </w:p>
        </w:tc>
        <w:tc>
          <w:tcPr>
            <w:tcW w:w="3308" w:type="dxa"/>
          </w:tcPr>
          <w:p>
            <w:pPr>
              <w:pStyle w:val="TableParagraph"/>
              <w:spacing w:line="249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14%</w:t>
            </w:r>
          </w:p>
        </w:tc>
        <w:tc>
          <w:tcPr>
            <w:tcW w:w="1923" w:type="dxa"/>
          </w:tcPr>
          <w:p>
            <w:pPr>
              <w:pStyle w:val="TableParagraph"/>
              <w:spacing w:line="249" w:lineRule="exact" w:before="1"/>
              <w:ind w:left="258"/>
              <w:rPr>
                <w:sz w:val="22"/>
              </w:rPr>
            </w:pPr>
            <w:r>
              <w:rPr>
                <w:sz w:val="22"/>
              </w:rPr>
              <w:t>600,000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E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23%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200,000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F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13%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100,000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G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21%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300,000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H</w:t>
            </w:r>
          </w:p>
        </w:tc>
        <w:tc>
          <w:tcPr>
            <w:tcW w:w="3308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17%</w:t>
            </w:r>
          </w:p>
        </w:tc>
        <w:tc>
          <w:tcPr>
            <w:tcW w:w="1923" w:type="dxa"/>
          </w:tcPr>
          <w:p>
            <w:pPr>
              <w:pStyle w:val="TableParagraph"/>
              <w:ind w:left="258"/>
              <w:rPr>
                <w:sz w:val="22"/>
              </w:rPr>
            </w:pPr>
            <w:r>
              <w:rPr>
                <w:sz w:val="22"/>
              </w:rPr>
              <w:t>100,000</w:t>
            </w:r>
          </w:p>
        </w:tc>
      </w:tr>
      <w:tr>
        <w:trPr>
          <w:trHeight w:val="268" w:hRule="atLeast"/>
        </w:trPr>
        <w:tc>
          <w:tcPr>
            <w:tcW w:w="2797" w:type="dxa"/>
          </w:tcPr>
          <w:p>
            <w:pPr>
              <w:pStyle w:val="TableParagraph"/>
              <w:spacing w:line="249" w:lineRule="exact"/>
              <w:rPr>
                <w:sz w:val="22"/>
              </w:rPr>
            </w:pPr>
            <w:r>
              <w:rPr>
                <w:w w:val="100"/>
                <w:sz w:val="22"/>
              </w:rPr>
              <w:t>I</w:t>
            </w:r>
          </w:p>
        </w:tc>
        <w:tc>
          <w:tcPr>
            <w:tcW w:w="3308" w:type="dxa"/>
          </w:tcPr>
          <w:p>
            <w:pPr>
              <w:pStyle w:val="TableParagraph"/>
              <w:spacing w:line="249" w:lineRule="exact"/>
              <w:ind w:left="107"/>
              <w:rPr>
                <w:sz w:val="22"/>
              </w:rPr>
            </w:pPr>
            <w:r>
              <w:rPr>
                <w:sz w:val="22"/>
              </w:rPr>
              <w:t>16%</w:t>
            </w:r>
          </w:p>
        </w:tc>
        <w:tc>
          <w:tcPr>
            <w:tcW w:w="1923" w:type="dxa"/>
          </w:tcPr>
          <w:p>
            <w:pPr>
              <w:pStyle w:val="TableParagraph"/>
              <w:spacing w:line="249" w:lineRule="exact"/>
              <w:ind w:left="258"/>
              <w:rPr>
                <w:sz w:val="22"/>
              </w:rPr>
            </w:pPr>
            <w:r>
              <w:rPr>
                <w:sz w:val="22"/>
              </w:rPr>
              <w:t>400,000</w:t>
            </w:r>
          </w:p>
        </w:tc>
      </w:tr>
    </w:tbl>
    <w:sectPr>
      <w:type w:val="continuous"/>
      <w:pgSz w:w="12240" w:h="15840"/>
      <w:pgMar w:top="1100" w:bottom="280" w:left="600" w:right="940"/>
      <w:pgBorders w:offsetFrom="page">
        <w:top w:val="thickThinSmallGap" w:color="5B9BD4" w:space="25" w:sz="24"/>
        <w:left w:val="thickThinSmallGap" w:color="5B9BD4" w:space="25" w:sz="24"/>
        <w:bottom w:val="thinThickSmallGap" w:color="5B9BD4" w:space="25" w:sz="24"/>
        <w:right w:val="thinThickSmallGap" w:color="5B9BD4" w:space="25" w:sz="2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ind w:left="4469" w:right="4461"/>
      <w:jc w:val="center"/>
    </w:pPr>
    <w:rPr>
      <w:rFonts w:ascii="Calibri Light" w:hAnsi="Calibri Light" w:eastAsia="Calibri Light" w:cs="Calibri Light"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</dc:creator>
  <dc:title>Se está analizando los procedimientos de toma de decisiones de la empresa</dc:title>
  <dcterms:created xsi:type="dcterms:W3CDTF">2023-03-28T23:47:31Z</dcterms:created>
  <dcterms:modified xsi:type="dcterms:W3CDTF">2023-03-28T23:47:31Z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2023-03-28T00:00:00Z</vt:filetime>
  </property>
</Properties>
</file>