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71DF" w14:textId="77777777" w:rsidR="007D0136" w:rsidRPr="007D0136" w:rsidRDefault="007D0136" w:rsidP="007D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Indicadores estratégicos:</w:t>
      </w:r>
    </w:p>
    <w:p w14:paraId="12F91570" w14:textId="78B8324A" w:rsidR="008A130B" w:rsidRDefault="007D0136" w:rsidP="008A13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KPI: Tasa de crecimiento de la base de clientes Fórmula: ((Número de clientes al final del período - Número de clientes al inicio del período) / Número de clientes al inicio del período) x 100 Finalidad: Medir el aumento porcentual de la base de clientes en relación con el objetivo establecido del 20%.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8A130B" w14:paraId="3535F3E9" w14:textId="77777777" w:rsidTr="008A130B">
        <w:tc>
          <w:tcPr>
            <w:tcW w:w="1075" w:type="dxa"/>
          </w:tcPr>
          <w:p w14:paraId="39942669" w14:textId="788E2CF3" w:rsidR="008A130B" w:rsidRDefault="008A130B" w:rsidP="008A13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1</w:t>
            </w:r>
          </w:p>
        </w:tc>
        <w:tc>
          <w:tcPr>
            <w:tcW w:w="3599" w:type="dxa"/>
          </w:tcPr>
          <w:p w14:paraId="03924DF5" w14:textId="2382D1E3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KPI: Tasa de crecimiento de la base de clientes</w:t>
            </w:r>
          </w:p>
        </w:tc>
        <w:tc>
          <w:tcPr>
            <w:tcW w:w="2338" w:type="dxa"/>
          </w:tcPr>
          <w:p w14:paraId="1EC5723E" w14:textId="6B9A5DFB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Fórmula: ((Número de clientes al final del período - Número de clientes al inicio del período) / Número de clientes al inicio del período) x 100</w:t>
            </w:r>
          </w:p>
        </w:tc>
        <w:tc>
          <w:tcPr>
            <w:tcW w:w="2338" w:type="dxa"/>
          </w:tcPr>
          <w:p w14:paraId="1D2B305E" w14:textId="77777777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Finalidad: Medir el aumento porcentual de la base de clientes en relación con el objetivo establecido del 20%.</w:t>
            </w:r>
          </w:p>
          <w:p w14:paraId="17BC7DE2" w14:textId="77777777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</w:tbl>
    <w:p w14:paraId="19D21A05" w14:textId="77777777" w:rsidR="008A130B" w:rsidRPr="007D0136" w:rsidRDefault="008A130B" w:rsidP="008A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515FDE6E" w14:textId="77777777" w:rsidR="007D0136" w:rsidRPr="007D0136" w:rsidRDefault="007D0136" w:rsidP="007D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Indicadores predictivos:</w:t>
      </w:r>
    </w:p>
    <w:p w14:paraId="65E4FE7F" w14:textId="77777777" w:rsidR="007D0136" w:rsidRDefault="007D0136" w:rsidP="007D0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KPI: Tasa de conversión de leads en clientes Fórmula: (Número de nuevos clientes adquiridos / Número total de leads generados) x 100 Finalidad: Evaluar la efectividad de las estrategias de marketing y ventas para convertir leads en nuevos clientes y anticipar el cumplimiento del objetivo.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8A130B" w14:paraId="5E7B3C7A" w14:textId="77777777" w:rsidTr="008A130B">
        <w:tc>
          <w:tcPr>
            <w:tcW w:w="1165" w:type="dxa"/>
          </w:tcPr>
          <w:p w14:paraId="50EB4AC8" w14:textId="7AD488F8" w:rsidR="008A130B" w:rsidRDefault="008A130B" w:rsidP="00FF78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1</w:t>
            </w:r>
          </w:p>
        </w:tc>
        <w:tc>
          <w:tcPr>
            <w:tcW w:w="3509" w:type="dxa"/>
          </w:tcPr>
          <w:p w14:paraId="6DA0A98E" w14:textId="54F8F41C" w:rsidR="008A130B" w:rsidRP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Tasa de conversión de leads en clientes</w:t>
            </w:r>
            <w:r w:rsidRPr="008A13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 xml:space="preserve">. </w:t>
            </w:r>
            <w:r w:rsidRPr="008A130B">
              <w:rPr>
                <w:rFonts w:ascii="Times New Roman" w:hAnsi="Times New Roman" w:cs="Times New Roman"/>
                <w:sz w:val="24"/>
                <w:szCs w:val="24"/>
              </w:rPr>
              <w:t>(persona o empresa que ha mostrado interés en los productos o servicios de una compañía, pero aún no ha realizado una transacción comercial con ella)</w:t>
            </w:r>
          </w:p>
        </w:tc>
        <w:tc>
          <w:tcPr>
            <w:tcW w:w="2338" w:type="dxa"/>
          </w:tcPr>
          <w:p w14:paraId="479590B1" w14:textId="7A64E521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Fórmula: (Número de nuevos clientes adquiridos / Número total de leads generados) x 100</w:t>
            </w:r>
          </w:p>
        </w:tc>
        <w:tc>
          <w:tcPr>
            <w:tcW w:w="2338" w:type="dxa"/>
          </w:tcPr>
          <w:p w14:paraId="4FDCA38D" w14:textId="3F3AD33C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Finalidad: Evaluar la efectividad de las estrategias de marketing y ventas para convertir leads en nuevos clientes y anticipar el cumplimiento del objetivo.</w:t>
            </w:r>
          </w:p>
        </w:tc>
      </w:tr>
    </w:tbl>
    <w:p w14:paraId="6723511A" w14:textId="77777777" w:rsidR="008A130B" w:rsidRPr="007D0136" w:rsidRDefault="008A130B" w:rsidP="008A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D04347E" w14:textId="77777777" w:rsidR="007D0136" w:rsidRPr="007D0136" w:rsidRDefault="007D0136" w:rsidP="007D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Indicadores operativos:</w:t>
      </w:r>
    </w:p>
    <w:p w14:paraId="455E7DE5" w14:textId="77777777" w:rsidR="007D0136" w:rsidRPr="007D0136" w:rsidRDefault="007D0136" w:rsidP="007D0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a. KPI: Número de proyectos adquiridos por sector Fórmula: Número de proyectos adquiridos en cada sector Finalidad: Monitorear la diversificación de proyectos en distintos sectores y evaluar el alcance de la meta de adquirir al menos 10 nuevos proyectos.</w:t>
      </w:r>
    </w:p>
    <w:p w14:paraId="551095E7" w14:textId="77777777" w:rsidR="007D0136" w:rsidRDefault="007D0136" w:rsidP="007D0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b. KPI: Retorno de inversión (ROI) en marketing digital Fórmula: (Ganancias generadas por marketing digital - Inversión en marketing digital) / Inversión en marketing digital </w:t>
      </w: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>Finalidad: Medir la rentabilidad de las estrategias de marketing digital implementadas para alcanzar el objetivo de crecimiento de la base de clientes.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3419"/>
        <w:gridCol w:w="2338"/>
        <w:gridCol w:w="2338"/>
      </w:tblGrid>
      <w:tr w:rsidR="008A130B" w14:paraId="36721977" w14:textId="77777777" w:rsidTr="008A130B">
        <w:tc>
          <w:tcPr>
            <w:tcW w:w="1255" w:type="dxa"/>
          </w:tcPr>
          <w:p w14:paraId="3B514219" w14:textId="4EC669CE" w:rsidR="008A130B" w:rsidRDefault="008A130B" w:rsidP="00FF78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1</w:t>
            </w:r>
          </w:p>
        </w:tc>
        <w:tc>
          <w:tcPr>
            <w:tcW w:w="3419" w:type="dxa"/>
          </w:tcPr>
          <w:p w14:paraId="37618E0E" w14:textId="7501CC1D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KPI: Número de proyectos adquiridos por sector</w:t>
            </w:r>
          </w:p>
        </w:tc>
        <w:tc>
          <w:tcPr>
            <w:tcW w:w="2338" w:type="dxa"/>
          </w:tcPr>
          <w:p w14:paraId="349378D1" w14:textId="3F8776A8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Fórmula: Número de proyectos adquiridos en cada sector</w:t>
            </w:r>
          </w:p>
        </w:tc>
        <w:tc>
          <w:tcPr>
            <w:tcW w:w="2338" w:type="dxa"/>
          </w:tcPr>
          <w:p w14:paraId="672E6098" w14:textId="77777777" w:rsidR="008A130B" w:rsidRPr="007D0136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Finalidad: Monitorear la diversificación de proyectos en distintos sectores y evaluar el alcance de la meta de adquirir al menos 10 nuevos proyectos.</w:t>
            </w:r>
          </w:p>
          <w:p w14:paraId="188EB994" w14:textId="77777777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  <w:tr w:rsidR="008A130B" w14:paraId="781D5964" w14:textId="77777777" w:rsidTr="008A130B">
        <w:tc>
          <w:tcPr>
            <w:tcW w:w="1255" w:type="dxa"/>
          </w:tcPr>
          <w:p w14:paraId="12A15162" w14:textId="2CD5E8D7" w:rsidR="008A130B" w:rsidRDefault="008A130B" w:rsidP="00FF785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2</w:t>
            </w:r>
          </w:p>
        </w:tc>
        <w:tc>
          <w:tcPr>
            <w:tcW w:w="3419" w:type="dxa"/>
          </w:tcPr>
          <w:p w14:paraId="51BBDAF1" w14:textId="232137C0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KPI: Retorno de inversión (ROI) en marketing digital</w:t>
            </w:r>
          </w:p>
        </w:tc>
        <w:tc>
          <w:tcPr>
            <w:tcW w:w="2338" w:type="dxa"/>
          </w:tcPr>
          <w:p w14:paraId="2ECB2E30" w14:textId="600984CD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Fórmula: (Ganancias generadas por marketing digital - Inversión en marketing digital) / Inversión en marketing digital</w:t>
            </w:r>
          </w:p>
        </w:tc>
        <w:tc>
          <w:tcPr>
            <w:tcW w:w="2338" w:type="dxa"/>
          </w:tcPr>
          <w:p w14:paraId="037FE863" w14:textId="77777777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  <w:r w:rsidRPr="007D01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  <w:t>Finalidad: Medir la rentabilidad de las estrategias de marketing digital implementadas para alcanzar el objetivo de crecimiento de la base de clientes.</w:t>
            </w:r>
          </w:p>
          <w:p w14:paraId="43B7AAB9" w14:textId="77777777" w:rsidR="008A130B" w:rsidRDefault="008A130B" w:rsidP="008A130B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</w:tbl>
    <w:p w14:paraId="02B02A3E" w14:textId="77777777" w:rsidR="008A130B" w:rsidRPr="007D0136" w:rsidRDefault="008A130B" w:rsidP="008A1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853A558" w14:textId="77777777" w:rsidR="007D0136" w:rsidRDefault="007D0136" w:rsidP="007D0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Con estos indicadores y </w:t>
      </w:r>
      <w:proofErr w:type="spellStart"/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KPIs</w:t>
      </w:r>
      <w:proofErr w:type="spellEnd"/>
      <w:r w:rsidRPr="007D0136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, la empresa podrá monitorear y evaluar el progreso en el logro del objetivo propuesto, así como realizar ajustes en sus estrategias y acciones si es necesario.</w:t>
      </w:r>
    </w:p>
    <w:p w14:paraId="0B77F68D" w14:textId="5041E6DE" w:rsidR="001D715F" w:rsidRPr="001D715F" w:rsidRDefault="001D715F" w:rsidP="001D715F">
      <w:pPr>
        <w:rPr>
          <w:rFonts w:ascii="Times New Roman" w:hAnsi="Times New Roman" w:cs="Times New Roman"/>
          <w:sz w:val="24"/>
          <w:szCs w:val="24"/>
        </w:rPr>
      </w:pPr>
      <w:r w:rsidRPr="001D715F">
        <w:rPr>
          <w:rFonts w:ascii="Times New Roman" w:hAnsi="Times New Roman" w:cs="Times New Roman"/>
          <w:sz w:val="24"/>
          <w:szCs w:val="24"/>
        </w:rPr>
        <w:t>Calidad: Mantener un enfoque en la entrega de productos y servicios de alta calidad, asegurando que las soluciones informáticas cumplan con los requisitos del cliente y superen sus expectativas.</w:t>
      </w:r>
    </w:p>
    <w:p w14:paraId="3BFB066C" w14:textId="5E1A2D18" w:rsidR="007D0136" w:rsidRPr="001D715F" w:rsidRDefault="001D715F" w:rsidP="001D715F">
      <w:pPr>
        <w:rPr>
          <w:rFonts w:ascii="Times New Roman" w:hAnsi="Times New Roman" w:cs="Times New Roman"/>
          <w:sz w:val="24"/>
          <w:szCs w:val="24"/>
        </w:rPr>
      </w:pPr>
      <w:r w:rsidRPr="001D715F">
        <w:rPr>
          <w:rFonts w:ascii="Times New Roman" w:hAnsi="Times New Roman" w:cs="Times New Roman"/>
          <w:sz w:val="24"/>
          <w:szCs w:val="24"/>
        </w:rPr>
        <w:t>Innovación: Fomentar la creatividad y la adopción de nuevas tecnologías y metodologías para ofrecer soluciones de vanguardia a los clientes.</w:t>
      </w:r>
    </w:p>
    <w:p w14:paraId="0B1EC29D" w14:textId="77777777" w:rsidR="001D715F" w:rsidRPr="001D715F" w:rsidRDefault="001D715F" w:rsidP="001D715F">
      <w:pPr>
        <w:rPr>
          <w:rFonts w:ascii="Times New Roman" w:hAnsi="Times New Roman" w:cs="Times New Roman"/>
          <w:sz w:val="24"/>
          <w:szCs w:val="24"/>
        </w:rPr>
      </w:pPr>
      <w:r w:rsidRPr="001D715F">
        <w:rPr>
          <w:rFonts w:ascii="Times New Roman" w:hAnsi="Times New Roman" w:cs="Times New Roman"/>
          <w:sz w:val="24"/>
          <w:szCs w:val="24"/>
        </w:rPr>
        <w:t>Responsabilidad social y ambiental: Comprometerse con prácticas sostenibles y contribuir al bienestar de la comunidad y al cuidado del medio ambiente.</w:t>
      </w:r>
      <w:r w:rsidRPr="001D71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234FA" w14:textId="77777777" w:rsidR="007D0136" w:rsidRPr="007D0136" w:rsidRDefault="007D0136" w:rsidP="007D01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GT"/>
          <w14:ligatures w14:val="none"/>
        </w:rPr>
      </w:pPr>
      <w:r w:rsidRPr="007D0136">
        <w:rPr>
          <w:rFonts w:ascii="Arial" w:eastAsia="Times New Roman" w:hAnsi="Arial" w:cs="Arial"/>
          <w:vanish/>
          <w:kern w:val="0"/>
          <w:sz w:val="16"/>
          <w:szCs w:val="16"/>
          <w:lang w:eastAsia="es-GT"/>
          <w14:ligatures w14:val="none"/>
        </w:rPr>
        <w:t>Final del formulario</w:t>
      </w:r>
    </w:p>
    <w:p w14:paraId="61288AB2" w14:textId="77777777" w:rsidR="007D0136" w:rsidRDefault="007D0136"/>
    <w:sectPr w:rsidR="007D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0F6"/>
    <w:multiLevelType w:val="multilevel"/>
    <w:tmpl w:val="6C5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38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36"/>
    <w:rsid w:val="001D715F"/>
    <w:rsid w:val="001F679B"/>
    <w:rsid w:val="007D0136"/>
    <w:rsid w:val="008A130B"/>
    <w:rsid w:val="00E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7619"/>
  <w15:chartTrackingRefBased/>
  <w15:docId w15:val="{0CC17377-914B-4C18-AABB-EB673D3C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D01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GT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D0136"/>
    <w:rPr>
      <w:rFonts w:ascii="Arial" w:eastAsia="Times New Roman" w:hAnsi="Arial" w:cs="Arial"/>
      <w:vanish/>
      <w:kern w:val="0"/>
      <w:sz w:val="16"/>
      <w:szCs w:val="16"/>
      <w:lang w:eastAsia="es-GT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D01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GT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D0136"/>
    <w:rPr>
      <w:rFonts w:ascii="Arial" w:eastAsia="Times New Roman" w:hAnsi="Arial" w:cs="Arial"/>
      <w:vanish/>
      <w:kern w:val="0"/>
      <w:sz w:val="16"/>
      <w:szCs w:val="16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8A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ppyq">
    <w:name w:val="s1ppyq"/>
    <w:basedOn w:val="Fuentedeprrafopredeter"/>
    <w:rsid w:val="008A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2023-04-24T15:55:00Z</dcterms:created>
  <dcterms:modified xsi:type="dcterms:W3CDTF">2023-04-24T18:05:00Z</dcterms:modified>
</cp:coreProperties>
</file>