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FDAF" w14:textId="77777777" w:rsidR="00323711" w:rsidRDefault="00323711" w:rsidP="002C4D42">
      <w:pPr>
        <w:spacing w:after="0" w:line="240" w:lineRule="auto"/>
        <w:jc w:val="right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noProof/>
          <w:color w:val="000000"/>
          <w:sz w:val="24"/>
          <w:szCs w:val="24"/>
          <w:lang w:eastAsia="es-GT"/>
        </w:rPr>
        <w:drawing>
          <wp:anchor distT="0" distB="0" distL="0" distR="0" simplePos="0" relativeHeight="251659264" behindDoc="0" locked="0" layoutInCell="1" allowOverlap="1" wp14:anchorId="3DD82FC1" wp14:editId="29ACDDF9">
            <wp:simplePos x="0" y="0"/>
            <wp:positionH relativeFrom="column">
              <wp:posOffset>86995</wp:posOffset>
            </wp:positionH>
            <wp:positionV relativeFrom="paragraph">
              <wp:posOffset>25400</wp:posOffset>
            </wp:positionV>
            <wp:extent cx="1923415" cy="687070"/>
            <wp:effectExtent l="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922760" cy="686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alibri"/>
          <w:b/>
          <w:bCs/>
          <w:color w:val="000000"/>
          <w:sz w:val="24"/>
          <w:szCs w:val="24"/>
        </w:rPr>
        <w:t>Facultad de Ingeniería</w:t>
      </w:r>
    </w:p>
    <w:p w14:paraId="208A1717" w14:textId="77777777" w:rsidR="00323711" w:rsidRDefault="00323711" w:rsidP="002C4D42">
      <w:pPr>
        <w:spacing w:after="0" w:line="240" w:lineRule="auto"/>
        <w:jc w:val="right"/>
      </w:pPr>
      <w:r>
        <w:rPr>
          <w:rFonts w:cs="Calibri"/>
          <w:b/>
          <w:bCs/>
          <w:color w:val="000000"/>
          <w:sz w:val="24"/>
          <w:szCs w:val="24"/>
        </w:rPr>
        <w:t>Ingeniería Aplicada</w:t>
      </w:r>
    </w:p>
    <w:p w14:paraId="6CA49223" w14:textId="77777777" w:rsidR="00323711" w:rsidRDefault="00323711" w:rsidP="002C4D42">
      <w:pPr>
        <w:spacing w:after="0" w:line="240" w:lineRule="auto"/>
        <w:jc w:val="right"/>
      </w:pPr>
      <w:r>
        <w:rPr>
          <w:rFonts w:cs="Calibri"/>
          <w:b/>
          <w:bCs/>
          <w:color w:val="000000"/>
          <w:sz w:val="24"/>
          <w:szCs w:val="24"/>
        </w:rPr>
        <w:t>Modelación y Simulación</w:t>
      </w:r>
    </w:p>
    <w:p w14:paraId="00873F2E" w14:textId="77777777" w:rsidR="00323711" w:rsidRDefault="00323711" w:rsidP="002C4D42">
      <w:pPr>
        <w:spacing w:after="0" w:line="240" w:lineRule="auto"/>
        <w:jc w:val="right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Ing. César Rojas</w:t>
      </w:r>
    </w:p>
    <w:p w14:paraId="5F8F81EE" w14:textId="77777777" w:rsidR="00323711" w:rsidRDefault="00323711" w:rsidP="002C4D42">
      <w:pPr>
        <w:spacing w:after="0"/>
      </w:pPr>
    </w:p>
    <w:p w14:paraId="1ED13B0C" w14:textId="5BCEAD09" w:rsidR="00624CE8" w:rsidRPr="00624CE8" w:rsidRDefault="0045613C" w:rsidP="001D0F8A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EJERCICIO</w:t>
      </w:r>
    </w:p>
    <w:p w14:paraId="603D9C5B" w14:textId="650D2BBA" w:rsidR="00624CE8" w:rsidRDefault="00624CE8" w:rsidP="001D0F8A">
      <w:pPr>
        <w:spacing w:after="0"/>
        <w:jc w:val="both"/>
      </w:pPr>
      <w:r>
        <w:t>Una empresa que se dedica a la exportación de vegetales desea realizar un proceso de modelación y simulación en su proceso de empaque de bandejas de vegetales, los cuales, se componen de 1 unidad de elote, 1 unidad de tomate, 1 unidad de cebolla y 1 unidad de lechuga.</w:t>
      </w:r>
    </w:p>
    <w:p w14:paraId="455377BB" w14:textId="2E250FC2" w:rsidR="00624CE8" w:rsidRDefault="00624CE8" w:rsidP="001D0F8A">
      <w:pPr>
        <w:spacing w:after="0"/>
        <w:jc w:val="both"/>
      </w:pPr>
    </w:p>
    <w:p w14:paraId="5EDA629C" w14:textId="321A6497" w:rsidR="00624CE8" w:rsidRDefault="00624CE8" w:rsidP="001D0F8A">
      <w:pPr>
        <w:spacing w:after="0"/>
        <w:jc w:val="both"/>
      </w:pPr>
      <w:r>
        <w:t>Los vegetales ingresan al sistema según la siguiente tabla:</w:t>
      </w:r>
    </w:p>
    <w:p w14:paraId="3991C51B" w14:textId="284364E4" w:rsidR="00624CE8" w:rsidRDefault="00624CE8" w:rsidP="001D0F8A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75"/>
        <w:gridCol w:w="2313"/>
        <w:gridCol w:w="1993"/>
      </w:tblGrid>
      <w:tr w:rsidR="00594661" w14:paraId="25EAAB8C" w14:textId="313F5489" w:rsidTr="00594661">
        <w:tc>
          <w:tcPr>
            <w:tcW w:w="2247" w:type="dxa"/>
          </w:tcPr>
          <w:p w14:paraId="42F8589C" w14:textId="000C10F0" w:rsidR="00594661" w:rsidRDefault="00594661" w:rsidP="001D0F8A">
            <w:pPr>
              <w:jc w:val="both"/>
            </w:pPr>
            <w:r>
              <w:t>Vegetal</w:t>
            </w:r>
          </w:p>
        </w:tc>
        <w:tc>
          <w:tcPr>
            <w:tcW w:w="2275" w:type="dxa"/>
          </w:tcPr>
          <w:p w14:paraId="4C6C38CE" w14:textId="7BF02B26" w:rsidR="00594661" w:rsidRDefault="00594661" w:rsidP="001D0F8A">
            <w:pPr>
              <w:jc w:val="both"/>
            </w:pPr>
            <w:r>
              <w:t>Tasa</w:t>
            </w:r>
          </w:p>
        </w:tc>
        <w:tc>
          <w:tcPr>
            <w:tcW w:w="2313" w:type="dxa"/>
          </w:tcPr>
          <w:p w14:paraId="6ECC1265" w14:textId="2049F2A1" w:rsidR="00594661" w:rsidRDefault="00594661" w:rsidP="001D0F8A">
            <w:pPr>
              <w:jc w:val="both"/>
            </w:pPr>
            <w:r>
              <w:t>Capacidad Faja</w:t>
            </w:r>
          </w:p>
        </w:tc>
        <w:tc>
          <w:tcPr>
            <w:tcW w:w="1993" w:type="dxa"/>
          </w:tcPr>
          <w:p w14:paraId="659AC83C" w14:textId="694D72E0" w:rsidR="00594661" w:rsidRDefault="00594661" w:rsidP="001D0F8A">
            <w:pPr>
              <w:jc w:val="both"/>
            </w:pPr>
            <w:r>
              <w:t>Costo Unidad</w:t>
            </w:r>
          </w:p>
        </w:tc>
      </w:tr>
      <w:tr w:rsidR="00594661" w14:paraId="1398C438" w14:textId="7E009609" w:rsidTr="00594661">
        <w:tc>
          <w:tcPr>
            <w:tcW w:w="2247" w:type="dxa"/>
          </w:tcPr>
          <w:p w14:paraId="36C3E144" w14:textId="767230D6" w:rsidR="00594661" w:rsidRDefault="00594661" w:rsidP="001D0F8A">
            <w:pPr>
              <w:jc w:val="both"/>
            </w:pPr>
            <w:r>
              <w:t>Elote</w:t>
            </w:r>
          </w:p>
        </w:tc>
        <w:tc>
          <w:tcPr>
            <w:tcW w:w="2275" w:type="dxa"/>
          </w:tcPr>
          <w:p w14:paraId="13A5CB84" w14:textId="5F0EF2F3" w:rsidR="00594661" w:rsidRDefault="00594661" w:rsidP="001D0F8A">
            <w:pPr>
              <w:jc w:val="both"/>
            </w:pPr>
            <w:r>
              <w:t>22 unidades por hora</w:t>
            </w:r>
          </w:p>
        </w:tc>
        <w:tc>
          <w:tcPr>
            <w:tcW w:w="2313" w:type="dxa"/>
          </w:tcPr>
          <w:p w14:paraId="5A7D4A50" w14:textId="06B3E7A4" w:rsidR="00594661" w:rsidRDefault="00594661" w:rsidP="001D0F8A">
            <w:pPr>
              <w:jc w:val="both"/>
            </w:pPr>
            <w:r>
              <w:t>20</w:t>
            </w:r>
          </w:p>
        </w:tc>
        <w:tc>
          <w:tcPr>
            <w:tcW w:w="1993" w:type="dxa"/>
          </w:tcPr>
          <w:p w14:paraId="7788DB37" w14:textId="20E4490F" w:rsidR="00594661" w:rsidRDefault="00594661" w:rsidP="001D0F8A">
            <w:pPr>
              <w:jc w:val="both"/>
            </w:pPr>
            <w:r>
              <w:t>Q. 1.25</w:t>
            </w:r>
          </w:p>
        </w:tc>
      </w:tr>
      <w:tr w:rsidR="00594661" w14:paraId="33A73D15" w14:textId="584EC83D" w:rsidTr="00594661">
        <w:tc>
          <w:tcPr>
            <w:tcW w:w="2247" w:type="dxa"/>
          </w:tcPr>
          <w:p w14:paraId="66AC540F" w14:textId="0016287E" w:rsidR="00594661" w:rsidRDefault="00594661" w:rsidP="001D0F8A">
            <w:pPr>
              <w:jc w:val="both"/>
            </w:pPr>
            <w:r>
              <w:t>Tomate</w:t>
            </w:r>
          </w:p>
        </w:tc>
        <w:tc>
          <w:tcPr>
            <w:tcW w:w="2275" w:type="dxa"/>
          </w:tcPr>
          <w:p w14:paraId="7C21BABB" w14:textId="0550860B" w:rsidR="00594661" w:rsidRDefault="00594661" w:rsidP="001D0F8A">
            <w:pPr>
              <w:jc w:val="both"/>
            </w:pPr>
            <w:r>
              <w:t>26 unidades por hora</w:t>
            </w:r>
          </w:p>
        </w:tc>
        <w:tc>
          <w:tcPr>
            <w:tcW w:w="2313" w:type="dxa"/>
          </w:tcPr>
          <w:p w14:paraId="35059EBB" w14:textId="0249335D" w:rsidR="00594661" w:rsidRDefault="00594661" w:rsidP="001D0F8A">
            <w:pPr>
              <w:jc w:val="both"/>
            </w:pPr>
            <w:r>
              <w:t>25</w:t>
            </w:r>
          </w:p>
        </w:tc>
        <w:tc>
          <w:tcPr>
            <w:tcW w:w="1993" w:type="dxa"/>
          </w:tcPr>
          <w:p w14:paraId="61649E5B" w14:textId="33D649F7" w:rsidR="00594661" w:rsidRDefault="00594661" w:rsidP="001D0F8A">
            <w:pPr>
              <w:jc w:val="both"/>
            </w:pPr>
            <w:r>
              <w:t>Q. 0.25</w:t>
            </w:r>
          </w:p>
        </w:tc>
      </w:tr>
      <w:tr w:rsidR="00594661" w14:paraId="43D5588B" w14:textId="6C1BECDC" w:rsidTr="00594661">
        <w:tc>
          <w:tcPr>
            <w:tcW w:w="2247" w:type="dxa"/>
          </w:tcPr>
          <w:p w14:paraId="31DF1D9B" w14:textId="0FA3FCC5" w:rsidR="00594661" w:rsidRDefault="00594661" w:rsidP="001D0F8A">
            <w:pPr>
              <w:jc w:val="both"/>
            </w:pPr>
            <w:r>
              <w:t>Cebolla</w:t>
            </w:r>
          </w:p>
        </w:tc>
        <w:tc>
          <w:tcPr>
            <w:tcW w:w="2275" w:type="dxa"/>
          </w:tcPr>
          <w:p w14:paraId="577F8804" w14:textId="3EC2ED47" w:rsidR="00594661" w:rsidRDefault="00594661" w:rsidP="001D0F8A">
            <w:pPr>
              <w:jc w:val="both"/>
            </w:pPr>
            <w:r>
              <w:t>27 unidades por hora</w:t>
            </w:r>
          </w:p>
        </w:tc>
        <w:tc>
          <w:tcPr>
            <w:tcW w:w="2313" w:type="dxa"/>
          </w:tcPr>
          <w:p w14:paraId="5291F0F2" w14:textId="6042DD7E" w:rsidR="00594661" w:rsidRDefault="00594661" w:rsidP="001D0F8A">
            <w:pPr>
              <w:jc w:val="both"/>
            </w:pPr>
            <w:r>
              <w:t>25</w:t>
            </w:r>
          </w:p>
        </w:tc>
        <w:tc>
          <w:tcPr>
            <w:tcW w:w="1993" w:type="dxa"/>
          </w:tcPr>
          <w:p w14:paraId="065AB208" w14:textId="7BA4FF09" w:rsidR="00594661" w:rsidRDefault="00594661" w:rsidP="001D0F8A">
            <w:pPr>
              <w:jc w:val="both"/>
            </w:pPr>
            <w:r>
              <w:t>Q. 0.20</w:t>
            </w:r>
          </w:p>
        </w:tc>
      </w:tr>
      <w:tr w:rsidR="00594661" w14:paraId="3EDA9566" w14:textId="606C84FE" w:rsidTr="00594661">
        <w:tc>
          <w:tcPr>
            <w:tcW w:w="2247" w:type="dxa"/>
          </w:tcPr>
          <w:p w14:paraId="6AB2A429" w14:textId="273BB87B" w:rsidR="00594661" w:rsidRDefault="00594661" w:rsidP="001D0F8A">
            <w:pPr>
              <w:jc w:val="both"/>
            </w:pPr>
            <w:r>
              <w:t>Lechuga</w:t>
            </w:r>
          </w:p>
        </w:tc>
        <w:tc>
          <w:tcPr>
            <w:tcW w:w="2275" w:type="dxa"/>
          </w:tcPr>
          <w:p w14:paraId="6250A6AA" w14:textId="0DD6E3B3" w:rsidR="00594661" w:rsidRDefault="00594661" w:rsidP="001D0F8A">
            <w:pPr>
              <w:jc w:val="both"/>
            </w:pPr>
            <w:r>
              <w:t>20 unidades por hora</w:t>
            </w:r>
          </w:p>
        </w:tc>
        <w:tc>
          <w:tcPr>
            <w:tcW w:w="2313" w:type="dxa"/>
          </w:tcPr>
          <w:p w14:paraId="4B16A591" w14:textId="4AB470C8" w:rsidR="00594661" w:rsidRDefault="00594661" w:rsidP="001D0F8A">
            <w:pPr>
              <w:jc w:val="both"/>
            </w:pPr>
            <w:r>
              <w:t>18</w:t>
            </w:r>
          </w:p>
        </w:tc>
        <w:tc>
          <w:tcPr>
            <w:tcW w:w="1993" w:type="dxa"/>
          </w:tcPr>
          <w:p w14:paraId="3E36E4EE" w14:textId="51B2F403" w:rsidR="00594661" w:rsidRDefault="00594661" w:rsidP="001D0F8A">
            <w:pPr>
              <w:jc w:val="both"/>
            </w:pPr>
            <w:r>
              <w:t>Q. 1.90</w:t>
            </w:r>
          </w:p>
        </w:tc>
      </w:tr>
    </w:tbl>
    <w:p w14:paraId="3C824EA1" w14:textId="77777777" w:rsidR="00624CE8" w:rsidRDefault="00624CE8" w:rsidP="001D0F8A">
      <w:pPr>
        <w:spacing w:after="0"/>
        <w:jc w:val="both"/>
      </w:pPr>
    </w:p>
    <w:p w14:paraId="02E0AC01" w14:textId="67D2B0B7" w:rsidR="00624CE8" w:rsidRDefault="00624CE8" w:rsidP="001D0F8A">
      <w:pPr>
        <w:spacing w:after="0"/>
        <w:jc w:val="both"/>
      </w:pPr>
      <w:r>
        <w:t>Los vegetales pasan a una estación de desinfección/limpieza bajo la siguiente tabla:</w:t>
      </w:r>
    </w:p>
    <w:p w14:paraId="18D25305" w14:textId="77777777" w:rsidR="00624CE8" w:rsidRDefault="00624CE8" w:rsidP="001D0F8A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24CE8" w14:paraId="0CF00FBF" w14:textId="77777777" w:rsidTr="00E60E5F">
        <w:tc>
          <w:tcPr>
            <w:tcW w:w="2942" w:type="dxa"/>
          </w:tcPr>
          <w:p w14:paraId="448023CC" w14:textId="77777777" w:rsidR="00624CE8" w:rsidRDefault="00624CE8" w:rsidP="00E60E5F">
            <w:pPr>
              <w:jc w:val="both"/>
            </w:pPr>
            <w:r>
              <w:t>Vegetal</w:t>
            </w:r>
          </w:p>
        </w:tc>
        <w:tc>
          <w:tcPr>
            <w:tcW w:w="2943" w:type="dxa"/>
          </w:tcPr>
          <w:p w14:paraId="02EA1CBC" w14:textId="71F7B074" w:rsidR="00624CE8" w:rsidRDefault="00624CE8" w:rsidP="00E60E5F">
            <w:pPr>
              <w:jc w:val="both"/>
            </w:pPr>
            <w:r>
              <w:t>Tiempo</w:t>
            </w:r>
          </w:p>
        </w:tc>
        <w:tc>
          <w:tcPr>
            <w:tcW w:w="2943" w:type="dxa"/>
          </w:tcPr>
          <w:p w14:paraId="6A5D00AE" w14:textId="4EEA2BDA" w:rsidR="00624CE8" w:rsidRDefault="0019510F" w:rsidP="00E60E5F">
            <w:pPr>
              <w:jc w:val="both"/>
            </w:pPr>
            <w:r>
              <w:t>Pérdida</w:t>
            </w:r>
          </w:p>
        </w:tc>
      </w:tr>
      <w:tr w:rsidR="00624CE8" w14:paraId="0A21A348" w14:textId="77777777" w:rsidTr="00E60E5F">
        <w:tc>
          <w:tcPr>
            <w:tcW w:w="2942" w:type="dxa"/>
          </w:tcPr>
          <w:p w14:paraId="7098D884" w14:textId="77777777" w:rsidR="00624CE8" w:rsidRDefault="00624CE8" w:rsidP="00E60E5F">
            <w:pPr>
              <w:jc w:val="both"/>
            </w:pPr>
            <w:r>
              <w:t>Elote</w:t>
            </w:r>
          </w:p>
        </w:tc>
        <w:tc>
          <w:tcPr>
            <w:tcW w:w="2943" w:type="dxa"/>
          </w:tcPr>
          <w:p w14:paraId="32B740C2" w14:textId="2480EAE3" w:rsidR="00624CE8" w:rsidRDefault="00624CE8" w:rsidP="00E60E5F">
            <w:pPr>
              <w:jc w:val="both"/>
            </w:pPr>
            <w:r>
              <w:t>45 segundos</w:t>
            </w:r>
          </w:p>
        </w:tc>
        <w:tc>
          <w:tcPr>
            <w:tcW w:w="2943" w:type="dxa"/>
          </w:tcPr>
          <w:p w14:paraId="3B3C0F3E" w14:textId="4ACD542E" w:rsidR="00624CE8" w:rsidRDefault="0019510F" w:rsidP="00E60E5F">
            <w:pPr>
              <w:jc w:val="both"/>
            </w:pPr>
            <w:r>
              <w:t>5%</w:t>
            </w:r>
          </w:p>
        </w:tc>
      </w:tr>
      <w:tr w:rsidR="00624CE8" w14:paraId="59AD104B" w14:textId="77777777" w:rsidTr="00E60E5F">
        <w:tc>
          <w:tcPr>
            <w:tcW w:w="2942" w:type="dxa"/>
          </w:tcPr>
          <w:p w14:paraId="4781A7E5" w14:textId="77777777" w:rsidR="00624CE8" w:rsidRDefault="00624CE8" w:rsidP="00E60E5F">
            <w:pPr>
              <w:jc w:val="both"/>
            </w:pPr>
            <w:r>
              <w:t>Tomate</w:t>
            </w:r>
          </w:p>
        </w:tc>
        <w:tc>
          <w:tcPr>
            <w:tcW w:w="2943" w:type="dxa"/>
          </w:tcPr>
          <w:p w14:paraId="5412D282" w14:textId="0F581374" w:rsidR="00624CE8" w:rsidRDefault="00624CE8" w:rsidP="00E60E5F">
            <w:pPr>
              <w:jc w:val="both"/>
            </w:pPr>
            <w:r>
              <w:t>50 segundos</w:t>
            </w:r>
          </w:p>
        </w:tc>
        <w:tc>
          <w:tcPr>
            <w:tcW w:w="2943" w:type="dxa"/>
          </w:tcPr>
          <w:p w14:paraId="7122A8A7" w14:textId="260C35B5" w:rsidR="00624CE8" w:rsidRDefault="0019510F" w:rsidP="00E60E5F">
            <w:pPr>
              <w:jc w:val="both"/>
            </w:pPr>
            <w:r>
              <w:t>4%</w:t>
            </w:r>
          </w:p>
        </w:tc>
      </w:tr>
      <w:tr w:rsidR="00624CE8" w14:paraId="2F81C82D" w14:textId="77777777" w:rsidTr="00E60E5F">
        <w:tc>
          <w:tcPr>
            <w:tcW w:w="2942" w:type="dxa"/>
          </w:tcPr>
          <w:p w14:paraId="5F56F060" w14:textId="77777777" w:rsidR="00624CE8" w:rsidRDefault="00624CE8" w:rsidP="00E60E5F">
            <w:pPr>
              <w:jc w:val="both"/>
            </w:pPr>
            <w:r>
              <w:t>Cebolla</w:t>
            </w:r>
          </w:p>
        </w:tc>
        <w:tc>
          <w:tcPr>
            <w:tcW w:w="2943" w:type="dxa"/>
          </w:tcPr>
          <w:p w14:paraId="255078A1" w14:textId="0F1E7AEE" w:rsidR="00624CE8" w:rsidRDefault="00624CE8" w:rsidP="00E60E5F">
            <w:pPr>
              <w:jc w:val="both"/>
            </w:pPr>
            <w:r>
              <w:t xml:space="preserve">55 </w:t>
            </w:r>
            <w:r w:rsidR="0019510F">
              <w:t>segundos</w:t>
            </w:r>
          </w:p>
        </w:tc>
        <w:tc>
          <w:tcPr>
            <w:tcW w:w="2943" w:type="dxa"/>
          </w:tcPr>
          <w:p w14:paraId="1B308598" w14:textId="5C5B8D5B" w:rsidR="00624CE8" w:rsidRDefault="0019510F" w:rsidP="00E60E5F">
            <w:pPr>
              <w:jc w:val="both"/>
            </w:pPr>
            <w:r>
              <w:t>6%</w:t>
            </w:r>
          </w:p>
        </w:tc>
      </w:tr>
      <w:tr w:rsidR="00624CE8" w14:paraId="69F8AEAC" w14:textId="77777777" w:rsidTr="00E60E5F">
        <w:tc>
          <w:tcPr>
            <w:tcW w:w="2942" w:type="dxa"/>
          </w:tcPr>
          <w:p w14:paraId="20E9236B" w14:textId="77777777" w:rsidR="00624CE8" w:rsidRDefault="00624CE8" w:rsidP="00E60E5F">
            <w:pPr>
              <w:jc w:val="both"/>
            </w:pPr>
            <w:r>
              <w:t>Lechuga</w:t>
            </w:r>
          </w:p>
        </w:tc>
        <w:tc>
          <w:tcPr>
            <w:tcW w:w="2943" w:type="dxa"/>
          </w:tcPr>
          <w:p w14:paraId="2B0074C6" w14:textId="6AFD19BE" w:rsidR="00624CE8" w:rsidRDefault="0019510F" w:rsidP="00E60E5F">
            <w:pPr>
              <w:jc w:val="both"/>
            </w:pPr>
            <w:r>
              <w:t>65 segundos</w:t>
            </w:r>
          </w:p>
        </w:tc>
        <w:tc>
          <w:tcPr>
            <w:tcW w:w="2943" w:type="dxa"/>
          </w:tcPr>
          <w:p w14:paraId="4B8C8C8C" w14:textId="7D9835B7" w:rsidR="00624CE8" w:rsidRDefault="0019510F" w:rsidP="00E60E5F">
            <w:pPr>
              <w:jc w:val="both"/>
            </w:pPr>
            <w:r>
              <w:t>3%</w:t>
            </w:r>
          </w:p>
        </w:tc>
      </w:tr>
    </w:tbl>
    <w:p w14:paraId="11FAE8CC" w14:textId="77777777" w:rsidR="00624CE8" w:rsidRDefault="00624CE8" w:rsidP="001D0F8A">
      <w:pPr>
        <w:spacing w:after="0"/>
        <w:jc w:val="both"/>
      </w:pPr>
    </w:p>
    <w:p w14:paraId="5743CBFB" w14:textId="6083B34A" w:rsidR="0019510F" w:rsidRDefault="0019510F" w:rsidP="001D0F8A">
      <w:pPr>
        <w:spacing w:after="0"/>
        <w:jc w:val="both"/>
      </w:pPr>
      <w:r>
        <w:t>Además, al sistema ingresan bandejas a un ritmo de una bandeja cada 48 segundos y pasan por una fase de desinfección limpieza que toma aproximadamente 1 minuto por bandeja y se pierde un 8% de las bandejas</w:t>
      </w:r>
      <w:r w:rsidR="00594661">
        <w:t>, las bandejas tienen un costo de Q. 0.35.</w:t>
      </w:r>
    </w:p>
    <w:p w14:paraId="347FEB63" w14:textId="2A75FCF9" w:rsidR="0019510F" w:rsidRDefault="0019510F" w:rsidP="001D0F8A">
      <w:pPr>
        <w:spacing w:after="0"/>
        <w:jc w:val="both"/>
      </w:pPr>
    </w:p>
    <w:p w14:paraId="0B76A54A" w14:textId="4C3FC4CE" w:rsidR="0019510F" w:rsidRDefault="0019510F" w:rsidP="001D0F8A">
      <w:pPr>
        <w:spacing w:after="0"/>
        <w:jc w:val="both"/>
      </w:pPr>
      <w:r>
        <w:t xml:space="preserve">Adicional a ello, hay una estación de empaque en donde se deben unir los vegetales con el empaque para poder formar un producto empacado, este proceso demora un tiempo de </w:t>
      </w:r>
      <w:r w:rsidR="00594661">
        <w:t>1.75</w:t>
      </w:r>
      <w:r>
        <w:t xml:space="preserve"> minutos por bandeja para garantizar los estándares.</w:t>
      </w:r>
    </w:p>
    <w:p w14:paraId="63E29A7A" w14:textId="074D29AB" w:rsidR="0019510F" w:rsidRDefault="0019510F" w:rsidP="001D0F8A">
      <w:pPr>
        <w:spacing w:after="0"/>
        <w:jc w:val="both"/>
      </w:pPr>
    </w:p>
    <w:p w14:paraId="36443573" w14:textId="61D92B61" w:rsidR="0019510F" w:rsidRDefault="0019510F" w:rsidP="001D0F8A">
      <w:pPr>
        <w:spacing w:after="0"/>
        <w:jc w:val="both"/>
      </w:pPr>
      <w:r>
        <w:t xml:space="preserve">Finalmente, los productos se trasladan a una etapa de etiquetado en donde se le coloca un </w:t>
      </w:r>
      <w:proofErr w:type="spellStart"/>
      <w:r>
        <w:t>sticker</w:t>
      </w:r>
      <w:proofErr w:type="spellEnd"/>
      <w:r>
        <w:t xml:space="preserve"> a l</w:t>
      </w:r>
      <w:r w:rsidR="0047046C">
        <w:t xml:space="preserve">as bandejas, este proceso demora alrededor de 30 segundos y en este proceso se </w:t>
      </w:r>
      <w:r w:rsidR="00C363A9">
        <w:t>detecta que falla un 7% y se deben desechar las bandejas.</w:t>
      </w:r>
    </w:p>
    <w:p w14:paraId="63621C4D" w14:textId="45E49DAC" w:rsidR="00C363A9" w:rsidRDefault="00C363A9" w:rsidP="001D0F8A">
      <w:pPr>
        <w:spacing w:after="0"/>
        <w:jc w:val="both"/>
      </w:pPr>
    </w:p>
    <w:p w14:paraId="6E81B84E" w14:textId="1ABA44E5" w:rsidR="00C363A9" w:rsidRDefault="00C363A9" w:rsidP="001D0F8A">
      <w:pPr>
        <w:spacing w:after="0"/>
        <w:jc w:val="both"/>
      </w:pPr>
      <w:r>
        <w:t>Los costos por utilización de las locaciones son:</w:t>
      </w:r>
    </w:p>
    <w:p w14:paraId="76F1BA8A" w14:textId="5242DF76" w:rsidR="00C363A9" w:rsidRDefault="00C363A9" w:rsidP="00C363A9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Locaciones de desinfección </w:t>
      </w:r>
      <w:r w:rsidR="00594661">
        <w:t>Q. 12 por hora</w:t>
      </w:r>
    </w:p>
    <w:p w14:paraId="6A839DE9" w14:textId="2FBDB577" w:rsidR="00594661" w:rsidRDefault="00594661" w:rsidP="00C363A9">
      <w:pPr>
        <w:pStyle w:val="ListParagraph"/>
        <w:numPr>
          <w:ilvl w:val="0"/>
          <w:numId w:val="7"/>
        </w:numPr>
        <w:spacing w:after="0"/>
        <w:jc w:val="both"/>
      </w:pPr>
      <w:r>
        <w:t>Estación de Empaque: Q. 15 por hora</w:t>
      </w:r>
    </w:p>
    <w:p w14:paraId="7DF15638" w14:textId="77777777" w:rsidR="0019510F" w:rsidRDefault="0019510F" w:rsidP="001D0F8A">
      <w:pPr>
        <w:spacing w:after="0"/>
        <w:jc w:val="both"/>
      </w:pPr>
    </w:p>
    <w:p w14:paraId="726918AD" w14:textId="657BFA49" w:rsidR="001D0F8A" w:rsidRDefault="001D0F8A" w:rsidP="001D0F8A">
      <w:pPr>
        <w:spacing w:after="0"/>
        <w:jc w:val="both"/>
      </w:pPr>
      <w:r>
        <w:lastRenderedPageBreak/>
        <w:t>Se le solicita que realice una simulación de 200 horas de trabajo.</w:t>
      </w:r>
    </w:p>
    <w:p w14:paraId="44E49624" w14:textId="77777777" w:rsidR="001D0F8A" w:rsidRDefault="001D0F8A" w:rsidP="001D0F8A">
      <w:pPr>
        <w:spacing w:after="0"/>
        <w:jc w:val="both"/>
      </w:pPr>
    </w:p>
    <w:p w14:paraId="1060AF22" w14:textId="77777777" w:rsidR="001D0F8A" w:rsidRDefault="001D0F8A" w:rsidP="001D0F8A">
      <w:pPr>
        <w:spacing w:after="0"/>
        <w:jc w:val="both"/>
      </w:pPr>
    </w:p>
    <w:p w14:paraId="682B6CD6" w14:textId="77777777" w:rsidR="001D0F8A" w:rsidRDefault="001D0F8A" w:rsidP="001D0F8A">
      <w:pPr>
        <w:spacing w:after="0"/>
        <w:jc w:val="both"/>
      </w:pPr>
    </w:p>
    <w:p w14:paraId="64FB4480" w14:textId="77777777" w:rsidR="001D0F8A" w:rsidRDefault="001D0F8A" w:rsidP="001D0F8A">
      <w:pPr>
        <w:spacing w:after="0"/>
        <w:jc w:val="both"/>
      </w:pPr>
    </w:p>
    <w:p w14:paraId="167FDEE2" w14:textId="77777777" w:rsidR="001D0F8A" w:rsidRDefault="001D0F8A" w:rsidP="001D0F8A">
      <w:pPr>
        <w:spacing w:after="0"/>
        <w:jc w:val="both"/>
      </w:pPr>
      <w:r>
        <w:t>Responda a lo siguiente:</w:t>
      </w:r>
    </w:p>
    <w:p w14:paraId="631FC8E8" w14:textId="0FE3BFA2" w:rsidR="00C363A9" w:rsidRDefault="00C363A9" w:rsidP="00C363A9">
      <w:pPr>
        <w:pStyle w:val="ListParagraph"/>
        <w:numPr>
          <w:ilvl w:val="0"/>
          <w:numId w:val="6"/>
        </w:numPr>
        <w:spacing w:after="0"/>
        <w:jc w:val="both"/>
      </w:pPr>
      <w:r>
        <w:t>Bandejas de producto que finalizaron el proceso de producción.</w:t>
      </w:r>
    </w:p>
    <w:p w14:paraId="3167E7D5" w14:textId="4C05DE94" w:rsidR="001D0F8A" w:rsidRDefault="00C363A9" w:rsidP="00C363A9">
      <w:pPr>
        <w:pStyle w:val="ListParagraph"/>
        <w:numPr>
          <w:ilvl w:val="0"/>
          <w:numId w:val="6"/>
        </w:numPr>
        <w:spacing w:after="0"/>
        <w:jc w:val="both"/>
      </w:pPr>
      <w:r>
        <w:t>Cuántas bandejas de producto pudo armar con la cantidad de producto que se desecharon.</w:t>
      </w:r>
    </w:p>
    <w:p w14:paraId="1838B57A" w14:textId="648235E2" w:rsidR="00042D94" w:rsidRDefault="00042D94" w:rsidP="00C363A9">
      <w:pPr>
        <w:pStyle w:val="ListParagraph"/>
        <w:numPr>
          <w:ilvl w:val="0"/>
          <w:numId w:val="6"/>
        </w:numPr>
        <w:spacing w:after="0"/>
        <w:jc w:val="both"/>
      </w:pPr>
      <w:r>
        <w:t>Costo Total de la Producción</w:t>
      </w:r>
    </w:p>
    <w:p w14:paraId="725A0D65" w14:textId="78C608D8" w:rsidR="00042D94" w:rsidRDefault="00042D94" w:rsidP="00C363A9">
      <w:pPr>
        <w:pStyle w:val="ListParagraph"/>
        <w:numPr>
          <w:ilvl w:val="0"/>
          <w:numId w:val="6"/>
        </w:numPr>
        <w:spacing w:after="0"/>
        <w:jc w:val="both"/>
      </w:pPr>
      <w:r>
        <w:t>Costo Unitario de la Producción de bandejas</w:t>
      </w:r>
    </w:p>
    <w:p w14:paraId="604E4D6A" w14:textId="2D7D41F0" w:rsidR="00042D94" w:rsidRDefault="00042D94" w:rsidP="00C363A9">
      <w:pPr>
        <w:pStyle w:val="ListParagraph"/>
        <w:numPr>
          <w:ilvl w:val="0"/>
          <w:numId w:val="6"/>
        </w:numPr>
        <w:spacing w:after="0"/>
        <w:jc w:val="both"/>
      </w:pPr>
      <w:r>
        <w:t>Costo del producto que se desecha en el proceso</w:t>
      </w:r>
    </w:p>
    <w:p w14:paraId="7A35B16A" w14:textId="77777777" w:rsidR="001D0F8A" w:rsidRDefault="001D0F8A" w:rsidP="001D0F8A">
      <w:pPr>
        <w:spacing w:after="0"/>
        <w:jc w:val="both"/>
      </w:pPr>
    </w:p>
    <w:p w14:paraId="78E423F1" w14:textId="77777777" w:rsidR="001D0F8A" w:rsidRPr="001D0F8A" w:rsidRDefault="001D0F8A" w:rsidP="001D0F8A">
      <w:pPr>
        <w:spacing w:after="0"/>
        <w:jc w:val="both"/>
        <w:rPr>
          <w:b/>
        </w:rPr>
      </w:pPr>
      <w:r w:rsidRPr="001D0F8A">
        <w:rPr>
          <w:b/>
        </w:rPr>
        <w:t>TAREA:</w:t>
      </w:r>
    </w:p>
    <w:p w14:paraId="6343DF3E" w14:textId="7227A742" w:rsidR="007B720E" w:rsidRPr="000B789D" w:rsidRDefault="007B720E" w:rsidP="001D0F8A">
      <w:pPr>
        <w:spacing w:after="0"/>
        <w:jc w:val="both"/>
      </w:pPr>
    </w:p>
    <w:sectPr w:rsidR="007B720E" w:rsidRPr="000B7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545"/>
    <w:multiLevelType w:val="hybridMultilevel"/>
    <w:tmpl w:val="16D68FD2"/>
    <w:lvl w:ilvl="0" w:tplc="00EEF288">
      <w:start w:val="6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4E8D"/>
    <w:multiLevelType w:val="hybridMultilevel"/>
    <w:tmpl w:val="63C0233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D0072"/>
    <w:multiLevelType w:val="hybridMultilevel"/>
    <w:tmpl w:val="5F0488F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A0707"/>
    <w:multiLevelType w:val="hybridMultilevel"/>
    <w:tmpl w:val="88E4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67DE0"/>
    <w:multiLevelType w:val="hybridMultilevel"/>
    <w:tmpl w:val="F7C4B8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D67C5"/>
    <w:multiLevelType w:val="hybridMultilevel"/>
    <w:tmpl w:val="EF0AD73C"/>
    <w:lvl w:ilvl="0" w:tplc="188275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43642"/>
    <w:multiLevelType w:val="hybridMultilevel"/>
    <w:tmpl w:val="2626C648"/>
    <w:lvl w:ilvl="0" w:tplc="2618BB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215092">
    <w:abstractNumId w:val="6"/>
  </w:num>
  <w:num w:numId="2" w16cid:durableId="61879805">
    <w:abstractNumId w:val="2"/>
  </w:num>
  <w:num w:numId="3" w16cid:durableId="782843440">
    <w:abstractNumId w:val="5"/>
  </w:num>
  <w:num w:numId="4" w16cid:durableId="1110710045">
    <w:abstractNumId w:val="4"/>
  </w:num>
  <w:num w:numId="5" w16cid:durableId="1422025105">
    <w:abstractNumId w:val="1"/>
  </w:num>
  <w:num w:numId="6" w16cid:durableId="316493019">
    <w:abstractNumId w:val="3"/>
  </w:num>
  <w:num w:numId="7" w16cid:durableId="98173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82"/>
    <w:rsid w:val="0000615D"/>
    <w:rsid w:val="00042D94"/>
    <w:rsid w:val="000B789D"/>
    <w:rsid w:val="000C1146"/>
    <w:rsid w:val="001434D3"/>
    <w:rsid w:val="0019510F"/>
    <w:rsid w:val="001D0F8A"/>
    <w:rsid w:val="001D1982"/>
    <w:rsid w:val="00207A0C"/>
    <w:rsid w:val="002C4D42"/>
    <w:rsid w:val="00302F7A"/>
    <w:rsid w:val="00323711"/>
    <w:rsid w:val="0045613C"/>
    <w:rsid w:val="0047046C"/>
    <w:rsid w:val="004A2BED"/>
    <w:rsid w:val="00516584"/>
    <w:rsid w:val="005527F4"/>
    <w:rsid w:val="00594661"/>
    <w:rsid w:val="005A29FE"/>
    <w:rsid w:val="00624CE8"/>
    <w:rsid w:val="006949E3"/>
    <w:rsid w:val="0079730B"/>
    <w:rsid w:val="007B720E"/>
    <w:rsid w:val="00886F35"/>
    <w:rsid w:val="00946545"/>
    <w:rsid w:val="0099728A"/>
    <w:rsid w:val="00A274CE"/>
    <w:rsid w:val="00C00382"/>
    <w:rsid w:val="00C363A9"/>
    <w:rsid w:val="00D9584E"/>
    <w:rsid w:val="00E55197"/>
    <w:rsid w:val="00FE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BF21"/>
  <w15:docId w15:val="{7548C4CD-57C2-43D9-A2F1-4481866A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84E"/>
    <w:pPr>
      <w:ind w:left="720"/>
      <w:contextualSpacing/>
    </w:pPr>
  </w:style>
  <w:style w:type="table" w:styleId="TableGrid">
    <w:name w:val="Table Grid"/>
    <w:basedOn w:val="TableNormal"/>
    <w:uiPriority w:val="59"/>
    <w:rsid w:val="00624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9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 Cesar Salvador Rojas Argueta</dc:creator>
  <cp:lastModifiedBy>ROJAS ARGUETA, CESAR SALVADOR</cp:lastModifiedBy>
  <cp:revision>2</cp:revision>
  <dcterms:created xsi:type="dcterms:W3CDTF">2024-05-15T21:28:00Z</dcterms:created>
  <dcterms:modified xsi:type="dcterms:W3CDTF">2024-05-15T21:28:00Z</dcterms:modified>
</cp:coreProperties>
</file>