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F64F" w14:textId="77777777" w:rsidR="00A24A6D" w:rsidRPr="005E26C9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Universidad Rafael Landívar</w:t>
      </w:r>
    </w:p>
    <w:p w14:paraId="320F076C" w14:textId="77777777" w:rsidR="00A24A6D" w:rsidRPr="005E26C9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Facultad de Ingeniería</w:t>
      </w:r>
    </w:p>
    <w:p w14:paraId="059C8218" w14:textId="77777777" w:rsidR="00A24A6D" w:rsidRPr="005E26C9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Ingeniería en Sistemas</w:t>
      </w:r>
    </w:p>
    <w:p w14:paraId="60378D9C" w14:textId="77777777" w:rsidR="00A24A6D" w:rsidRPr="005E26C9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Laboratorio de Química Básica, sección 7</w:t>
      </w:r>
    </w:p>
    <w:p w14:paraId="4E409108" w14:textId="77777777" w:rsidR="00A24A6D" w:rsidRPr="00F44D0E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Catedrático: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Lisbeth </w:t>
      </w: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Gabriela Zelada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Martinez</w:t>
      </w:r>
    </w:p>
    <w:p w14:paraId="1E08C74F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Auxiliar: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Carlos Bran </w:t>
      </w:r>
    </w:p>
    <w:p w14:paraId="51D2EEA6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41A450D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ED7C909" w14:textId="77777777" w:rsidR="00A24A6D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748126B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2F77CE6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B7F37DA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A8E9E29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C564DF5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5F97949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EAEB1B9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EE4D5A1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BE47002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5A9D37E" w14:textId="0D2BAFD4" w:rsidR="00A24A6D" w:rsidRPr="00B931F3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INVESTIGACIÓN PREVIA PARA LA ACTIVIDAD 6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NOMENCLATURA QUÍMICA INORGÁNICA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 </w:t>
      </w:r>
    </w:p>
    <w:p w14:paraId="1F236FA7" w14:textId="77777777" w:rsidR="00A24A6D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D7F1C35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069DC1F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82E53F2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4575E15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6C11489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83D9B7D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E8314CD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5C1E932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B1BEC38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941FE01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3BA484C" w14:textId="77777777" w:rsidR="00A24A6D" w:rsidRDefault="00A24A6D" w:rsidP="00A24A6D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C7486F0" w14:textId="77777777" w:rsidR="00A24A6D" w:rsidRDefault="00A24A6D" w:rsidP="00A24A6D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Julio Anthony Engels Ruiz Coto - 1284719</w:t>
      </w:r>
    </w:p>
    <w:p w14:paraId="1D69A4A5" w14:textId="77777777" w:rsidR="00A24A6D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8DE005D" w14:textId="77777777" w:rsidR="00A24A6D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7C0F95A" w14:textId="77777777" w:rsidR="00A24A6D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12ADE6B" w14:textId="78054083" w:rsidR="00A24A6D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  <w:sectPr w:rsidR="00A24A6D" w:rsidSect="00A24A6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Guatemala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01</w:t>
      </w:r>
      <w:r w:rsidR="00035B35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abril </w:t>
      </w: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de 2025</w:t>
      </w:r>
    </w:p>
    <w:p w14:paraId="24A377EE" w14:textId="77777777" w:rsidR="00A24A6D" w:rsidRDefault="00A24A6D" w:rsidP="00A24A6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sdt>
      <w:sdtPr>
        <w:rPr>
          <w:rFonts w:ascii="Times New Roman" w:eastAsia="Times New Roman" w:hAnsi="Times New Roman" w:cs="Times New Roman"/>
          <w:color w:val="auto"/>
          <w:sz w:val="21"/>
          <w:szCs w:val="21"/>
          <w:lang w:val="es-ES" w:eastAsia="en-US"/>
        </w:rPr>
        <w:id w:val="-158120623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</w:rPr>
      </w:sdtEndPr>
      <w:sdtContent>
        <w:p w14:paraId="2E3C9CC2" w14:textId="77777777" w:rsidR="00A24A6D" w:rsidRPr="00BC5C79" w:rsidRDefault="00A24A6D" w:rsidP="00A24A6D">
          <w:pPr>
            <w:pStyle w:val="TtuloTDC"/>
            <w:jc w:val="center"/>
            <w:rPr>
              <w:rFonts w:ascii="Times New Roman" w:eastAsia="Times New Roman" w:hAnsi="Times New Roman" w:cs="Times New Roman"/>
              <w:b/>
              <w:bCs/>
              <w:color w:val="F6F6F6"/>
              <w:sz w:val="36"/>
              <w:szCs w:val="36"/>
              <w:u w:val="single"/>
            </w:rPr>
          </w:pPr>
          <w:r w:rsidRPr="00BC5C7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  <w:u w:val="single"/>
              <w:lang w:val="es-ES"/>
            </w:rPr>
            <w:t>ÍNDICE</w:t>
          </w:r>
        </w:p>
        <w:p w14:paraId="49F53C92" w14:textId="4AB1DC5B" w:rsidR="00F158B5" w:rsidRDefault="00A24A6D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r w:rsidRPr="6F3DD70F">
            <w:fldChar w:fldCharType="begin"/>
          </w:r>
          <w:r>
            <w:instrText xml:space="preserve"> TOC \o "1-3" \h \z \u </w:instrText>
          </w:r>
          <w:r w:rsidRPr="6F3DD70F">
            <w:fldChar w:fldCharType="separate"/>
          </w:r>
          <w:hyperlink w:anchor="_Toc194307708" w:history="1">
            <w:r w:rsidR="00F158B5" w:rsidRPr="00C84950">
              <w:rPr>
                <w:rStyle w:val="Hipervnculo"/>
                <w:rFonts w:ascii="Times New Roman" w:hAnsi="Times New Roman" w:cs="Times New Roman"/>
                <w:noProof/>
              </w:rPr>
              <w:t>I.</w:t>
            </w:r>
            <w:r w:rsidR="00F158B5"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="00F158B5" w:rsidRPr="00C84950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 w:rsidR="00F158B5">
              <w:rPr>
                <w:noProof/>
                <w:webHidden/>
              </w:rPr>
              <w:tab/>
            </w:r>
            <w:r w:rsidR="00F158B5">
              <w:rPr>
                <w:noProof/>
                <w:webHidden/>
              </w:rPr>
              <w:fldChar w:fldCharType="begin"/>
            </w:r>
            <w:r w:rsidR="00F158B5">
              <w:rPr>
                <w:noProof/>
                <w:webHidden/>
              </w:rPr>
              <w:instrText xml:space="preserve"> PAGEREF _Toc194307708 \h </w:instrText>
            </w:r>
            <w:r w:rsidR="00F158B5">
              <w:rPr>
                <w:noProof/>
                <w:webHidden/>
              </w:rPr>
            </w:r>
            <w:r w:rsidR="00F158B5">
              <w:rPr>
                <w:noProof/>
                <w:webHidden/>
              </w:rPr>
              <w:fldChar w:fldCharType="separate"/>
            </w:r>
            <w:r w:rsidR="00F158B5">
              <w:rPr>
                <w:noProof/>
                <w:webHidden/>
              </w:rPr>
              <w:t>1</w:t>
            </w:r>
            <w:r w:rsidR="00F158B5">
              <w:rPr>
                <w:noProof/>
                <w:webHidden/>
              </w:rPr>
              <w:fldChar w:fldCharType="end"/>
            </w:r>
          </w:hyperlink>
        </w:p>
        <w:p w14:paraId="602185C1" w14:textId="4847CEC4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09" w:history="1">
            <w:r w:rsidRPr="00C84950">
              <w:rPr>
                <w:rStyle w:val="Hipervnculo"/>
                <w:rFonts w:ascii="Times New Roman" w:eastAsia="Times New Roman" w:hAnsi="Times New Roman" w:cs="Times New Roman"/>
                <w:noProof/>
              </w:rPr>
              <w:t>I.I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195B" w14:textId="2366CCED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0" w:history="1">
            <w:r w:rsidRPr="00C84950">
              <w:rPr>
                <w:rStyle w:val="Hipervnculo"/>
                <w:rFonts w:ascii="Times New Roman" w:eastAsia="Times New Roman" w:hAnsi="Times New Roman" w:cs="Times New Roman"/>
                <w:noProof/>
              </w:rPr>
              <w:t>I.II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5C2D" w14:textId="161C6449" w:rsidR="00F158B5" w:rsidRDefault="00F158B5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1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F2F4" w14:textId="429D1BF9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2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B605C" w14:textId="5616A0E0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3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II.I.I INTRODUCCIÓN A LA NOMENCLATURA QUÍMICA INORGÁNICA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5FE6" w14:textId="5C2A81A8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4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II.I.II CLASIFICACIÓN DE COMPUESTOS QUÍMICOS INORGÁNICOS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7B00E" w14:textId="4A946EE3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5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II.I.II.I COMPUESTOS BINARIOS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9D717" w14:textId="3E4C5FB0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6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II.I.II.II COMPUESTOS TERNARIOS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D4435" w14:textId="69BFBCE3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7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II.I.II.III COMPUESTOS CUATERNARIOS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573B" w14:textId="2DE450D9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8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II.I.III REGLAS FUNDAMENTALES DE LA NOMENCLATURA INORGÁNICA SEGÚN BELTETHON (2012)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5231" w14:textId="7DA52954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19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II.I.IV SISTEMAS DE NOMENCLATURA QUÍMICA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F00E2" w14:textId="55A54C47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20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II.I.V IMPORTANCIA CIENTÍFICA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1CB33" w14:textId="3CCBB222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21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II.II REACCIONES QUÍMICAS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28FD" w14:textId="6275C07D" w:rsidR="00F158B5" w:rsidRDefault="00F158B5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22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ECUACIONES Y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33FF" w14:textId="6E36B3DF" w:rsidR="00F158B5" w:rsidRDefault="00F158B5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23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IV.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99F6B" w14:textId="072F4E8E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24" w:history="1">
            <w:r w:rsidRPr="00C84950">
              <w:rPr>
                <w:rStyle w:val="Hipervnculo"/>
                <w:rFonts w:ascii="Times New Roman" w:hAnsi="Times New Roman" w:cs="Times New Roman"/>
                <w:noProof/>
              </w:rPr>
              <w:t>VI.I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A748" w14:textId="4BB4ED86" w:rsidR="00F158B5" w:rsidRDefault="00F158B5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4307725" w:history="1">
            <w:r w:rsidRPr="00C84950">
              <w:rPr>
                <w:rStyle w:val="Hipervnculo"/>
                <w:rFonts w:ascii="Times New Roman" w:hAnsi="Times New Roman" w:cs="Times New Roman"/>
                <w:noProof/>
                <w:lang w:val="en-US"/>
              </w:rPr>
              <w:t>VI.II REFERENCIAS ELECTRÓNICAS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_Toc194307725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1228" w14:textId="3D5F6613" w:rsidR="00A24A6D" w:rsidRDefault="00A24A6D" w:rsidP="00A24A6D">
          <w:pPr>
            <w:rPr>
              <w:rFonts w:ascii="Times New Roman" w:eastAsia="Times New Roman" w:hAnsi="Times New Roman" w:cs="Times New Roman"/>
              <w:b/>
              <w:bCs/>
              <w:noProof/>
              <w:lang w:val="es-ES"/>
            </w:rPr>
          </w:pPr>
          <w:r w:rsidRPr="6F3DD70F">
            <w:rPr>
              <w:b/>
              <w:bCs/>
              <w:lang w:val="es-ES"/>
            </w:rPr>
            <w:fldChar w:fldCharType="end"/>
          </w:r>
        </w:p>
      </w:sdtContent>
    </w:sdt>
    <w:p w14:paraId="4DFC3B1B" w14:textId="77777777" w:rsidR="00A24A6D" w:rsidRDefault="00A24A6D" w:rsidP="00A24A6D">
      <w:pPr>
        <w:spacing w:after="160" w:line="259" w:lineRule="auto"/>
        <w:rPr>
          <w:rFonts w:ascii="Times New Roman" w:hAnsi="Times New Roman" w:cs="Times New Roman"/>
          <w:sz w:val="36"/>
          <w:szCs w:val="36"/>
          <w:u w:val="single"/>
        </w:rPr>
        <w:sectPr w:rsidR="00A24A6D" w:rsidSect="00A24A6D">
          <w:headerReference w:type="default" r:id="rId13"/>
          <w:footerReference w:type="default" r:id="rId14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6F3DD70F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0" w:name="_Toc111908913"/>
    </w:p>
    <w:p w14:paraId="60746BF3" w14:textId="77777777" w:rsidR="00A24A6D" w:rsidRPr="003D6752" w:rsidRDefault="00A24A6D" w:rsidP="00A24A6D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" w:name="_Toc188984045"/>
      <w:bookmarkStart w:id="2" w:name="_Toc194307708"/>
      <w:bookmarkEnd w:id="0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OBJETIVOS</w:t>
      </w:r>
      <w:bookmarkEnd w:id="1"/>
      <w:bookmarkEnd w:id="2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</w:t>
      </w:r>
    </w:p>
    <w:p w14:paraId="6D5E2DC1" w14:textId="77777777" w:rsidR="00A24A6D" w:rsidRPr="000603D1" w:rsidRDefault="00A24A6D" w:rsidP="00A24A6D">
      <w:pPr>
        <w:rPr>
          <w:rFonts w:ascii="Times New Roman" w:eastAsia="Times New Roman" w:hAnsi="Times New Roman" w:cs="Times New Roman"/>
        </w:rPr>
      </w:pPr>
    </w:p>
    <w:p w14:paraId="510E3535" w14:textId="77777777" w:rsidR="00A24A6D" w:rsidRDefault="00A24A6D" w:rsidP="00A24A6D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189213557"/>
      <w:bookmarkStart w:id="4" w:name="_Toc194307709"/>
      <w:proofErr w:type="spellStart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>I.I</w:t>
      </w:r>
      <w:proofErr w:type="spellEnd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GENERAL</w:t>
      </w:r>
      <w:bookmarkEnd w:id="3"/>
      <w:bookmarkEnd w:id="4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1C821A21" w14:textId="77777777" w:rsidR="00B0047F" w:rsidRPr="00B0047F" w:rsidRDefault="00B0047F" w:rsidP="00B0047F">
      <w:pPr>
        <w:jc w:val="both"/>
        <w:rPr>
          <w:rFonts w:ascii="Times New Roman" w:hAnsi="Times New Roman" w:cs="Times New Roman"/>
          <w:sz w:val="22"/>
          <w:szCs w:val="22"/>
        </w:rPr>
      </w:pPr>
      <w:bookmarkStart w:id="5" w:name="_Toc189213558"/>
      <w:r w:rsidRPr="00B0047F">
        <w:rPr>
          <w:rFonts w:ascii="Times New Roman" w:hAnsi="Times New Roman" w:cs="Times New Roman"/>
          <w:sz w:val="22"/>
          <w:szCs w:val="22"/>
        </w:rPr>
        <w:t>Analizar la nomenclatura química inorgánica y aplicar los sistemas clásico, estequiométrico y Stock para denominar y clasificar compuestos binarios, ternarios y cuaternarios.</w:t>
      </w:r>
    </w:p>
    <w:p w14:paraId="3281D7FB" w14:textId="1E78D4A2" w:rsidR="00A24A6D" w:rsidRDefault="00A24A6D" w:rsidP="00A24A6D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6" w:name="_Toc194307710"/>
      <w:proofErr w:type="spellStart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>I.II</w:t>
      </w:r>
      <w:proofErr w:type="spellEnd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ESPECÍFICOS</w:t>
      </w:r>
      <w:bookmarkEnd w:id="5"/>
      <w:bookmarkEnd w:id="6"/>
      <w:r w:rsidRPr="00B909D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DA18FC1" w14:textId="067514CE" w:rsidR="00B0047F" w:rsidRPr="00B0047F" w:rsidRDefault="00B0047F" w:rsidP="00B0047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0047F">
        <w:rPr>
          <w:rFonts w:ascii="Times New Roman" w:hAnsi="Times New Roman" w:cs="Times New Roman"/>
          <w:sz w:val="22"/>
          <w:szCs w:val="22"/>
        </w:rPr>
        <w:t>Identificar las principales clasificaciones y subclasificaciones de compuestos inorgánicos (binarios, ternarios y cuaternarios) mediante la construcción de un mapa conceptual.</w:t>
      </w:r>
    </w:p>
    <w:p w14:paraId="1A14D607" w14:textId="08E25100" w:rsidR="00B0047F" w:rsidRPr="00B0047F" w:rsidRDefault="00B0047F" w:rsidP="00B0047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0047F">
        <w:rPr>
          <w:rFonts w:ascii="Times New Roman" w:hAnsi="Times New Roman" w:cs="Times New Roman"/>
          <w:sz w:val="22"/>
          <w:szCs w:val="22"/>
        </w:rPr>
        <w:t>Diferenciar los criterios de cada sistema de nomenclatura (clásico, estequiométrico y Stock) al nombrar compuestos inorgánicos con base en sus valencias y funciones químicas.</w:t>
      </w:r>
    </w:p>
    <w:p w14:paraId="2C638823" w14:textId="7B6D9562" w:rsidR="00B0047F" w:rsidRPr="00B0047F" w:rsidRDefault="00B0047F" w:rsidP="00B0047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0047F">
        <w:rPr>
          <w:rFonts w:ascii="Times New Roman" w:hAnsi="Times New Roman" w:cs="Times New Roman"/>
          <w:sz w:val="22"/>
          <w:szCs w:val="22"/>
        </w:rPr>
        <w:t>Clasificar correctamente los compuestos presentados en la actividad según sus características estructurales y la función química correspondiente.</w:t>
      </w:r>
    </w:p>
    <w:p w14:paraId="016A6609" w14:textId="57D98793" w:rsidR="00B0047F" w:rsidRPr="00B0047F" w:rsidRDefault="00B0047F" w:rsidP="00B0047F">
      <w:pPr>
        <w:pStyle w:val="Prrafodelista"/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0047F">
        <w:rPr>
          <w:rFonts w:ascii="Times New Roman" w:hAnsi="Times New Roman" w:cs="Times New Roman"/>
          <w:sz w:val="22"/>
          <w:szCs w:val="22"/>
        </w:rPr>
        <w:t>Verificar la exactitud de las fórmulas y nombres de los compuestos inorgánicos a través de la revisión de las reglas de nomenclatura vigentes.</w:t>
      </w:r>
    </w:p>
    <w:p w14:paraId="72D2D5C9" w14:textId="77777777" w:rsidR="00B0047F" w:rsidRDefault="00B0047F" w:rsidP="00B0047F"/>
    <w:p w14:paraId="4A261F4A" w14:textId="77777777" w:rsidR="00B0047F" w:rsidRDefault="00B0047F" w:rsidP="00B0047F"/>
    <w:p w14:paraId="7DC21815" w14:textId="77777777" w:rsidR="00B0047F" w:rsidRDefault="00B0047F" w:rsidP="00B0047F"/>
    <w:p w14:paraId="08F6AE1B" w14:textId="77777777" w:rsidR="00B0047F" w:rsidRDefault="00B0047F" w:rsidP="00B0047F"/>
    <w:p w14:paraId="6FA81ECE" w14:textId="77777777" w:rsidR="00B0047F" w:rsidRDefault="00B0047F" w:rsidP="00B0047F"/>
    <w:p w14:paraId="38EB1F1F" w14:textId="77777777" w:rsidR="00B0047F" w:rsidRDefault="00B0047F" w:rsidP="00B0047F"/>
    <w:p w14:paraId="0182307C" w14:textId="77777777" w:rsidR="00B0047F" w:rsidRDefault="00B0047F" w:rsidP="00B0047F"/>
    <w:p w14:paraId="47C11360" w14:textId="77777777" w:rsidR="00B0047F" w:rsidRDefault="00B0047F" w:rsidP="00B0047F"/>
    <w:p w14:paraId="45FD96CC" w14:textId="77777777" w:rsidR="00B0047F" w:rsidRDefault="00B0047F" w:rsidP="00B0047F"/>
    <w:p w14:paraId="22972A56" w14:textId="77777777" w:rsidR="00B0047F" w:rsidRPr="00B0047F" w:rsidRDefault="00B0047F" w:rsidP="00B0047F"/>
    <w:p w14:paraId="64A4B5D5" w14:textId="77777777" w:rsidR="00A24A6D" w:rsidRPr="003D6752" w:rsidRDefault="00A24A6D" w:rsidP="00A24A6D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7" w:name="_Toc111908914"/>
      <w:bookmarkStart w:id="8" w:name="_Toc189213559"/>
      <w:bookmarkStart w:id="9" w:name="_Toc194307711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FUNDAMENTOS TEÓRICOS</w:t>
      </w:r>
      <w:bookmarkEnd w:id="7"/>
      <w:bookmarkEnd w:id="8"/>
      <w:bookmarkEnd w:id="9"/>
    </w:p>
    <w:p w14:paraId="1DE08B04" w14:textId="77777777" w:rsidR="00A24A6D" w:rsidRPr="00C67D07" w:rsidRDefault="00A24A6D" w:rsidP="00A24A6D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0" w:name="_Toc189213560"/>
      <w:bookmarkStart w:id="11" w:name="_Toc194307712"/>
      <w:proofErr w:type="spellStart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>II.I</w:t>
      </w:r>
      <w:proofErr w:type="spellEnd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MARCO TEÓRICO</w:t>
      </w:r>
      <w:bookmarkEnd w:id="10"/>
      <w:bookmarkEnd w:id="11"/>
    </w:p>
    <w:p w14:paraId="4951FF7E" w14:textId="19D847F3" w:rsidR="00A24A6D" w:rsidRDefault="00A24A6D" w:rsidP="00B657F4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2" w:name="_Toc194307713"/>
      <w:proofErr w:type="spellStart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>II.I.I</w:t>
      </w:r>
      <w:proofErr w:type="spellEnd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 w:rsid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>INTRODUCCIÓN A LA NOMENCLATURA QUÍMICA INORGÁNICA</w:t>
      </w:r>
      <w:bookmarkEnd w:id="12"/>
      <w:r w:rsid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32772CDF" w14:textId="77777777" w:rsidR="00B657F4" w:rsidRPr="00B657F4" w:rsidRDefault="00B657F4" w:rsidP="00B657F4">
      <w:p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sz w:val="22"/>
          <w:szCs w:val="22"/>
        </w:rPr>
        <w:t>La nomenclatura química inorgánica constituye un sistema fundamental de comunicación científica que permite identificar, clasificar y comprender la estructura de compuestos químicos no basados primariamente en carbono. Este sistema surge como una herramienta esencial para establecer un lenguaje universal que trascienda las barreras lingüísticas y permita una comunicación precisa sobre la composición y características de diferentes compuestos químicos (Brown et al., 2014).</w:t>
      </w:r>
    </w:p>
    <w:p w14:paraId="21012E7F" w14:textId="77777777" w:rsidR="00B657F4" w:rsidRPr="00B657F4" w:rsidRDefault="00B657F4" w:rsidP="00B657F4">
      <w:p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sz w:val="22"/>
          <w:szCs w:val="22"/>
        </w:rPr>
        <w:t>La complejidad de la nomenclatura química inorgánica radica en su capacidad para representar la diversidad estructural de los compuestos químicos, permitiendo a científicos, estudiantes e investigadores comunicar de manera sistemática y coherente las características moleculares de diversos elementos y sus combinaciones (Petrucci et al., 2017).</w:t>
      </w:r>
    </w:p>
    <w:p w14:paraId="0616B148" w14:textId="0423E400" w:rsidR="00B657F4" w:rsidRPr="00B657F4" w:rsidRDefault="00B657F4" w:rsidP="00B657F4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3" w:name="_Toc194307714"/>
      <w:proofErr w:type="spellStart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>II.I.II</w:t>
      </w:r>
      <w:proofErr w:type="spellEnd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CLASIFICACIÓN DE COMPUESTOS QUÍMICOS INORGÁNICOS</w:t>
      </w:r>
      <w:bookmarkEnd w:id="13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48BFEDE8" w14:textId="13E1FD75" w:rsidR="00B657F4" w:rsidRPr="00B657F4" w:rsidRDefault="00B657F4" w:rsidP="00B657F4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4" w:name="_Toc194307715"/>
      <w:proofErr w:type="spellStart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>II.I.II.I</w:t>
      </w:r>
      <w:proofErr w:type="spellEnd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COMPUESTOS BINARIOS</w:t>
      </w:r>
      <w:bookmarkEnd w:id="14"/>
    </w:p>
    <w:p w14:paraId="79830E2D" w14:textId="77777777" w:rsidR="00B657F4" w:rsidRPr="00B657F4" w:rsidRDefault="00B657F4" w:rsidP="00B657F4">
      <w:p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sz w:val="22"/>
          <w:szCs w:val="22"/>
        </w:rPr>
        <w:t xml:space="preserve">Los compuestos binarios, formados por dos elementos, representan la estructura más simple de combinación química. Incluyen óxidos, hidruros y sales simples, cada uno con características químicas distintivas que determinan su comportamiento molecular. Su importancia radica en ser la base para comprender interacciones químicas más complejas (Chang &amp; </w:t>
      </w:r>
      <w:proofErr w:type="spellStart"/>
      <w:r w:rsidRPr="00B657F4">
        <w:rPr>
          <w:rFonts w:ascii="Times New Roman" w:hAnsi="Times New Roman" w:cs="Times New Roman"/>
          <w:sz w:val="22"/>
          <w:szCs w:val="22"/>
        </w:rPr>
        <w:t>Goldsby</w:t>
      </w:r>
      <w:proofErr w:type="spellEnd"/>
      <w:r w:rsidRPr="00B657F4">
        <w:rPr>
          <w:rFonts w:ascii="Times New Roman" w:hAnsi="Times New Roman" w:cs="Times New Roman"/>
          <w:sz w:val="22"/>
          <w:szCs w:val="22"/>
        </w:rPr>
        <w:t>, 2018).</w:t>
      </w:r>
    </w:p>
    <w:p w14:paraId="0AF01EE6" w14:textId="64ED952B" w:rsidR="00B657F4" w:rsidRPr="00B657F4" w:rsidRDefault="00B657F4" w:rsidP="00B657F4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5" w:name="_Toc194307716"/>
      <w:proofErr w:type="spellStart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>II.I.II.II</w:t>
      </w:r>
      <w:proofErr w:type="spellEnd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COMPUESTOS TERNARIOS</w:t>
      </w:r>
      <w:bookmarkEnd w:id="15"/>
    </w:p>
    <w:p w14:paraId="7B730EE5" w14:textId="77777777" w:rsidR="00B657F4" w:rsidRPr="00B657F4" w:rsidRDefault="00B657F4" w:rsidP="00B657F4">
      <w:p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sz w:val="22"/>
          <w:szCs w:val="22"/>
        </w:rPr>
        <w:t xml:space="preserve">Los compuestos ternarios, integrados por tres elementos, aumentan significativamente la complejidad química. Comprenden hidróxidos, ácidos y </w:t>
      </w:r>
      <w:proofErr w:type="spellStart"/>
      <w:r w:rsidRPr="00B657F4">
        <w:rPr>
          <w:rFonts w:ascii="Times New Roman" w:hAnsi="Times New Roman" w:cs="Times New Roman"/>
          <w:sz w:val="22"/>
          <w:szCs w:val="22"/>
        </w:rPr>
        <w:t>oxisales</w:t>
      </w:r>
      <w:proofErr w:type="spellEnd"/>
      <w:r w:rsidRPr="00B657F4">
        <w:rPr>
          <w:rFonts w:ascii="Times New Roman" w:hAnsi="Times New Roman" w:cs="Times New Roman"/>
          <w:sz w:val="22"/>
          <w:szCs w:val="22"/>
        </w:rPr>
        <w:t xml:space="preserve"> que juegan un papel crucial en diversas reacciones químicas e industriales. Su estudio permite comprender mecanismos de interacción más sofisticados entre diferentes elementos (</w:t>
      </w:r>
      <w:proofErr w:type="spellStart"/>
      <w:r w:rsidRPr="00B657F4">
        <w:rPr>
          <w:rFonts w:ascii="Times New Roman" w:hAnsi="Times New Roman" w:cs="Times New Roman"/>
          <w:sz w:val="22"/>
          <w:szCs w:val="22"/>
        </w:rPr>
        <w:t>Silberberg</w:t>
      </w:r>
      <w:proofErr w:type="spellEnd"/>
      <w:r w:rsidRPr="00B657F4">
        <w:rPr>
          <w:rFonts w:ascii="Times New Roman" w:hAnsi="Times New Roman" w:cs="Times New Roman"/>
          <w:sz w:val="22"/>
          <w:szCs w:val="22"/>
        </w:rPr>
        <w:t>, 2017).</w:t>
      </w:r>
    </w:p>
    <w:p w14:paraId="34BBBAF4" w14:textId="1F57B655" w:rsidR="00B657F4" w:rsidRPr="00B657F4" w:rsidRDefault="00B657F4" w:rsidP="00B657F4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6" w:name="_Toc194307717"/>
      <w:proofErr w:type="spellStart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>II.I.II.III</w:t>
      </w:r>
      <w:proofErr w:type="spellEnd"/>
      <w:r w:rsidRPr="00B657F4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COMPUESTOS CUATERNARIOS</w:t>
      </w:r>
      <w:bookmarkEnd w:id="16"/>
    </w:p>
    <w:p w14:paraId="05E3F766" w14:textId="70D14ED0" w:rsidR="00B657F4" w:rsidRDefault="00B657F4" w:rsidP="00B657F4">
      <w:p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sz w:val="22"/>
          <w:szCs w:val="22"/>
        </w:rPr>
        <w:t>Los compuestos cuaternarios, formados por cuatro o más elementos, representan el nivel más complejo de combinación química. Incluyen sales dobles, hidratos y estructuras moleculares avanzadas que requieren un análisis detallado para su correcta comprensión e identificación (Burns, 2013).</w:t>
      </w:r>
    </w:p>
    <w:p w14:paraId="54D1E182" w14:textId="77777777" w:rsidR="00B657F4" w:rsidRDefault="00B657F4" w:rsidP="00B657F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3094E9" w14:textId="77777777" w:rsidR="00B657F4" w:rsidRPr="00B657F4" w:rsidRDefault="00B657F4" w:rsidP="00B657F4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A67546D" w14:textId="77777777" w:rsidR="001B75E1" w:rsidRDefault="001B75E1" w:rsidP="00B657F4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43D9137" w14:textId="4DBF70DB" w:rsidR="001B75E1" w:rsidRPr="00B657F4" w:rsidRDefault="00B657F4" w:rsidP="00B56D4D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7" w:name="_Toc194307718"/>
      <w:proofErr w:type="spellStart"/>
      <w:r w:rsidRPr="001B75E1">
        <w:rPr>
          <w:rFonts w:ascii="Times New Roman" w:hAnsi="Times New Roman" w:cs="Times New Roman"/>
          <w:color w:val="auto"/>
          <w:sz w:val="28"/>
          <w:szCs w:val="28"/>
          <w:u w:val="single"/>
        </w:rPr>
        <w:lastRenderedPageBreak/>
        <w:t>II.I.III</w:t>
      </w:r>
      <w:proofErr w:type="spellEnd"/>
      <w:r w:rsidRPr="001B75E1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REGLAS FUNDAMENTALES DE LA NOMENCLATURA INORGÁNICA SEGÚN BELTETHON (2012)</w:t>
      </w:r>
      <w:bookmarkEnd w:id="17"/>
    </w:p>
    <w:p w14:paraId="198E412B" w14:textId="42E4C16F" w:rsidR="00B657F4" w:rsidRPr="00B657F4" w:rsidRDefault="00B657F4" w:rsidP="00B657F4">
      <w:pPr>
        <w:jc w:val="both"/>
        <w:rPr>
          <w:rFonts w:ascii="Times New Roman" w:hAnsi="Times New Roman" w:cs="Times New Roman"/>
          <w:b/>
          <w:bCs/>
        </w:rPr>
      </w:pPr>
      <w:r w:rsidRPr="00B657F4">
        <w:rPr>
          <w:rFonts w:ascii="Times New Roman" w:hAnsi="Times New Roman" w:cs="Times New Roman"/>
          <w:sz w:val="28"/>
          <w:szCs w:val="28"/>
          <w:u w:val="single"/>
        </w:rPr>
        <w:t>II.I.III</w:t>
      </w:r>
      <w:r>
        <w:rPr>
          <w:rFonts w:ascii="Times New Roman" w:hAnsi="Times New Roman" w:cs="Times New Roman"/>
          <w:sz w:val="28"/>
          <w:szCs w:val="28"/>
          <w:u w:val="single"/>
        </w:rPr>
        <w:t>.I</w:t>
      </w:r>
      <w:r w:rsidRPr="00B657F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PRINCIPIOS BÁSICOS DE POSICIONAMIENTO Y VALENCIA </w:t>
      </w:r>
    </w:p>
    <w:p w14:paraId="0166C9F8" w14:textId="77777777" w:rsidR="00B657F4" w:rsidRPr="00B657F4" w:rsidRDefault="00B657F4" w:rsidP="00B657F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b/>
          <w:bCs/>
          <w:sz w:val="22"/>
          <w:szCs w:val="22"/>
        </w:rPr>
        <w:t>Orden de Elementos</w:t>
      </w:r>
      <w:r w:rsidRPr="00B657F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5F5EDD2C" w14:textId="77777777" w:rsidR="00B657F4" w:rsidRPr="00DA5CE2" w:rsidRDefault="00B657F4" w:rsidP="00DA5CE2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El símbolo del elemento positivo (catión) se coloca siempre a la izquierda</w:t>
      </w:r>
    </w:p>
    <w:p w14:paraId="5557D606" w14:textId="77777777" w:rsidR="00B657F4" w:rsidRPr="00DA5CE2" w:rsidRDefault="00B657F4" w:rsidP="00DA5CE2">
      <w:pPr>
        <w:pStyle w:val="Prrafodelista"/>
        <w:numPr>
          <w:ilvl w:val="0"/>
          <w:numId w:val="3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El elemento negativo (anión) se ubica a la derecha</w:t>
      </w:r>
    </w:p>
    <w:p w14:paraId="25BA7ED8" w14:textId="77777777" w:rsidR="00B657F4" w:rsidRPr="00B657F4" w:rsidRDefault="00B657F4" w:rsidP="00B657F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b/>
          <w:bCs/>
          <w:sz w:val="22"/>
          <w:szCs w:val="22"/>
        </w:rPr>
        <w:t>Comportamiento de Metales</w:t>
      </w:r>
      <w:r w:rsidRPr="00B657F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7EA0F610" w14:textId="77777777" w:rsidR="00B657F4" w:rsidRPr="00DA5CE2" w:rsidRDefault="00B657F4" w:rsidP="00DA5CE2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Únicamente presentan valencias positivas</w:t>
      </w:r>
    </w:p>
    <w:p w14:paraId="000CBC9A" w14:textId="77777777" w:rsidR="00B657F4" w:rsidRPr="00DA5CE2" w:rsidRDefault="00B657F4" w:rsidP="00DA5CE2">
      <w:pPr>
        <w:pStyle w:val="Prrafodelista"/>
        <w:numPr>
          <w:ilvl w:val="0"/>
          <w:numId w:val="2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Siempre actúan como cationes</w:t>
      </w:r>
    </w:p>
    <w:p w14:paraId="03AC0BEF" w14:textId="77777777" w:rsidR="00B657F4" w:rsidRPr="00B657F4" w:rsidRDefault="00B657F4" w:rsidP="00B657F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b/>
          <w:bCs/>
          <w:sz w:val="22"/>
          <w:szCs w:val="22"/>
        </w:rPr>
        <w:t>Comportamiento de No Metales</w:t>
      </w:r>
      <w:r w:rsidRPr="00B657F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7A5274D6" w14:textId="77777777" w:rsidR="00B657F4" w:rsidRPr="00DA5CE2" w:rsidRDefault="00B657F4" w:rsidP="00DA5CE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Pueden presentar valencias positivas (cationes)</w:t>
      </w:r>
    </w:p>
    <w:p w14:paraId="48593943" w14:textId="77777777" w:rsidR="00B657F4" w:rsidRPr="00DA5CE2" w:rsidRDefault="00B657F4" w:rsidP="00DA5CE2">
      <w:pPr>
        <w:pStyle w:val="Prrafodelista"/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Pueden presentar valencias negativas (aniones)</w:t>
      </w:r>
    </w:p>
    <w:p w14:paraId="21F688FF" w14:textId="1D45BBC5" w:rsidR="00B657F4" w:rsidRPr="00B657F4" w:rsidRDefault="00DA5CE2" w:rsidP="00B657F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657F4">
        <w:rPr>
          <w:rFonts w:ascii="Times New Roman" w:hAnsi="Times New Roman" w:cs="Times New Roman"/>
          <w:sz w:val="28"/>
          <w:szCs w:val="28"/>
          <w:u w:val="single"/>
        </w:rPr>
        <w:t>II.I.III</w:t>
      </w:r>
      <w:r>
        <w:rPr>
          <w:rFonts w:ascii="Times New Roman" w:hAnsi="Times New Roman" w:cs="Times New Roman"/>
          <w:sz w:val="28"/>
          <w:szCs w:val="28"/>
          <w:u w:val="single"/>
        </w:rPr>
        <w:t>.II</w:t>
      </w:r>
      <w:proofErr w:type="spellEnd"/>
      <w:r w:rsidRPr="00B657F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REGLAS DE OXIDACIÓN </w:t>
      </w:r>
    </w:p>
    <w:p w14:paraId="09F26752" w14:textId="77777777" w:rsidR="00B657F4" w:rsidRPr="00B657F4" w:rsidRDefault="00B657F4" w:rsidP="00DA5CE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b/>
          <w:bCs/>
          <w:sz w:val="22"/>
          <w:szCs w:val="22"/>
        </w:rPr>
        <w:t>Valencias Metálicas</w:t>
      </w:r>
      <w:r w:rsidRPr="00B657F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3726F9C" w14:textId="77777777" w:rsidR="00B657F4" w:rsidRPr="00DA5CE2" w:rsidRDefault="00B657F4" w:rsidP="00DA5CE2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Se determinan según la Tabla Periódica de Elementos Químicos</w:t>
      </w:r>
    </w:p>
    <w:p w14:paraId="48307DB3" w14:textId="77777777" w:rsidR="00B657F4" w:rsidRPr="00DA5CE2" w:rsidRDefault="00B657F4" w:rsidP="00DA5CE2">
      <w:pPr>
        <w:pStyle w:val="Prrafodelista"/>
        <w:numPr>
          <w:ilvl w:val="0"/>
          <w:numId w:val="3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Cada metal tiene estados de oxidación específicos</w:t>
      </w:r>
    </w:p>
    <w:p w14:paraId="0753278E" w14:textId="77777777" w:rsidR="00B657F4" w:rsidRPr="00B657F4" w:rsidRDefault="00B657F4" w:rsidP="00DA5CE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b/>
          <w:bCs/>
          <w:sz w:val="22"/>
          <w:szCs w:val="22"/>
        </w:rPr>
        <w:t>Valencias Catiónicas de No Metales</w:t>
      </w:r>
      <w:r w:rsidRPr="00B657F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1C2118CD" w14:textId="77777777" w:rsidR="00B657F4" w:rsidRPr="00DA5CE2" w:rsidRDefault="00B657F4" w:rsidP="00DA5CE2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En columnas pares: Solo valores pares</w:t>
      </w:r>
    </w:p>
    <w:p w14:paraId="3CC13C60" w14:textId="77777777" w:rsidR="00B657F4" w:rsidRPr="00DA5CE2" w:rsidRDefault="00B657F4" w:rsidP="00DA5CE2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En columnas impares: Solo valores impares</w:t>
      </w:r>
    </w:p>
    <w:p w14:paraId="5C3608CA" w14:textId="77777777" w:rsidR="00B657F4" w:rsidRPr="00DA5CE2" w:rsidRDefault="00B657F4" w:rsidP="00DA5CE2">
      <w:pPr>
        <w:pStyle w:val="Prrafodelista"/>
        <w:numPr>
          <w:ilvl w:val="0"/>
          <w:numId w:val="3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Rango desde 1 hasta el número del grupo en la tabla periódica</w:t>
      </w:r>
    </w:p>
    <w:p w14:paraId="1FFC0606" w14:textId="77777777" w:rsidR="00B657F4" w:rsidRPr="00B657F4" w:rsidRDefault="00B657F4" w:rsidP="00DA5CE2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657F4">
        <w:rPr>
          <w:rFonts w:ascii="Times New Roman" w:hAnsi="Times New Roman" w:cs="Times New Roman"/>
          <w:b/>
          <w:bCs/>
          <w:sz w:val="22"/>
          <w:szCs w:val="22"/>
        </w:rPr>
        <w:t>Valencias Aniónicas</w:t>
      </w:r>
      <w:r w:rsidRPr="00B657F4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227FE973" w14:textId="77777777" w:rsidR="00B657F4" w:rsidRPr="00DA5CE2" w:rsidRDefault="00B657F4" w:rsidP="00DA5CE2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Se calculan restando ocho unidades al número de la columna en la tabla periódica</w:t>
      </w:r>
    </w:p>
    <w:p w14:paraId="202BAF61" w14:textId="77777777" w:rsidR="00B657F4" w:rsidRPr="00DA5CE2" w:rsidRDefault="00B657F4" w:rsidP="00DA5CE2">
      <w:pPr>
        <w:pStyle w:val="Prrafodelista"/>
        <w:numPr>
          <w:ilvl w:val="0"/>
          <w:numId w:val="3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A5CE2">
        <w:rPr>
          <w:rFonts w:ascii="Times New Roman" w:hAnsi="Times New Roman" w:cs="Times New Roman"/>
          <w:sz w:val="22"/>
          <w:szCs w:val="22"/>
        </w:rPr>
        <w:t>Excepción: Hidrógeno</w:t>
      </w:r>
    </w:p>
    <w:p w14:paraId="1A75E095" w14:textId="29158338" w:rsidR="00B657F4" w:rsidRPr="001B75E1" w:rsidRDefault="00B657F4" w:rsidP="001B75E1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8" w:name="_Toc194307719"/>
      <w:proofErr w:type="spellStart"/>
      <w:r w:rsidRPr="001B75E1">
        <w:rPr>
          <w:rFonts w:ascii="Times New Roman" w:hAnsi="Times New Roman" w:cs="Times New Roman"/>
          <w:color w:val="auto"/>
          <w:sz w:val="28"/>
          <w:szCs w:val="28"/>
          <w:u w:val="single"/>
        </w:rPr>
        <w:t>II.I.IV</w:t>
      </w:r>
      <w:proofErr w:type="spellEnd"/>
      <w:r w:rsidRPr="001B75E1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SISTEMAS DE NOMENCLATURA QUÍMICA</w:t>
      </w:r>
      <w:bookmarkEnd w:id="18"/>
      <w:r w:rsidRPr="001B75E1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1590AD55" w14:textId="7831EBD6" w:rsidR="00B657F4" w:rsidRPr="00B657F4" w:rsidRDefault="00B657F4" w:rsidP="00B657F4">
      <w:pPr>
        <w:jc w:val="both"/>
        <w:rPr>
          <w:rFonts w:ascii="Times New Roman" w:hAnsi="Times New Roman" w:cs="Times New Roman"/>
          <w:b/>
          <w:bCs/>
        </w:rPr>
      </w:pPr>
      <w:r w:rsidRPr="00B657F4">
        <w:rPr>
          <w:rFonts w:ascii="Times New Roman" w:hAnsi="Times New Roman" w:cs="Times New Roman"/>
          <w:sz w:val="28"/>
          <w:szCs w:val="28"/>
          <w:u w:val="single"/>
        </w:rPr>
        <w:t>II.I.IV.I SISTEMA CLÁSICO (FUNCIONAL)</w:t>
      </w:r>
    </w:p>
    <w:p w14:paraId="6A565245" w14:textId="77777777" w:rsidR="00B657F4" w:rsidRPr="00B657F4" w:rsidRDefault="00B657F4" w:rsidP="00B657F4">
      <w:p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>El sistema clásico utiliza un enfoque basado en prefijos y sufijos que dependen de la valencia de los elementos. Sus características principales incluyen:</w:t>
      </w:r>
    </w:p>
    <w:p w14:paraId="0C9F0A58" w14:textId="77777777" w:rsidR="00B657F4" w:rsidRPr="00DA5CE2" w:rsidRDefault="00B657F4" w:rsidP="00DA5CE2">
      <w:pPr>
        <w:pStyle w:val="Prrafodelista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Nombres basados en la función química del compuesto</w:t>
      </w:r>
    </w:p>
    <w:p w14:paraId="4C5C8D50" w14:textId="77777777" w:rsidR="00B657F4" w:rsidRPr="00DA5CE2" w:rsidRDefault="00B657F4" w:rsidP="00DA5CE2">
      <w:pPr>
        <w:pStyle w:val="Prrafodelista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 xml:space="preserve">Sufijos específicos según el estado de oxidación: </w:t>
      </w:r>
    </w:p>
    <w:p w14:paraId="15A60A82" w14:textId="77777777" w:rsidR="00B657F4" w:rsidRPr="00B657F4" w:rsidRDefault="00B657F4" w:rsidP="00B657F4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lastRenderedPageBreak/>
        <w:t>Un estado de oxidación: Sufijo "</w:t>
      </w:r>
      <w:proofErr w:type="spellStart"/>
      <w:r w:rsidRPr="00B657F4">
        <w:rPr>
          <w:rFonts w:ascii="Times New Roman" w:hAnsi="Times New Roman" w:cs="Times New Roman"/>
        </w:rPr>
        <w:t>ico</w:t>
      </w:r>
      <w:proofErr w:type="spellEnd"/>
      <w:r w:rsidRPr="00B657F4">
        <w:rPr>
          <w:rFonts w:ascii="Times New Roman" w:hAnsi="Times New Roman" w:cs="Times New Roman"/>
        </w:rPr>
        <w:t>"</w:t>
      </w:r>
    </w:p>
    <w:p w14:paraId="1DEDEBE7" w14:textId="77777777" w:rsidR="00B657F4" w:rsidRPr="00B657F4" w:rsidRDefault="00B657F4" w:rsidP="00B657F4">
      <w:pPr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 xml:space="preserve">Dos estados de oxidación: </w:t>
      </w:r>
    </w:p>
    <w:p w14:paraId="4B7FCC1E" w14:textId="77777777" w:rsidR="00B657F4" w:rsidRPr="00DA5CE2" w:rsidRDefault="00B657F4" w:rsidP="00DA5CE2">
      <w:pPr>
        <w:pStyle w:val="Prrafodelista"/>
        <w:numPr>
          <w:ilvl w:val="2"/>
          <w:numId w:val="20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Sufijo "oso" para el menor</w:t>
      </w:r>
    </w:p>
    <w:p w14:paraId="00C67484" w14:textId="77777777" w:rsidR="00B657F4" w:rsidRPr="00DA5CE2" w:rsidRDefault="00B657F4" w:rsidP="00DA5CE2">
      <w:pPr>
        <w:pStyle w:val="Prrafodelista"/>
        <w:numPr>
          <w:ilvl w:val="2"/>
          <w:numId w:val="20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Sufijo "</w:t>
      </w:r>
      <w:proofErr w:type="spellStart"/>
      <w:r w:rsidRPr="00DA5CE2">
        <w:rPr>
          <w:rFonts w:ascii="Times New Roman" w:hAnsi="Times New Roman" w:cs="Times New Roman"/>
        </w:rPr>
        <w:t>ico</w:t>
      </w:r>
      <w:proofErr w:type="spellEnd"/>
      <w:r w:rsidRPr="00DA5CE2">
        <w:rPr>
          <w:rFonts w:ascii="Times New Roman" w:hAnsi="Times New Roman" w:cs="Times New Roman"/>
        </w:rPr>
        <w:t>" para el mayor</w:t>
      </w:r>
    </w:p>
    <w:p w14:paraId="541058A4" w14:textId="6128FAAD" w:rsidR="00B657F4" w:rsidRPr="00B657F4" w:rsidRDefault="00B657F4" w:rsidP="00B657F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657F4">
        <w:rPr>
          <w:rFonts w:ascii="Times New Roman" w:hAnsi="Times New Roman" w:cs="Times New Roman"/>
          <w:sz w:val="28"/>
          <w:szCs w:val="28"/>
          <w:u w:val="single"/>
        </w:rPr>
        <w:t>II.I.IV.II</w:t>
      </w:r>
      <w:proofErr w:type="spellEnd"/>
      <w:r w:rsidRPr="00B657F4">
        <w:rPr>
          <w:rFonts w:ascii="Times New Roman" w:hAnsi="Times New Roman" w:cs="Times New Roman"/>
          <w:sz w:val="28"/>
          <w:szCs w:val="28"/>
          <w:u w:val="single"/>
        </w:rPr>
        <w:t xml:space="preserve"> SISTEMA ESTEQUIOMÉTRICO </w:t>
      </w:r>
    </w:p>
    <w:p w14:paraId="75058098" w14:textId="77777777" w:rsidR="00B657F4" w:rsidRPr="00B657F4" w:rsidRDefault="00B657F4" w:rsidP="00B657F4">
      <w:p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>Introduce prefijos numéricos para indicar la cantidad exacta de átomos en un compuesto. Sus principales características son:</w:t>
      </w:r>
    </w:p>
    <w:p w14:paraId="6F234625" w14:textId="77777777" w:rsidR="00B657F4" w:rsidRPr="00B657F4" w:rsidRDefault="00B657F4" w:rsidP="00B657F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 xml:space="preserve">Prefijos para indicar número de átomos: </w:t>
      </w:r>
    </w:p>
    <w:p w14:paraId="3746EE41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Mono (1)</w:t>
      </w:r>
    </w:p>
    <w:p w14:paraId="372F1459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Di/Bi (2)</w:t>
      </w:r>
    </w:p>
    <w:p w14:paraId="242C60EB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Tri (3)</w:t>
      </w:r>
    </w:p>
    <w:p w14:paraId="558ECEE4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Tetra (4)</w:t>
      </w:r>
    </w:p>
    <w:p w14:paraId="62A3F185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Penta (5)</w:t>
      </w:r>
    </w:p>
    <w:p w14:paraId="46755C59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Hexa (6)</w:t>
      </w:r>
    </w:p>
    <w:p w14:paraId="1F64A4CA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DA5CE2">
        <w:rPr>
          <w:rFonts w:ascii="Times New Roman" w:hAnsi="Times New Roman" w:cs="Times New Roman"/>
        </w:rPr>
        <w:t>Hepta</w:t>
      </w:r>
      <w:proofErr w:type="spellEnd"/>
      <w:r w:rsidRPr="00DA5CE2">
        <w:rPr>
          <w:rFonts w:ascii="Times New Roman" w:hAnsi="Times New Roman" w:cs="Times New Roman"/>
        </w:rPr>
        <w:t xml:space="preserve"> (7)</w:t>
      </w:r>
    </w:p>
    <w:p w14:paraId="7312A6C8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DA5CE2">
        <w:rPr>
          <w:rFonts w:ascii="Times New Roman" w:hAnsi="Times New Roman" w:cs="Times New Roman"/>
        </w:rPr>
        <w:t>Octo</w:t>
      </w:r>
      <w:proofErr w:type="spellEnd"/>
      <w:r w:rsidRPr="00DA5CE2">
        <w:rPr>
          <w:rFonts w:ascii="Times New Roman" w:hAnsi="Times New Roman" w:cs="Times New Roman"/>
        </w:rPr>
        <w:t xml:space="preserve"> (8)</w:t>
      </w:r>
    </w:p>
    <w:p w14:paraId="2D9538D9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Nona (9)</w:t>
      </w:r>
    </w:p>
    <w:p w14:paraId="50B2AFC7" w14:textId="77777777" w:rsidR="00B657F4" w:rsidRPr="00DA5CE2" w:rsidRDefault="00B657F4" w:rsidP="00DA5CE2">
      <w:pPr>
        <w:pStyle w:val="Prrafodelista"/>
        <w:numPr>
          <w:ilvl w:val="1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DA5CE2">
        <w:rPr>
          <w:rFonts w:ascii="Times New Roman" w:hAnsi="Times New Roman" w:cs="Times New Roman"/>
        </w:rPr>
        <w:t>Deca</w:t>
      </w:r>
      <w:proofErr w:type="spellEnd"/>
      <w:r w:rsidRPr="00DA5CE2">
        <w:rPr>
          <w:rFonts w:ascii="Times New Roman" w:hAnsi="Times New Roman" w:cs="Times New Roman"/>
        </w:rPr>
        <w:t xml:space="preserve"> (10)</w:t>
      </w:r>
    </w:p>
    <w:p w14:paraId="720E420D" w14:textId="77777777" w:rsidR="00B657F4" w:rsidRPr="00B657F4" w:rsidRDefault="00B657F4" w:rsidP="00B657F4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>El prefijo "Mono" puede omitirse</w:t>
      </w:r>
    </w:p>
    <w:p w14:paraId="0610F8CE" w14:textId="4A735D32" w:rsidR="00B657F4" w:rsidRPr="00B657F4" w:rsidRDefault="00B657F4" w:rsidP="00B657F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657F4">
        <w:rPr>
          <w:rFonts w:ascii="Times New Roman" w:hAnsi="Times New Roman" w:cs="Times New Roman"/>
          <w:sz w:val="28"/>
          <w:szCs w:val="28"/>
          <w:u w:val="single"/>
        </w:rPr>
        <w:t>II.I.IV.III</w:t>
      </w:r>
      <w:proofErr w:type="spellEnd"/>
      <w:r w:rsidRPr="00B657F4">
        <w:rPr>
          <w:rFonts w:ascii="Times New Roman" w:hAnsi="Times New Roman" w:cs="Times New Roman"/>
          <w:sz w:val="28"/>
          <w:szCs w:val="28"/>
          <w:u w:val="single"/>
        </w:rPr>
        <w:t xml:space="preserve"> SISTEMA DE STOCK</w:t>
      </w:r>
    </w:p>
    <w:p w14:paraId="78B85A60" w14:textId="77777777" w:rsidR="00B657F4" w:rsidRPr="00B657F4" w:rsidRDefault="00B657F4" w:rsidP="00B657F4">
      <w:p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>Representa un avance significativo al utilizar números romanos para representar el estado de oxidación de los elementos. Sus características principales:</w:t>
      </w:r>
    </w:p>
    <w:p w14:paraId="53701F0B" w14:textId="77777777" w:rsidR="00B657F4" w:rsidRPr="00DA5CE2" w:rsidRDefault="00B657F4" w:rsidP="00DA5CE2">
      <w:pPr>
        <w:pStyle w:val="Prrafode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Indica el estado de oxidación entre paréntesis</w:t>
      </w:r>
    </w:p>
    <w:p w14:paraId="0F63C0BE" w14:textId="77777777" w:rsidR="00B657F4" w:rsidRPr="00DA5CE2" w:rsidRDefault="00B657F4" w:rsidP="00DA5CE2">
      <w:pPr>
        <w:pStyle w:val="Prrafode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Utiliza números romanos</w:t>
      </w:r>
    </w:p>
    <w:p w14:paraId="00E5E10A" w14:textId="77777777" w:rsidR="00B657F4" w:rsidRPr="00DA5CE2" w:rsidRDefault="00B657F4" w:rsidP="00DA5CE2">
      <w:pPr>
        <w:pStyle w:val="Prrafodelista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Permite identificar claramente la valencia del catión</w:t>
      </w:r>
    </w:p>
    <w:p w14:paraId="0DF6EFF6" w14:textId="24BA2401" w:rsidR="00B657F4" w:rsidRPr="00B657F4" w:rsidRDefault="00B657F4" w:rsidP="00B657F4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B657F4">
        <w:rPr>
          <w:rFonts w:ascii="Times New Roman" w:hAnsi="Times New Roman" w:cs="Times New Roman"/>
          <w:sz w:val="28"/>
          <w:szCs w:val="28"/>
          <w:u w:val="single"/>
        </w:rPr>
        <w:t>II.I.IV.IV</w:t>
      </w:r>
      <w:proofErr w:type="spellEnd"/>
      <w:r w:rsidRPr="00B657F4">
        <w:rPr>
          <w:rFonts w:ascii="Times New Roman" w:hAnsi="Times New Roman" w:cs="Times New Roman"/>
          <w:sz w:val="28"/>
          <w:szCs w:val="28"/>
          <w:u w:val="single"/>
        </w:rPr>
        <w:t xml:space="preserve"> REGLAS COMPLEMENTARIAS</w:t>
      </w:r>
    </w:p>
    <w:p w14:paraId="5560741A" w14:textId="77777777" w:rsidR="00B657F4" w:rsidRPr="00DA5CE2" w:rsidRDefault="00B657F4" w:rsidP="00DA5CE2">
      <w:pPr>
        <w:pStyle w:val="Prrafodelista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  <w:b/>
          <w:bCs/>
        </w:rPr>
        <w:t>Denominación Genérica</w:t>
      </w:r>
      <w:r w:rsidRPr="00DA5CE2">
        <w:rPr>
          <w:rFonts w:ascii="Times New Roman" w:hAnsi="Times New Roman" w:cs="Times New Roman"/>
        </w:rPr>
        <w:t xml:space="preserve">: </w:t>
      </w:r>
    </w:p>
    <w:p w14:paraId="7052F693" w14:textId="77777777" w:rsidR="00B657F4" w:rsidRPr="00DA5CE2" w:rsidRDefault="00B657F4" w:rsidP="00DA5CE2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El nombre del compuesto inicia siempre con su grupo genérico</w:t>
      </w:r>
    </w:p>
    <w:p w14:paraId="39CA67EE" w14:textId="77777777" w:rsidR="00B657F4" w:rsidRPr="00DA5CE2" w:rsidRDefault="00B657F4" w:rsidP="00DA5CE2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Ejemplos: Hidruro, óxido, ácido, hidróxido, anhídrido</w:t>
      </w:r>
    </w:p>
    <w:p w14:paraId="2501D920" w14:textId="77777777" w:rsidR="00B657F4" w:rsidRPr="00DA5CE2" w:rsidRDefault="00B657F4" w:rsidP="00DA5CE2">
      <w:pPr>
        <w:pStyle w:val="Prrafodelista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  <w:b/>
          <w:bCs/>
        </w:rPr>
        <w:t>Limitaciones de Nomenclatura</w:t>
      </w:r>
      <w:r w:rsidRPr="00DA5CE2">
        <w:rPr>
          <w:rFonts w:ascii="Times New Roman" w:hAnsi="Times New Roman" w:cs="Times New Roman"/>
        </w:rPr>
        <w:t xml:space="preserve">: </w:t>
      </w:r>
    </w:p>
    <w:p w14:paraId="52F354ED" w14:textId="77777777" w:rsidR="00B657F4" w:rsidRPr="00B657F4" w:rsidRDefault="00B657F4" w:rsidP="00DA5CE2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>Compuestos con más de dos estados de oxidación presentan desafíos de denominación</w:t>
      </w:r>
    </w:p>
    <w:p w14:paraId="5C0DD9B1" w14:textId="77777777" w:rsidR="00B657F4" w:rsidRPr="00B657F4" w:rsidRDefault="00B657F4" w:rsidP="00DA5CE2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>Requieren sistemas específicos para su identificación precisa</w:t>
      </w:r>
    </w:p>
    <w:p w14:paraId="1A655416" w14:textId="752F91ED" w:rsidR="00B657F4" w:rsidRPr="00B657F4" w:rsidRDefault="00B657F4" w:rsidP="001B75E1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9" w:name="_Toc194307720"/>
      <w:proofErr w:type="spellStart"/>
      <w:r w:rsidRPr="001B75E1">
        <w:rPr>
          <w:rFonts w:ascii="Times New Roman" w:hAnsi="Times New Roman" w:cs="Times New Roman"/>
          <w:color w:val="auto"/>
          <w:sz w:val="28"/>
          <w:szCs w:val="28"/>
          <w:u w:val="single"/>
        </w:rPr>
        <w:lastRenderedPageBreak/>
        <w:t>II.I.V</w:t>
      </w:r>
      <w:proofErr w:type="spellEnd"/>
      <w:r w:rsidRPr="001B75E1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IMPORTANCIA CIENTÍFICA</w:t>
      </w:r>
      <w:bookmarkEnd w:id="19"/>
    </w:p>
    <w:p w14:paraId="3C57A257" w14:textId="77777777" w:rsidR="00B657F4" w:rsidRPr="00B657F4" w:rsidRDefault="00B657F4" w:rsidP="00B657F4">
      <w:pPr>
        <w:jc w:val="both"/>
        <w:rPr>
          <w:rFonts w:ascii="Times New Roman" w:hAnsi="Times New Roman" w:cs="Times New Roman"/>
        </w:rPr>
      </w:pPr>
      <w:r w:rsidRPr="00B657F4">
        <w:rPr>
          <w:rFonts w:ascii="Times New Roman" w:hAnsi="Times New Roman" w:cs="Times New Roman"/>
        </w:rPr>
        <w:t>La nomenclatura química inorgánica trasciende la simple denominación de compuestos. Constituye un lenguaje científico que permite:</w:t>
      </w:r>
    </w:p>
    <w:p w14:paraId="08FBAEFD" w14:textId="77777777" w:rsidR="00B657F4" w:rsidRPr="00DA5CE2" w:rsidRDefault="00B657F4" w:rsidP="00DA5CE2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Comunicación universal precisa</w:t>
      </w:r>
    </w:p>
    <w:p w14:paraId="3A74C90C" w14:textId="77777777" w:rsidR="00B657F4" w:rsidRPr="00DA5CE2" w:rsidRDefault="00B657F4" w:rsidP="00DA5CE2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Identificación inequívoca de estructuras moleculares</w:t>
      </w:r>
    </w:p>
    <w:p w14:paraId="2D51A07C" w14:textId="77777777" w:rsidR="00B657F4" w:rsidRPr="00DA5CE2" w:rsidRDefault="00B657F4" w:rsidP="00DA5CE2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Comprensión de potenciales reacciones químicas</w:t>
      </w:r>
    </w:p>
    <w:p w14:paraId="2F8687B2" w14:textId="77777777" w:rsidR="00B657F4" w:rsidRPr="00DA5CE2" w:rsidRDefault="00B657F4" w:rsidP="00DA5CE2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DA5CE2">
        <w:rPr>
          <w:rFonts w:ascii="Times New Roman" w:hAnsi="Times New Roman" w:cs="Times New Roman"/>
        </w:rPr>
        <w:t>Facilitación del aprendizaje y la investigación química</w:t>
      </w:r>
    </w:p>
    <w:p w14:paraId="513BA90F" w14:textId="77777777" w:rsidR="00A24A6D" w:rsidRDefault="00A24A6D" w:rsidP="00A24A6D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0" w:name="_Toc189213561"/>
      <w:bookmarkStart w:id="21" w:name="_Toc194307721"/>
      <w:proofErr w:type="spellStart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>II.I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proofErr w:type="spellEnd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QUÍMICAS</w:t>
      </w:r>
      <w:bookmarkEnd w:id="20"/>
      <w:bookmarkEnd w:id="21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467D225C" w14:textId="77777777" w:rsidR="00C34D95" w:rsidRPr="00C34D95" w:rsidRDefault="00C34D95" w:rsidP="00C34D95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b/>
          <w:bCs/>
          <w:sz w:val="22"/>
          <w:szCs w:val="22"/>
        </w:rPr>
      </w:pPr>
      <w:bookmarkStart w:id="22" w:name="_Toc189213562"/>
      <w:r w:rsidRPr="00C34D95">
        <w:rPr>
          <w:rFonts w:ascii="Times New Roman" w:hAnsi="Times New Roman" w:cs="Times New Roman"/>
          <w:b/>
          <w:bCs/>
          <w:sz w:val="22"/>
          <w:szCs w:val="22"/>
        </w:rPr>
        <w:t xml:space="preserve">Formación de Óxidos (Ejercicio 2, Ejemplo: </w:t>
      </w:r>
      <w:proofErr w:type="spellStart"/>
      <w:r w:rsidRPr="00C34D95">
        <w:rPr>
          <w:rFonts w:ascii="Times New Roman" w:hAnsi="Times New Roman" w:cs="Times New Roman"/>
          <w:b/>
          <w:bCs/>
          <w:sz w:val="22"/>
          <w:szCs w:val="22"/>
        </w:rPr>
        <w:t>PbO</w:t>
      </w:r>
      <w:proofErr w:type="spellEnd"/>
      <w:r w:rsidRPr="00C34D95">
        <w:rPr>
          <w:rFonts w:ascii="Times New Roman" w:hAnsi="Times New Roman" w:cs="Times New Roman"/>
          <w:b/>
          <w:bCs/>
          <w:sz w:val="22"/>
          <w:szCs w:val="22"/>
        </w:rPr>
        <w:t>₂)</w:t>
      </w:r>
    </w:p>
    <w:p w14:paraId="209F8C7A" w14:textId="77777777" w:rsidR="00C34D95" w:rsidRDefault="00C34D95" w:rsidP="00C34D95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CB3270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RX</w:t>
      </w:r>
      <w:proofErr w:type="spellEnd"/>
      <w:r w:rsidRPr="00CB3270">
        <w:rPr>
          <w:rFonts w:ascii="Times New Roman" w:hAnsi="Times New Roman" w:cs="Times New Roman"/>
          <w:b/>
          <w:bCs/>
          <w:sz w:val="22"/>
          <w:szCs w:val="22"/>
        </w:rPr>
        <w:t>. 0</w:t>
      </w:r>
      <w:r>
        <w:rPr>
          <w:rFonts w:ascii="Times New Roman" w:hAnsi="Times New Roman" w:cs="Times New Roman"/>
          <w:b/>
          <w:bCs/>
          <w:sz w:val="22"/>
          <w:szCs w:val="22"/>
        </w:rPr>
        <w:t>1]</w:t>
      </w:r>
    </w:p>
    <w:p w14:paraId="7251585A" w14:textId="579D5FDC" w:rsidR="00C34D95" w:rsidRPr="00F158B5" w:rsidRDefault="00C34D95" w:rsidP="00C34D95">
      <w:pPr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Pb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 (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s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) + 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O</m:t>
          </m:r>
          <m:r>
            <w:rPr>
              <w:rFonts w:ascii="Cambria Math" w:hAnsi="Cambria Math" w:cs="Times New Roman"/>
              <w:sz w:val="22"/>
              <w:szCs w:val="22"/>
            </w:rPr>
            <m:t>₂ (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g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) → 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PbO</m:t>
          </m:r>
          <m:r>
            <w:rPr>
              <w:rFonts w:ascii="Cambria Math" w:hAnsi="Cambria Math" w:cs="Times New Roman"/>
              <w:sz w:val="22"/>
              <w:szCs w:val="22"/>
            </w:rPr>
            <m:t>₂ (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s</m:t>
          </m:r>
          <m:r>
            <w:rPr>
              <w:rFonts w:ascii="Cambria Math" w:hAnsi="Cambria Math" w:cs="Times New Roman"/>
              <w:sz w:val="22"/>
              <w:szCs w:val="22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  <w:r w:rsidRPr="00F158B5">
        <w:rPr>
          <w:rFonts w:ascii="Times New Roman" w:hAnsi="Times New Roman" w:cs="Times New Roman"/>
          <w:b/>
          <w:bCs/>
          <w:sz w:val="22"/>
          <w:szCs w:val="22"/>
        </w:rPr>
        <w:t>Balanceada:</w:t>
      </w:r>
      <w:r w:rsidRPr="00F158B5">
        <w:rPr>
          <w:rFonts w:ascii="Times New Roman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Pb</m:t>
        </m:r>
        <m:r>
          <w:rPr>
            <w:rFonts w:ascii="Cambria Math" w:hAnsi="Cambria Math" w:cs="Times New Roman"/>
            <w:sz w:val="22"/>
            <w:szCs w:val="22"/>
          </w:rPr>
          <m:t xml:space="preserve"> (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s</m:t>
        </m:r>
        <m:r>
          <w:rPr>
            <w:rFonts w:ascii="Cambria Math" w:hAnsi="Cambria Math" w:cs="Times New Roman"/>
            <w:sz w:val="22"/>
            <w:szCs w:val="22"/>
          </w:rPr>
          <m:t xml:space="preserve">) +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O</m:t>
        </m:r>
        <m:r>
          <w:rPr>
            <w:rFonts w:ascii="Cambria Math" w:hAnsi="Cambria Math" w:cs="Times New Roman"/>
            <w:sz w:val="22"/>
            <w:szCs w:val="22"/>
          </w:rPr>
          <m:t>₂ (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g</m:t>
        </m:r>
        <m:r>
          <w:rPr>
            <w:rFonts w:ascii="Cambria Math" w:hAnsi="Cambria Math" w:cs="Times New Roman"/>
            <w:sz w:val="22"/>
            <w:szCs w:val="22"/>
          </w:rPr>
          <m:t xml:space="preserve">) →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PbO</m:t>
        </m:r>
        <m:r>
          <w:rPr>
            <w:rFonts w:ascii="Cambria Math" w:hAnsi="Cambria Math" w:cs="Times New Roman"/>
            <w:sz w:val="22"/>
            <w:szCs w:val="22"/>
          </w:rPr>
          <m:t>₂ (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s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Pr="00F158B5">
        <w:rPr>
          <w:rFonts w:ascii="Times New Roman" w:hAnsi="Times New Roman" w:cs="Times New Roman"/>
          <w:sz w:val="22"/>
          <w:szCs w:val="22"/>
        </w:rPr>
        <w:t> </w:t>
      </w:r>
    </w:p>
    <w:p w14:paraId="7C0998B8" w14:textId="58EA1A70" w:rsidR="00C34D95" w:rsidRPr="00C34D95" w:rsidRDefault="00C34D95" w:rsidP="00C34D95">
      <w:pPr>
        <w:ind w:firstLine="72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C34D95">
        <w:rPr>
          <w:rFonts w:ascii="Times New Roman" w:hAnsi="Times New Roman" w:cs="Times New Roman"/>
          <w:i/>
          <w:iCs/>
          <w:sz w:val="22"/>
          <w:szCs w:val="22"/>
        </w:rPr>
        <w:t>Clasificación:</w:t>
      </w:r>
      <w:r w:rsidRPr="00C34D95">
        <w:rPr>
          <w:rFonts w:ascii="Times New Roman" w:hAnsi="Times New Roman" w:cs="Times New Roman"/>
          <w:sz w:val="22"/>
          <w:szCs w:val="22"/>
        </w:rPr>
        <w:t> Compuesto binario (óxido).</w:t>
      </w:r>
    </w:p>
    <w:p w14:paraId="46A4FB17" w14:textId="1DFAEA31" w:rsidR="00C34D95" w:rsidRPr="00011D39" w:rsidRDefault="00A24A6D" w:rsidP="00011D39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C666EC">
        <w:rPr>
          <w:rFonts w:ascii="Times New Roman" w:hAnsi="Times New Roman" w:cs="Times New Roman"/>
          <w:sz w:val="22"/>
          <w:szCs w:val="22"/>
        </w:rPr>
        <w:t>Fuente: Elaboración propia a partir del Manual de Laboratorio de Química Básica (2025)</w:t>
      </w:r>
    </w:p>
    <w:p w14:paraId="5E8BD350" w14:textId="6A407A69" w:rsidR="00C34D95" w:rsidRPr="00C34D95" w:rsidRDefault="00C34D95" w:rsidP="00C34D95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34D95">
        <w:rPr>
          <w:rFonts w:ascii="Times New Roman" w:hAnsi="Times New Roman" w:cs="Times New Roman"/>
          <w:b/>
          <w:bCs/>
          <w:sz w:val="22"/>
          <w:szCs w:val="22"/>
        </w:rPr>
        <w:t xml:space="preserve">Síntesis de Hidruros (Ejercicio 2, Ejemplo: </w:t>
      </w:r>
      <w:proofErr w:type="spellStart"/>
      <w:r w:rsidRPr="00C34D95">
        <w:rPr>
          <w:rFonts w:ascii="Times New Roman" w:hAnsi="Times New Roman" w:cs="Times New Roman"/>
          <w:b/>
          <w:bCs/>
          <w:sz w:val="22"/>
          <w:szCs w:val="22"/>
        </w:rPr>
        <w:t>CrH</w:t>
      </w:r>
      <w:proofErr w:type="spellEnd"/>
      <w:r w:rsidRPr="00C34D95">
        <w:rPr>
          <w:rFonts w:ascii="Times New Roman" w:hAnsi="Times New Roman" w:cs="Times New Roman"/>
          <w:b/>
          <w:bCs/>
          <w:sz w:val="22"/>
          <w:szCs w:val="22"/>
        </w:rPr>
        <w:t>₆)</w:t>
      </w:r>
    </w:p>
    <w:p w14:paraId="5A5A873A" w14:textId="3FF4979A" w:rsidR="00C34D95" w:rsidRDefault="00C34D95" w:rsidP="00C34D95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CB3270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RX</w:t>
      </w:r>
      <w:proofErr w:type="spellEnd"/>
      <w:r w:rsidRPr="00CB3270">
        <w:rPr>
          <w:rFonts w:ascii="Times New Roman" w:hAnsi="Times New Roman" w:cs="Times New Roman"/>
          <w:b/>
          <w:bCs/>
          <w:sz w:val="22"/>
          <w:szCs w:val="22"/>
        </w:rPr>
        <w:t>. 0</w:t>
      </w:r>
      <w:r>
        <w:rPr>
          <w:rFonts w:ascii="Times New Roman" w:hAnsi="Times New Roman" w:cs="Times New Roman"/>
          <w:b/>
          <w:bCs/>
          <w:sz w:val="22"/>
          <w:szCs w:val="22"/>
        </w:rPr>
        <w:t>2]</w:t>
      </w:r>
    </w:p>
    <w:p w14:paraId="35369475" w14:textId="0EC5BC53" w:rsidR="00C34D95" w:rsidRPr="00C34D95" w:rsidRDefault="00C34D95" w:rsidP="00C34D95">
      <w:pPr>
        <w:ind w:left="720"/>
        <w:jc w:val="center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Cr (s) + 3 H₂ (g) → CrH₆ (s)</m:t>
        </m:r>
      </m:oMath>
      <w:r w:rsidRPr="00C34D95">
        <w:rPr>
          <w:rFonts w:ascii="Times New Roman" w:hAnsi="Times New Roman" w:cs="Times New Roman"/>
          <w:sz w:val="22"/>
          <w:szCs w:val="22"/>
        </w:rPr>
        <w:t xml:space="preserve">  </w:t>
      </w:r>
      <w:r w:rsidRPr="00C34D95">
        <w:rPr>
          <w:rFonts w:ascii="Times New Roman" w:hAnsi="Times New Roman" w:cs="Times New Roman"/>
          <w:sz w:val="22"/>
          <w:szCs w:val="22"/>
        </w:rPr>
        <w:br/>
      </w:r>
      <w:r w:rsidRPr="00C34D95">
        <w:rPr>
          <w:rFonts w:ascii="Times New Roman" w:hAnsi="Times New Roman" w:cs="Times New Roman"/>
          <w:i/>
          <w:iCs/>
          <w:sz w:val="22"/>
          <w:szCs w:val="22"/>
        </w:rPr>
        <w:t>Clasificación:</w:t>
      </w:r>
      <w:r w:rsidRPr="00C34D95">
        <w:rPr>
          <w:rFonts w:ascii="Times New Roman" w:hAnsi="Times New Roman" w:cs="Times New Roman"/>
          <w:sz w:val="22"/>
          <w:szCs w:val="22"/>
        </w:rPr>
        <w:t> Compuesto binario (hidruro metálico).</w:t>
      </w:r>
    </w:p>
    <w:p w14:paraId="585D859B" w14:textId="2464B90C" w:rsidR="00A24A6D" w:rsidRPr="00C666EC" w:rsidRDefault="00A24A6D" w:rsidP="00A24A6D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C666EC">
        <w:rPr>
          <w:rFonts w:ascii="Times New Roman" w:hAnsi="Times New Roman" w:cs="Times New Roman"/>
          <w:sz w:val="22"/>
          <w:szCs w:val="22"/>
        </w:rPr>
        <w:t>Fuente: Elaboración propia a partir del Manual de Laboratorio de Química Básica (2025)</w:t>
      </w:r>
    </w:p>
    <w:p w14:paraId="0AFF3E13" w14:textId="77777777" w:rsidR="00C34D95" w:rsidRPr="00C34D95" w:rsidRDefault="00C34D95" w:rsidP="00C34D95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34D95">
        <w:rPr>
          <w:rFonts w:ascii="Times New Roman" w:hAnsi="Times New Roman" w:cs="Times New Roman"/>
          <w:b/>
          <w:bCs/>
          <w:sz w:val="22"/>
          <w:szCs w:val="22"/>
        </w:rPr>
        <w:t>Hidratación de Sales (Ejercicio 2, Ejemplo: Ca(</w:t>
      </w:r>
      <w:proofErr w:type="spellStart"/>
      <w:r w:rsidRPr="00C34D95">
        <w:rPr>
          <w:rFonts w:ascii="Times New Roman" w:hAnsi="Times New Roman" w:cs="Times New Roman"/>
          <w:b/>
          <w:bCs/>
          <w:sz w:val="22"/>
          <w:szCs w:val="22"/>
        </w:rPr>
        <w:t>ClO</w:t>
      </w:r>
      <w:proofErr w:type="spellEnd"/>
      <w:r w:rsidRPr="00C34D95">
        <w:rPr>
          <w:rFonts w:ascii="Times New Roman" w:hAnsi="Times New Roman" w:cs="Times New Roman"/>
          <w:b/>
          <w:bCs/>
          <w:sz w:val="22"/>
          <w:szCs w:val="22"/>
        </w:rPr>
        <w:t>)₂·</w:t>
      </w:r>
      <w:proofErr w:type="spellStart"/>
      <w:r w:rsidRPr="00C34D95">
        <w:rPr>
          <w:rFonts w:ascii="Times New Roman" w:hAnsi="Times New Roman" w:cs="Times New Roman"/>
          <w:b/>
          <w:bCs/>
          <w:sz w:val="22"/>
          <w:szCs w:val="22"/>
        </w:rPr>
        <w:t>3H₂O</w:t>
      </w:r>
      <w:proofErr w:type="spellEnd"/>
      <w:r w:rsidRPr="00C34D95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7BC67E12" w14:textId="2CB8BE6C" w:rsidR="00C34D95" w:rsidRPr="00C34D95" w:rsidRDefault="00C34D95" w:rsidP="00C34D95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CB3270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RX</w:t>
      </w:r>
      <w:proofErr w:type="spellEnd"/>
      <w:r w:rsidRPr="00CB3270">
        <w:rPr>
          <w:rFonts w:ascii="Times New Roman" w:hAnsi="Times New Roman" w:cs="Times New Roman"/>
          <w:b/>
          <w:bCs/>
          <w:sz w:val="22"/>
          <w:szCs w:val="22"/>
        </w:rPr>
        <w:t>. 0</w:t>
      </w:r>
      <w:r>
        <w:rPr>
          <w:rFonts w:ascii="Times New Roman" w:hAnsi="Times New Roman" w:cs="Times New Roman"/>
          <w:b/>
          <w:bCs/>
          <w:sz w:val="22"/>
          <w:szCs w:val="22"/>
        </w:rPr>
        <w:t>3]</w:t>
      </w:r>
    </w:p>
    <w:p w14:paraId="064BF343" w14:textId="7B31AC21" w:rsidR="00C34D95" w:rsidRDefault="00C34D95" w:rsidP="00C34D95">
      <w:pPr>
        <w:ind w:left="720"/>
        <w:jc w:val="center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 xml:space="preserve">Ca(ClO)₂ (s) + 3 H₂O (l) → Ca(ClO)₂·3H₂O (s)  </m:t>
          </m:r>
          <m:r>
            <m:rPr>
              <m:sty m:val="p"/>
            </m:rP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  <w:r w:rsidRPr="00C34D95">
        <w:rPr>
          <w:rFonts w:ascii="Times New Roman" w:hAnsi="Times New Roman" w:cs="Times New Roman"/>
          <w:i/>
          <w:iCs/>
          <w:sz w:val="22"/>
          <w:szCs w:val="22"/>
        </w:rPr>
        <w:t>Clasificación:</w:t>
      </w:r>
      <w:r w:rsidRPr="00C34D95">
        <w:rPr>
          <w:rFonts w:ascii="Times New Roman" w:hAnsi="Times New Roman" w:cs="Times New Roman"/>
          <w:sz w:val="22"/>
          <w:szCs w:val="22"/>
        </w:rPr>
        <w:t> Compuesto cuaternario (hidrato).</w:t>
      </w:r>
    </w:p>
    <w:p w14:paraId="0E42A698" w14:textId="38187986" w:rsidR="00C34D95" w:rsidRPr="00011D39" w:rsidRDefault="00A24A6D" w:rsidP="00011D39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C666EC">
        <w:rPr>
          <w:rFonts w:ascii="Times New Roman" w:hAnsi="Times New Roman" w:cs="Times New Roman"/>
          <w:sz w:val="22"/>
          <w:szCs w:val="22"/>
        </w:rPr>
        <w:t>Fuente: Elaboración propia a partir del Manual de Laboratorio de Química Básica (2025)</w:t>
      </w:r>
    </w:p>
    <w:p w14:paraId="31FCD1DD" w14:textId="551B2AB8" w:rsidR="00C34D95" w:rsidRPr="00C34D95" w:rsidRDefault="00C34D95" w:rsidP="00C34D95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34D95">
        <w:rPr>
          <w:rFonts w:ascii="Times New Roman" w:hAnsi="Times New Roman" w:cs="Times New Roman"/>
          <w:b/>
          <w:bCs/>
          <w:sz w:val="22"/>
          <w:szCs w:val="22"/>
        </w:rPr>
        <w:t xml:space="preserve">Neutralización Ácido-Base (Ejercicio 4, Ejemplo: </w:t>
      </w:r>
      <w:proofErr w:type="spellStart"/>
      <w:r w:rsidRPr="00C34D95">
        <w:rPr>
          <w:rFonts w:ascii="Times New Roman" w:hAnsi="Times New Roman" w:cs="Times New Roman"/>
          <w:b/>
          <w:bCs/>
          <w:sz w:val="22"/>
          <w:szCs w:val="22"/>
        </w:rPr>
        <w:t>KClO</w:t>
      </w:r>
      <w:proofErr w:type="spellEnd"/>
      <w:r w:rsidRPr="00C34D95">
        <w:rPr>
          <w:rFonts w:ascii="Times New Roman" w:hAnsi="Times New Roman" w:cs="Times New Roman"/>
          <w:b/>
          <w:bCs/>
          <w:sz w:val="22"/>
          <w:szCs w:val="22"/>
        </w:rPr>
        <w:t>₃)</w:t>
      </w:r>
    </w:p>
    <w:p w14:paraId="3B79F8F5" w14:textId="47344923" w:rsidR="00C34D95" w:rsidRPr="00C34D95" w:rsidRDefault="00C34D95" w:rsidP="00C34D95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 w:rsidRPr="00CB3270">
        <w:rPr>
          <w:rFonts w:ascii="Times New Roman" w:hAnsi="Times New Roman" w:cs="Times New Roman"/>
          <w:b/>
          <w:bCs/>
          <w:sz w:val="22"/>
          <w:szCs w:val="22"/>
        </w:rPr>
        <w:t>[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RX</w:t>
      </w:r>
      <w:proofErr w:type="spellEnd"/>
      <w:r w:rsidRPr="00CB3270">
        <w:rPr>
          <w:rFonts w:ascii="Times New Roman" w:hAnsi="Times New Roman" w:cs="Times New Roman"/>
          <w:b/>
          <w:bCs/>
          <w:sz w:val="22"/>
          <w:szCs w:val="22"/>
        </w:rPr>
        <w:t>. 0</w:t>
      </w:r>
      <w:r>
        <w:rPr>
          <w:rFonts w:ascii="Times New Roman" w:hAnsi="Times New Roman" w:cs="Times New Roman"/>
          <w:b/>
          <w:bCs/>
          <w:sz w:val="22"/>
          <w:szCs w:val="22"/>
        </w:rPr>
        <w:t>4]</w:t>
      </w:r>
    </w:p>
    <w:p w14:paraId="73F9ADD0" w14:textId="0AC79211" w:rsidR="00A24A6D" w:rsidRDefault="00C34D95" w:rsidP="00C34D95">
      <w:pPr>
        <w:jc w:val="center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 xml:space="preserve">HClO₃ (ac) + KOH (ac) → KClO₃ (ac) + H₂O (l)  </m:t>
          </m:r>
          <m:r>
            <m:rPr>
              <m:sty m:val="p"/>
            </m:rP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  <w:r w:rsidRPr="00C34D95">
        <w:rPr>
          <w:rFonts w:ascii="Times New Roman" w:hAnsi="Times New Roman" w:cs="Times New Roman"/>
          <w:i/>
          <w:iCs/>
          <w:sz w:val="22"/>
          <w:szCs w:val="22"/>
        </w:rPr>
        <w:t>Clasificación:</w:t>
      </w:r>
      <w:r w:rsidRPr="00C34D95">
        <w:rPr>
          <w:rFonts w:ascii="Times New Roman" w:hAnsi="Times New Roman" w:cs="Times New Roman"/>
          <w:sz w:val="22"/>
          <w:szCs w:val="22"/>
        </w:rPr>
        <w:t> Compuesto ternario (</w:t>
      </w:r>
      <w:proofErr w:type="spellStart"/>
      <w:r w:rsidRPr="00C34D95">
        <w:rPr>
          <w:rFonts w:ascii="Times New Roman" w:hAnsi="Times New Roman" w:cs="Times New Roman"/>
          <w:sz w:val="22"/>
          <w:szCs w:val="22"/>
        </w:rPr>
        <w:t>oxisal</w:t>
      </w:r>
      <w:proofErr w:type="spellEnd"/>
      <w:r w:rsidRPr="00C34D95">
        <w:rPr>
          <w:rFonts w:ascii="Times New Roman" w:hAnsi="Times New Roman" w:cs="Times New Roman"/>
          <w:sz w:val="22"/>
          <w:szCs w:val="22"/>
        </w:rPr>
        <w:t>).</w:t>
      </w:r>
    </w:p>
    <w:p w14:paraId="3E75E695" w14:textId="48B8C974" w:rsidR="00C34D95" w:rsidRPr="00C34D95" w:rsidRDefault="00C34D95" w:rsidP="00C34D95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C666EC">
        <w:rPr>
          <w:rFonts w:ascii="Times New Roman" w:hAnsi="Times New Roman" w:cs="Times New Roman"/>
          <w:sz w:val="22"/>
          <w:szCs w:val="22"/>
        </w:rPr>
        <w:t>Fuente: Elaboración propia a partir del Manual de Laboratorio de Química Básica (2025)</w:t>
      </w:r>
    </w:p>
    <w:p w14:paraId="4C8DF2A2" w14:textId="77777777" w:rsidR="00A24A6D" w:rsidRPr="006E5698" w:rsidRDefault="00A24A6D" w:rsidP="00A24A6D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23" w:name="_Toc194307722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ECUACIONES Y CONSTANTES</w:t>
      </w:r>
      <w:bookmarkEnd w:id="22"/>
      <w:bookmarkEnd w:id="23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</w:t>
      </w:r>
    </w:p>
    <w:p w14:paraId="7CA2043E" w14:textId="77777777" w:rsidR="00A24A6D" w:rsidRPr="004B6304" w:rsidRDefault="00A24A6D" w:rsidP="00A24A6D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spellStart"/>
      <w:r w:rsidRPr="004B6304">
        <w:rPr>
          <w:rFonts w:ascii="Times New Roman" w:hAnsi="Times New Roman" w:cs="Times New Roman"/>
          <w:b/>
          <w:bCs/>
          <w:sz w:val="22"/>
          <w:szCs w:val="22"/>
          <w:u w:val="single"/>
        </w:rPr>
        <w:t>III.I</w:t>
      </w:r>
      <w:proofErr w:type="spellEnd"/>
      <w:r w:rsidRPr="004B6304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Ecuaciones</w:t>
      </w:r>
    </w:p>
    <w:p w14:paraId="48B2E609" w14:textId="39920025" w:rsidR="00A24A6D" w:rsidRDefault="00A24A6D" w:rsidP="00FE7C7F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B6304">
        <w:rPr>
          <w:rFonts w:ascii="Times New Roman" w:hAnsi="Times New Roman" w:cs="Times New Roman"/>
          <w:b/>
          <w:bCs/>
          <w:sz w:val="22"/>
          <w:szCs w:val="22"/>
        </w:rPr>
        <w:t xml:space="preserve">Ecuación [EC. 01] – </w:t>
      </w:r>
      <w:r w:rsidR="00FE7C7F" w:rsidRPr="00FE7C7F">
        <w:rPr>
          <w:rFonts w:ascii="Times New Roman" w:hAnsi="Times New Roman" w:cs="Times New Roman"/>
          <w:b/>
          <w:bCs/>
          <w:sz w:val="22"/>
          <w:szCs w:val="22"/>
        </w:rPr>
        <w:t>Cálculo del número de moles a partir de la masa y la masa molar (muy utilizado en la preparación de disoluciones o en cálculos estequiométricos).</w:t>
      </w:r>
    </w:p>
    <w:p w14:paraId="0C74F605" w14:textId="27F4BBC2" w:rsidR="00FE7C7F" w:rsidRPr="00FE7C7F" w:rsidRDefault="00FE7C7F" w:rsidP="00C34D95">
      <w:pPr>
        <w:rPr>
          <w:rFonts w:ascii="Times New Roman" w:hAnsi="Times New Roman" w:cs="Times New Roman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n=</m:t>
          </m:r>
          <m:f>
            <m:fPr>
              <m:ctrlPr>
                <w:rPr>
                  <w:rFonts w:ascii="Cambria Math" w:hAnsi="Cambria Math" w:cs="Times New Roman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​</m:t>
          </m:r>
        </m:oMath>
      </m:oMathPara>
    </w:p>
    <w:p w14:paraId="03BBED92" w14:textId="77777777" w:rsidR="00FE7C7F" w:rsidRPr="00FE7C7F" w:rsidRDefault="00FE7C7F" w:rsidP="00FE7C7F">
      <w:p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Donde:</w:t>
      </w:r>
    </w:p>
    <w:p w14:paraId="5B95A2CC" w14:textId="6B231B97" w:rsidR="00FE7C7F" w:rsidRPr="00FE7C7F" w:rsidRDefault="00FE7C7F" w:rsidP="00FE7C7F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Pr="00FE7C7F">
        <w:rPr>
          <w:rFonts w:ascii="Times New Roman" w:hAnsi="Times New Roman" w:cs="Times New Roman"/>
          <w:sz w:val="22"/>
          <w:szCs w:val="22"/>
        </w:rPr>
        <w:t xml:space="preserve"> = número de moles (mol)</w:t>
      </w:r>
    </w:p>
    <w:p w14:paraId="1693651F" w14:textId="3CE65768" w:rsidR="00FE7C7F" w:rsidRPr="00FE7C7F" w:rsidRDefault="00FE7C7F" w:rsidP="00FE7C7F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E7C7F">
        <w:rPr>
          <w:rFonts w:ascii="Times New Roman" w:hAnsi="Times New Roman" w:cs="Times New Roman"/>
          <w:sz w:val="22"/>
          <w:szCs w:val="22"/>
        </w:rPr>
        <w:t>= masa de la sustancia (g)</w:t>
      </w:r>
    </w:p>
    <w:p w14:paraId="77178065" w14:textId="6BB41735" w:rsidR="00C34D95" w:rsidRPr="00FE7C7F" w:rsidRDefault="00FE7C7F" w:rsidP="00C34D95">
      <w:pPr>
        <w:pStyle w:val="Prrafodelista"/>
        <w:numPr>
          <w:ilvl w:val="0"/>
          <w:numId w:val="48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M</w:t>
      </w:r>
      <w:r w:rsidRPr="00FE7C7F">
        <w:rPr>
          <w:rFonts w:ascii="Times New Roman" w:hAnsi="Times New Roman" w:cs="Times New Roman"/>
          <w:sz w:val="22"/>
          <w:szCs w:val="22"/>
        </w:rPr>
        <w:t xml:space="preserve"> = masa molar (g/mol)</w:t>
      </w:r>
    </w:p>
    <w:p w14:paraId="122FB460" w14:textId="77777777" w:rsidR="00A24A6D" w:rsidRPr="004B6304" w:rsidRDefault="00A24A6D" w:rsidP="00A24A6D">
      <w:pPr>
        <w:rPr>
          <w:rFonts w:ascii="Times New Roman" w:hAnsi="Times New Roman" w:cs="Times New Roman"/>
          <w:sz w:val="22"/>
          <w:szCs w:val="22"/>
        </w:rPr>
      </w:pPr>
      <w:r w:rsidRPr="004B6304">
        <w:rPr>
          <w:rFonts w:ascii="Times New Roman" w:hAnsi="Times New Roman" w:cs="Times New Roman"/>
          <w:sz w:val="22"/>
          <w:szCs w:val="22"/>
        </w:rPr>
        <w:t>Fuente: Brown et al. (20</w:t>
      </w:r>
      <w:r>
        <w:rPr>
          <w:rFonts w:ascii="Times New Roman" w:hAnsi="Times New Roman" w:cs="Times New Roman"/>
          <w:sz w:val="22"/>
          <w:szCs w:val="22"/>
        </w:rPr>
        <w:t>14</w:t>
      </w:r>
      <w:r w:rsidRPr="004B6304">
        <w:rPr>
          <w:rFonts w:ascii="Times New Roman" w:hAnsi="Times New Roman" w:cs="Times New Roman"/>
          <w:sz w:val="22"/>
          <w:szCs w:val="22"/>
        </w:rPr>
        <w:t>).</w:t>
      </w:r>
    </w:p>
    <w:p w14:paraId="4B2776D4" w14:textId="77777777" w:rsidR="00A24A6D" w:rsidRDefault="00A24A6D" w:rsidP="00A24A6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4068672" w14:textId="344DD3A7" w:rsidR="00A24A6D" w:rsidRPr="004B6304" w:rsidRDefault="00A24A6D" w:rsidP="00A24A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B6304">
        <w:rPr>
          <w:rFonts w:ascii="Times New Roman" w:hAnsi="Times New Roman" w:cs="Times New Roman"/>
          <w:b/>
          <w:bCs/>
          <w:sz w:val="22"/>
          <w:szCs w:val="22"/>
        </w:rPr>
        <w:t xml:space="preserve">Ecuación [EC. 02] – </w:t>
      </w:r>
      <w:r w:rsidR="00FE7C7F">
        <w:rPr>
          <w:rFonts w:ascii="Times New Roman" w:hAnsi="Times New Roman" w:cs="Times New Roman"/>
          <w:b/>
          <w:bCs/>
          <w:sz w:val="22"/>
          <w:szCs w:val="22"/>
        </w:rPr>
        <w:t>Ecuación del gas ideal</w:t>
      </w:r>
    </w:p>
    <w:p w14:paraId="37D99446" w14:textId="62FC4AD5" w:rsidR="00FE7C7F" w:rsidRPr="00FE7C7F" w:rsidRDefault="00FE7C7F" w:rsidP="00FE7C7F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PV=nRT</m:t>
          </m:r>
        </m:oMath>
      </m:oMathPara>
    </w:p>
    <w:p w14:paraId="311A05FE" w14:textId="77777777" w:rsidR="00FE7C7F" w:rsidRPr="00FE7C7F" w:rsidRDefault="00FE7C7F" w:rsidP="00FE7C7F">
      <w:p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Donde:</w:t>
      </w:r>
    </w:p>
    <w:p w14:paraId="4E649C77" w14:textId="77777777" w:rsidR="00FE7C7F" w:rsidRPr="00FE7C7F" w:rsidRDefault="00FE7C7F" w:rsidP="00FE7C7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Pr="00FE7C7F">
        <w:rPr>
          <w:rFonts w:ascii="Times New Roman" w:hAnsi="Times New Roman" w:cs="Times New Roman"/>
          <w:sz w:val="22"/>
          <w:szCs w:val="22"/>
        </w:rPr>
        <w:t> = Presión del gas (atm).</w:t>
      </w:r>
    </w:p>
    <w:p w14:paraId="04D36E1B" w14:textId="77777777" w:rsidR="00FE7C7F" w:rsidRPr="00FE7C7F" w:rsidRDefault="00FE7C7F" w:rsidP="00FE7C7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V</w:t>
      </w:r>
      <w:r w:rsidRPr="00FE7C7F">
        <w:rPr>
          <w:rFonts w:ascii="Times New Roman" w:hAnsi="Times New Roman" w:cs="Times New Roman"/>
          <w:sz w:val="22"/>
          <w:szCs w:val="22"/>
        </w:rPr>
        <w:t> = Volumen del gas (L).</w:t>
      </w:r>
    </w:p>
    <w:p w14:paraId="3E33B25D" w14:textId="77777777" w:rsidR="00FE7C7F" w:rsidRPr="00FE7C7F" w:rsidRDefault="00FE7C7F" w:rsidP="00FE7C7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Pr="00FE7C7F">
        <w:rPr>
          <w:rFonts w:ascii="Times New Roman" w:hAnsi="Times New Roman" w:cs="Times New Roman"/>
          <w:sz w:val="22"/>
          <w:szCs w:val="22"/>
        </w:rPr>
        <w:t> = Cantidad de sustancia (mol).</w:t>
      </w:r>
    </w:p>
    <w:p w14:paraId="604E683C" w14:textId="77777777" w:rsidR="00FE7C7F" w:rsidRPr="00FE7C7F" w:rsidRDefault="00FE7C7F" w:rsidP="00FE7C7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FE7C7F">
        <w:rPr>
          <w:rFonts w:ascii="Times New Roman" w:hAnsi="Times New Roman" w:cs="Times New Roman"/>
          <w:sz w:val="22"/>
          <w:szCs w:val="22"/>
        </w:rPr>
        <w:t> = Constante de los gases ideales ().</w:t>
      </w:r>
    </w:p>
    <w:p w14:paraId="3B01A674" w14:textId="77777777" w:rsidR="00FE7C7F" w:rsidRPr="00FE7C7F" w:rsidRDefault="00FE7C7F" w:rsidP="00FE7C7F">
      <w:pPr>
        <w:pStyle w:val="Prrafodelista"/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Pr="00FE7C7F">
        <w:rPr>
          <w:rFonts w:ascii="Times New Roman" w:hAnsi="Times New Roman" w:cs="Times New Roman"/>
          <w:sz w:val="22"/>
          <w:szCs w:val="22"/>
        </w:rPr>
        <w:t> = Temperatura absoluta (K).</w:t>
      </w:r>
    </w:p>
    <w:p w14:paraId="01A67D57" w14:textId="5D66D9D4" w:rsidR="00FE7C7F" w:rsidRPr="00B56D4D" w:rsidRDefault="00FE7C7F" w:rsidP="00A24A6D">
      <w:pPr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sz w:val="22"/>
          <w:szCs w:val="22"/>
        </w:rPr>
        <w:t xml:space="preserve">Fuente: Chang y </w:t>
      </w:r>
      <w:proofErr w:type="spellStart"/>
      <w:r w:rsidRPr="00FE7C7F">
        <w:rPr>
          <w:rFonts w:ascii="Times New Roman" w:hAnsi="Times New Roman" w:cs="Times New Roman"/>
          <w:sz w:val="22"/>
          <w:szCs w:val="22"/>
        </w:rPr>
        <w:t>Goldsby</w:t>
      </w:r>
      <w:proofErr w:type="spellEnd"/>
      <w:r w:rsidRPr="00FE7C7F">
        <w:rPr>
          <w:rFonts w:ascii="Times New Roman" w:hAnsi="Times New Roman" w:cs="Times New Roman"/>
          <w:sz w:val="22"/>
          <w:szCs w:val="22"/>
        </w:rPr>
        <w:t xml:space="preserve"> (2017).</w:t>
      </w:r>
    </w:p>
    <w:p w14:paraId="18348B2A" w14:textId="70B8EE9A" w:rsidR="00A24A6D" w:rsidRPr="004B6304" w:rsidRDefault="00A24A6D" w:rsidP="00A24A6D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spellStart"/>
      <w:r w:rsidRPr="004B6304">
        <w:rPr>
          <w:rFonts w:ascii="Times New Roman" w:hAnsi="Times New Roman" w:cs="Times New Roman"/>
          <w:b/>
          <w:bCs/>
          <w:sz w:val="22"/>
          <w:szCs w:val="22"/>
          <w:u w:val="single"/>
        </w:rPr>
        <w:t>III.II</w:t>
      </w:r>
      <w:proofErr w:type="spellEnd"/>
      <w:r w:rsidRPr="004B6304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Constantes</w:t>
      </w:r>
    </w:p>
    <w:p w14:paraId="32CB8574" w14:textId="4EFBAD54" w:rsidR="00A24A6D" w:rsidRDefault="00FE7C7F" w:rsidP="00A24A6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Constante de Avogadro </w:t>
      </w:r>
      <w:r w:rsidR="00A24A6D" w:rsidRPr="006E5698">
        <w:rPr>
          <w:rFonts w:ascii="Times New Roman" w:hAnsi="Times New Roman" w:cs="Times New Roman"/>
          <w:b/>
          <w:bCs/>
          <w:sz w:val="22"/>
          <w:szCs w:val="22"/>
        </w:rPr>
        <w:br/>
        <w:t>Constante [</w:t>
      </w:r>
      <w:proofErr w:type="spellStart"/>
      <w:r w:rsidR="00A24A6D" w:rsidRPr="006E5698">
        <w:rPr>
          <w:rFonts w:ascii="Times New Roman" w:hAnsi="Times New Roman" w:cs="Times New Roman"/>
          <w:b/>
          <w:bCs/>
          <w:sz w:val="22"/>
          <w:szCs w:val="22"/>
        </w:rPr>
        <w:t>CT</w:t>
      </w:r>
      <w:proofErr w:type="spellEnd"/>
      <w:r w:rsidR="00A24A6D" w:rsidRPr="006E5698">
        <w:rPr>
          <w:rFonts w:ascii="Times New Roman" w:hAnsi="Times New Roman" w:cs="Times New Roman"/>
          <w:b/>
          <w:bCs/>
          <w:sz w:val="22"/>
          <w:szCs w:val="22"/>
        </w:rPr>
        <w:t>. 01]</w:t>
      </w:r>
    </w:p>
    <w:p w14:paraId="6EB5FA36" w14:textId="572D7D10" w:rsidR="00FE7C7F" w:rsidRPr="00FE7C7F" w:rsidRDefault="00FE7C7F" w:rsidP="00FE7C7F">
      <w:pPr>
        <w:ind w:left="72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NA​=6.022×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23</m:t>
              </m:r>
            </m:sup>
          </m:sSup>
          <m:r>
            <w:rPr>
              <w:rFonts w:ascii="Cambria Math" w:hAnsi="Cambria Math" w:cs="Times New Roman"/>
              <w:sz w:val="22"/>
              <w:szCs w:val="22"/>
            </w:rPr>
            <m:t xml:space="preserve"> mol</m:t>
          </m:r>
        </m:oMath>
      </m:oMathPara>
    </w:p>
    <w:p w14:paraId="4667F9B1" w14:textId="77777777" w:rsidR="00FE7C7F" w:rsidRPr="00FE7C7F" w:rsidRDefault="00FE7C7F" w:rsidP="00FE7C7F">
      <w:pPr>
        <w:ind w:left="720"/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Descripción:</w:t>
      </w:r>
    </w:p>
    <w:p w14:paraId="1DE2C94E" w14:textId="77777777" w:rsidR="00FE7C7F" w:rsidRPr="00FE7C7F" w:rsidRDefault="00FE7C7F" w:rsidP="00FE7C7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Nₐ</w:t>
      </w:r>
      <w:r w:rsidRPr="00FE7C7F">
        <w:rPr>
          <w:rFonts w:ascii="Times New Roman" w:hAnsi="Times New Roman" w:cs="Times New Roman"/>
          <w:sz w:val="22"/>
          <w:szCs w:val="22"/>
        </w:rPr>
        <w:t> = Número de partículas (átomos, moléculas) en 1 mol de sustancia.</w:t>
      </w:r>
    </w:p>
    <w:p w14:paraId="202F0F84" w14:textId="7DE2410A" w:rsidR="00FE7C7F" w:rsidRPr="00FE7C7F" w:rsidRDefault="00FE7C7F" w:rsidP="00F67DF4">
      <w:pPr>
        <w:ind w:left="720"/>
        <w:rPr>
          <w:rFonts w:ascii="Times New Roman" w:hAnsi="Times New Roman" w:cs="Times New Roman"/>
          <w:sz w:val="22"/>
          <w:szCs w:val="22"/>
        </w:rPr>
      </w:pPr>
      <w:r w:rsidRPr="00FE7C7F">
        <w:rPr>
          <w:rFonts w:ascii="Times New Roman" w:hAnsi="Times New Roman" w:cs="Times New Roman"/>
          <w:b/>
          <w:bCs/>
          <w:sz w:val="22"/>
          <w:szCs w:val="22"/>
        </w:rPr>
        <w:t>Fuente:</w:t>
      </w:r>
      <w:r w:rsidRPr="00FE7C7F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FE7C7F">
        <w:rPr>
          <w:rFonts w:ascii="Times New Roman" w:hAnsi="Times New Roman" w:cs="Times New Roman"/>
          <w:sz w:val="22"/>
          <w:szCs w:val="22"/>
        </w:rPr>
        <w:t>Malouf</w:t>
      </w:r>
      <w:proofErr w:type="spellEnd"/>
      <w:r w:rsidRPr="00FE7C7F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FE7C7F">
        <w:rPr>
          <w:rFonts w:ascii="Times New Roman" w:hAnsi="Times New Roman" w:cs="Times New Roman"/>
          <w:sz w:val="22"/>
          <w:szCs w:val="22"/>
        </w:rPr>
        <w:t>Beltethón</w:t>
      </w:r>
      <w:proofErr w:type="spellEnd"/>
      <w:r w:rsidRPr="00FE7C7F">
        <w:rPr>
          <w:rFonts w:ascii="Times New Roman" w:hAnsi="Times New Roman" w:cs="Times New Roman"/>
          <w:sz w:val="22"/>
          <w:szCs w:val="22"/>
        </w:rPr>
        <w:t xml:space="preserve"> (2012).</w:t>
      </w:r>
    </w:p>
    <w:p w14:paraId="1FE05F84" w14:textId="77777777" w:rsidR="00A24A6D" w:rsidRPr="003D6752" w:rsidRDefault="00A24A6D" w:rsidP="00A24A6D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24" w:name="_Toc189213564"/>
      <w:bookmarkStart w:id="25" w:name="_Toc194307723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REFERENCIAS BIBLIOGRÁFICAS</w:t>
      </w:r>
      <w:bookmarkEnd w:id="24"/>
      <w:bookmarkEnd w:id="25"/>
    </w:p>
    <w:p w14:paraId="7DBD14E7" w14:textId="77777777" w:rsidR="00A24A6D" w:rsidRPr="00385100" w:rsidRDefault="00A24A6D" w:rsidP="00A24A6D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6" w:name="_Toc191140496"/>
      <w:bookmarkStart w:id="27" w:name="_Toc194307724"/>
      <w:proofErr w:type="spellStart"/>
      <w:r w:rsidRPr="00421403">
        <w:rPr>
          <w:rFonts w:ascii="Times New Roman" w:hAnsi="Times New Roman" w:cs="Times New Roman"/>
          <w:color w:val="auto"/>
          <w:sz w:val="28"/>
          <w:szCs w:val="28"/>
          <w:u w:val="single"/>
        </w:rPr>
        <w:t>VI.I</w:t>
      </w:r>
      <w:proofErr w:type="spellEnd"/>
      <w:r w:rsidRPr="00421403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REFERENCIAS BIBLIOGRÁFICAS</w:t>
      </w:r>
      <w:bookmarkEnd w:id="26"/>
      <w:bookmarkEnd w:id="27"/>
    </w:p>
    <w:p w14:paraId="59D7ECD5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  <w:lang w:val="en-US"/>
        </w:rPr>
        <w:t xml:space="preserve">Brown, T., Lemay, H., </w:t>
      </w:r>
      <w:proofErr w:type="spellStart"/>
      <w:r w:rsidRPr="00F67DF4">
        <w:rPr>
          <w:rFonts w:ascii="Times New Roman" w:hAnsi="Times New Roman" w:cs="Times New Roman"/>
          <w:sz w:val="22"/>
          <w:szCs w:val="22"/>
          <w:lang w:val="en-US"/>
        </w:rPr>
        <w:t>Bursten</w:t>
      </w:r>
      <w:proofErr w:type="spellEnd"/>
      <w:r w:rsidRPr="00F67DF4">
        <w:rPr>
          <w:rFonts w:ascii="Times New Roman" w:hAnsi="Times New Roman" w:cs="Times New Roman"/>
          <w:sz w:val="22"/>
          <w:szCs w:val="22"/>
          <w:lang w:val="en-US"/>
        </w:rPr>
        <w:t xml:space="preserve">, B., &amp; Murphy, C. (2014). </w:t>
      </w:r>
      <w:r w:rsidRPr="00F67DF4">
        <w:rPr>
          <w:rFonts w:ascii="Times New Roman" w:hAnsi="Times New Roman" w:cs="Times New Roman"/>
          <w:sz w:val="22"/>
          <w:szCs w:val="22"/>
        </w:rPr>
        <w:t xml:space="preserve">Química: La ciencia central (12ª ed.). Editorial Pearson 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Education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 xml:space="preserve">. Recuperado de </w:t>
      </w:r>
      <w:hyperlink r:id="rId15" w:tgtFrame="_new" w:history="1"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https://www.udocz.com/apuntes/903615/brown-quimica-la-ciencia-central-12va-edicion</w:t>
        </w:r>
      </w:hyperlink>
    </w:p>
    <w:p w14:paraId="4BA59E97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  <w:lang w:val="en-US"/>
        </w:rPr>
        <w:t xml:space="preserve">Chang, R., &amp; Goldsby, K. (2018). Chemistry (13th ed.). </w:t>
      </w:r>
      <w:r w:rsidRPr="00F67DF4">
        <w:rPr>
          <w:rFonts w:ascii="Times New Roman" w:hAnsi="Times New Roman" w:cs="Times New Roman"/>
          <w:sz w:val="22"/>
          <w:szCs w:val="22"/>
        </w:rPr>
        <w:t>McGraw-Hill. Recuperado de https://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Chemistry13thEditionChang</w:t>
      </w:r>
      <w:proofErr w:type="spellEnd"/>
    </w:p>
    <w:p w14:paraId="2BC1E052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  <w:lang w:val="en-US"/>
        </w:rPr>
        <w:t xml:space="preserve">Petrucci, R. H., Herring, F. G., Madura, J. D., &amp; Bissonnette, C. (2017). General Chemistry: Principles and Modern Applications (11th ed.). Pearson Education. </w:t>
      </w:r>
      <w:r w:rsidRPr="00F67DF4">
        <w:rPr>
          <w:rFonts w:ascii="Times New Roman" w:hAnsi="Times New Roman" w:cs="Times New Roman"/>
          <w:sz w:val="22"/>
          <w:szCs w:val="22"/>
        </w:rPr>
        <w:t>Recuperado de https://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GeneralChemistryPetrucci11th</w:t>
      </w:r>
      <w:proofErr w:type="spellEnd"/>
    </w:p>
    <w:p w14:paraId="47C77EFB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  <w:lang w:val="en-US"/>
        </w:rPr>
        <w:t xml:space="preserve">Atkins, P., &amp; Jones, L. (2015). Chemical Principles: The Quest for Insight (6th ed.). 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W.H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. Freeman. Recuperado de https://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AtkinsJonesChemicalPrinciples6th</w:t>
      </w:r>
      <w:proofErr w:type="spellEnd"/>
    </w:p>
    <w:p w14:paraId="4B5F512E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  <w:lang w:val="en-US"/>
        </w:rPr>
        <w:t xml:space="preserve">Silberberg, M. (2017). Principles of General Chemistry (4th ed.). </w:t>
      </w:r>
      <w:r w:rsidRPr="00F67DF4">
        <w:rPr>
          <w:rFonts w:ascii="Times New Roman" w:hAnsi="Times New Roman" w:cs="Times New Roman"/>
          <w:sz w:val="22"/>
          <w:szCs w:val="22"/>
        </w:rPr>
        <w:t xml:space="preserve">McGraw-Hill. Recuperado de </w:t>
      </w:r>
      <w:hyperlink r:id="rId16" w:history="1"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https://archive.org/details/PrinciplesOfGeneralChemistry4thSilberberg</w:t>
        </w:r>
      </w:hyperlink>
    </w:p>
    <w:p w14:paraId="22BA1E11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</w:rPr>
        <w:t>Burns, R. (2013). Fundamentos de Química. Pearson Educación. Recuperado de </w:t>
      </w:r>
      <w:hyperlink r:id="rId17" w:history="1"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https://quimica247403824.wordpress.com/wpcontent/uploads/2018/11/fundamentos_de_la_quimica2.pdf</w:t>
        </w:r>
      </w:hyperlink>
    </w:p>
    <w:p w14:paraId="5920292C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</w:rPr>
        <w:t xml:space="preserve">Petrucci, H., Harwood, W., y 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Herring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, F. (2017). Química General. Pearson Educación. Recuperadode </w:t>
      </w:r>
      <w:hyperlink r:id="rId18" w:history="1"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https://quimica247403824.wordpress.com/wpcontent/uploads/2018/11/quimica_general_petrucci.pdf</w:t>
        </w:r>
      </w:hyperlink>
    </w:p>
    <w:p w14:paraId="2B6D3EE5" w14:textId="181BC53F" w:rsidR="00DA5CE2" w:rsidRPr="00F67DF4" w:rsidRDefault="00DA5CE2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</w:rPr>
        <w:t>Universidad Rafael Landívar, Facultad de Ingeniería, Departamento de Química. (2018). Manual de nomenclatura química inorgánica. Guatemala, Guatemala.</w:t>
      </w:r>
    </w:p>
    <w:p w14:paraId="41D86343" w14:textId="77777777" w:rsidR="00A24A6D" w:rsidRPr="00402C8F" w:rsidRDefault="00A24A6D" w:rsidP="00A24A6D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</w:pPr>
      <w:bookmarkStart w:id="28" w:name="_Toc191140497"/>
      <w:bookmarkStart w:id="29" w:name="_Toc194307725"/>
      <w:proofErr w:type="spellStart"/>
      <w:r w:rsidRPr="00402C8F"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>VI.II</w:t>
      </w:r>
      <w:proofErr w:type="spellEnd"/>
      <w:r w:rsidRPr="00402C8F"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 xml:space="preserve"> </w:t>
      </w:r>
      <w:proofErr w:type="spellStart"/>
      <w:r w:rsidRPr="00402C8F"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>REFERENCIAS</w:t>
      </w:r>
      <w:proofErr w:type="spellEnd"/>
      <w:r w:rsidRPr="00402C8F"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 xml:space="preserve"> </w:t>
      </w:r>
      <w:proofErr w:type="spellStart"/>
      <w:r w:rsidRPr="00402C8F"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>ELECTRÓNICAS</w:t>
      </w:r>
      <w:bookmarkEnd w:id="28"/>
      <w:bookmarkEnd w:id="29"/>
      <w:proofErr w:type="spellEnd"/>
      <w:r w:rsidRPr="00402C8F"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 xml:space="preserve"> </w:t>
      </w:r>
    </w:p>
    <w:p w14:paraId="3191CD6C" w14:textId="77777777" w:rsidR="00F67DF4" w:rsidRPr="00F67DF4" w:rsidRDefault="00F67DF4" w:rsidP="00F67DF4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67DF4">
        <w:rPr>
          <w:rFonts w:ascii="Times New Roman" w:hAnsi="Times New Roman" w:cs="Times New Roman"/>
          <w:sz w:val="22"/>
          <w:szCs w:val="22"/>
        </w:rPr>
        <w:t>Malouf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 xml:space="preserve">, K. y 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Beltethón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 xml:space="preserve">, J. (2012). Ejercicios de nomenclatura inorgánica con hidróxidos y 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oxisales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>. Recuperado de </w:t>
      </w:r>
      <w:hyperlink r:id="rId19" w:tgtFrame="_blank" w:history="1"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</w:t>
        </w:r>
        <w:proofErr w:type="spellStart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www.pearsonlibros.com</w:t>
        </w:r>
        <w:proofErr w:type="spellEnd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/ejercicios-nomenclatura</w:t>
        </w:r>
      </w:hyperlink>
    </w:p>
    <w:p w14:paraId="418268BF" w14:textId="77777777" w:rsidR="00F67DF4" w:rsidRPr="00F67DF4" w:rsidRDefault="00F67DF4" w:rsidP="00F67DF4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</w:rPr>
        <w:t>Instituto de Química de la UNAM. (2022). Guía interactiva: Funciones químicas inorgánicas (óxidos, hidruros, ácidos). Recuperado de </w:t>
      </w:r>
      <w:hyperlink r:id="rId20" w:tgtFrame="_blank" w:history="1"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</w:t>
        </w:r>
        <w:proofErr w:type="spellStart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iquimica.unam.mx</w:t>
        </w:r>
        <w:proofErr w:type="spellEnd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/funciones-</w:t>
        </w:r>
        <w:proofErr w:type="spellStart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quimicas</w:t>
        </w:r>
        <w:proofErr w:type="spellEnd"/>
      </w:hyperlink>
    </w:p>
    <w:p w14:paraId="450DBD36" w14:textId="4F7791DD" w:rsidR="00A24A6D" w:rsidRPr="00F67DF4" w:rsidRDefault="00F67DF4" w:rsidP="00F67DF4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  <w:lang w:val="en-US"/>
        </w:rPr>
        <w:t>Royal Society of Chemistry (RSC). </w:t>
      </w:r>
      <w:r w:rsidRPr="00F67DF4">
        <w:rPr>
          <w:rFonts w:ascii="Times New Roman" w:hAnsi="Times New Roman" w:cs="Times New Roman"/>
          <w:sz w:val="22"/>
          <w:szCs w:val="22"/>
        </w:rPr>
        <w:t xml:space="preserve">(2021). Reglas </w:t>
      </w:r>
      <w:proofErr w:type="spellStart"/>
      <w:r w:rsidRPr="00F67DF4">
        <w:rPr>
          <w:rFonts w:ascii="Times New Roman" w:hAnsi="Times New Roman" w:cs="Times New Roman"/>
          <w:sz w:val="22"/>
          <w:szCs w:val="22"/>
        </w:rPr>
        <w:t>IUPAC</w:t>
      </w:r>
      <w:proofErr w:type="spellEnd"/>
      <w:r w:rsidRPr="00F67DF4">
        <w:rPr>
          <w:rFonts w:ascii="Times New Roman" w:hAnsi="Times New Roman" w:cs="Times New Roman"/>
          <w:sz w:val="22"/>
          <w:szCs w:val="22"/>
        </w:rPr>
        <w:t xml:space="preserve"> para nomenclatura de compuestos inorgánicos. Recuperado de </w:t>
      </w:r>
      <w:hyperlink r:id="rId21" w:tgtFrame="_blank" w:history="1"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</w:t>
        </w:r>
        <w:proofErr w:type="spellStart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www.rsc.org</w:t>
        </w:r>
        <w:proofErr w:type="spellEnd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/</w:t>
        </w:r>
        <w:proofErr w:type="spellStart"/>
        <w:r w:rsidRPr="00F67DF4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iupac-nomenclature</w:t>
        </w:r>
        <w:proofErr w:type="spellEnd"/>
      </w:hyperlink>
    </w:p>
    <w:p w14:paraId="3B20ACD0" w14:textId="77777777" w:rsidR="00A24A6D" w:rsidRPr="00F67DF4" w:rsidRDefault="00A24A6D" w:rsidP="00F67DF4">
      <w:pPr>
        <w:pStyle w:val="Prrafodelista"/>
        <w:numPr>
          <w:ilvl w:val="0"/>
          <w:numId w:val="5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67DF4">
        <w:rPr>
          <w:rFonts w:ascii="Times New Roman" w:hAnsi="Times New Roman" w:cs="Times New Roman"/>
          <w:sz w:val="22"/>
          <w:szCs w:val="22"/>
        </w:rPr>
        <w:t>Granja, L. (2025). </w:t>
      </w:r>
      <w:r w:rsidRPr="00F67DF4">
        <w:rPr>
          <w:rFonts w:ascii="Times New Roman" w:hAnsi="Times New Roman" w:cs="Times New Roman"/>
          <w:i/>
          <w:iCs/>
          <w:sz w:val="22"/>
          <w:szCs w:val="22"/>
        </w:rPr>
        <w:t>Manual de laboratorio de química básica</w:t>
      </w:r>
      <w:r w:rsidRPr="00F67DF4">
        <w:rPr>
          <w:rFonts w:ascii="Times New Roman" w:hAnsi="Times New Roman" w:cs="Times New Roman"/>
          <w:sz w:val="22"/>
          <w:szCs w:val="22"/>
        </w:rPr>
        <w:t>. Facultad de Ingeniería, Departamento de Ingeniería Química, Área de Química. Primer Semestre 2025. Aprobado por Francisco Martínez.</w:t>
      </w:r>
    </w:p>
    <w:sectPr w:rsidR="00A24A6D" w:rsidRPr="00F67DF4" w:rsidSect="00A24A6D">
      <w:headerReference w:type="default" r:id="rId22"/>
      <w:footerReference w:type="default" r:id="rId23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99790" w14:textId="77777777" w:rsidR="004D69E1" w:rsidRDefault="004D69E1">
      <w:pPr>
        <w:spacing w:after="0" w:line="240" w:lineRule="auto"/>
      </w:pPr>
      <w:r>
        <w:separator/>
      </w:r>
    </w:p>
  </w:endnote>
  <w:endnote w:type="continuationSeparator" w:id="0">
    <w:p w14:paraId="60060855" w14:textId="77777777" w:rsidR="004D69E1" w:rsidRDefault="004D6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48D2" w14:textId="77777777" w:rsidR="000421CB" w:rsidRDefault="000421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4753" w14:textId="77777777" w:rsidR="000421CB" w:rsidRDefault="000421CB">
    <w:pPr>
      <w:pStyle w:val="Piedepgina"/>
      <w:jc w:val="center"/>
    </w:pPr>
  </w:p>
  <w:p w14:paraId="65C8F7EB" w14:textId="77777777" w:rsidR="000421CB" w:rsidRDefault="000421CB" w:rsidP="00200B41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38E6" w14:textId="77777777" w:rsidR="000421CB" w:rsidRDefault="000421C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FE9C" w14:textId="77777777" w:rsidR="000421CB" w:rsidRDefault="000421CB">
    <w:pPr>
      <w:pStyle w:val="Piedepgina"/>
      <w:jc w:val="center"/>
    </w:pPr>
  </w:p>
  <w:p w14:paraId="200C7C3E" w14:textId="77777777" w:rsidR="000421CB" w:rsidRDefault="000421CB" w:rsidP="00200B41">
    <w:pPr>
      <w:pStyle w:val="Piedepgin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891387"/>
      <w:docPartObj>
        <w:docPartGallery w:val="Page Numbers (Bottom of Page)"/>
        <w:docPartUnique/>
      </w:docPartObj>
    </w:sdtPr>
    <w:sdtContent>
      <w:p w14:paraId="724DFA9D" w14:textId="77777777" w:rsidR="000421CB" w:rsidRDefault="0000000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4943C9E" w14:textId="77777777" w:rsidR="000421CB" w:rsidRDefault="000421CB" w:rsidP="00200B4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61316" w14:textId="77777777" w:rsidR="004D69E1" w:rsidRDefault="004D69E1">
      <w:pPr>
        <w:spacing w:after="0" w:line="240" w:lineRule="auto"/>
      </w:pPr>
      <w:r>
        <w:separator/>
      </w:r>
    </w:p>
  </w:footnote>
  <w:footnote w:type="continuationSeparator" w:id="0">
    <w:p w14:paraId="4F11753E" w14:textId="77777777" w:rsidR="004D69E1" w:rsidRDefault="004D6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E4E1" w14:textId="77777777" w:rsidR="000421CB" w:rsidRDefault="00000000">
    <w:pPr>
      <w:pStyle w:val="Encabezado"/>
    </w:pPr>
    <w:r>
      <w:rPr>
        <w:noProof/>
      </w:rPr>
      <w:pict w14:anchorId="64BC4A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2" o:spid="_x0000_s1025" type="#_x0000_t75" style="position:absolute;margin-left:0;margin-top:0;width:276.75pt;height:337.5pt;z-index:-251659776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629E" w14:textId="77777777" w:rsidR="000421CB" w:rsidRDefault="00000000">
    <w:pPr>
      <w:pStyle w:val="Encabezado"/>
    </w:pPr>
    <w:r>
      <w:rPr>
        <w:noProof/>
      </w:rPr>
      <w:pict w14:anchorId="267EC3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3" o:spid="_x0000_s1026" type="#_x0000_t75" style="position:absolute;margin-left:0;margin-top:0;width:276.75pt;height:337.5pt;z-index:-251658752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10BA" w14:textId="77777777" w:rsidR="000421CB" w:rsidRDefault="00000000">
    <w:pPr>
      <w:pStyle w:val="Encabezado"/>
    </w:pPr>
    <w:r>
      <w:rPr>
        <w:noProof/>
      </w:rPr>
      <w:pict w14:anchorId="682C9E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1" o:spid="_x0000_s1027" type="#_x0000_t75" style="position:absolute;margin-left:0;margin-top:0;width:276.75pt;height:337.5pt;z-index:-251657728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391F" w14:textId="77777777" w:rsidR="000421CB" w:rsidRDefault="000421CB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596F7" w14:textId="77777777" w:rsidR="000421CB" w:rsidRDefault="000421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3DA8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0060B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4D3C"/>
    <w:multiLevelType w:val="multilevel"/>
    <w:tmpl w:val="83B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6EAD"/>
    <w:multiLevelType w:val="hybridMultilevel"/>
    <w:tmpl w:val="43CC6750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31664FC"/>
    <w:multiLevelType w:val="hybridMultilevel"/>
    <w:tmpl w:val="B480236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AE775A"/>
    <w:multiLevelType w:val="hybridMultilevel"/>
    <w:tmpl w:val="FCD2C14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539F6"/>
    <w:multiLevelType w:val="hybridMultilevel"/>
    <w:tmpl w:val="8E142AB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2F7D88"/>
    <w:multiLevelType w:val="hybridMultilevel"/>
    <w:tmpl w:val="4B72E80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10339A"/>
    <w:multiLevelType w:val="hybridMultilevel"/>
    <w:tmpl w:val="9CFE2C8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5977CB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E488E"/>
    <w:multiLevelType w:val="multilevel"/>
    <w:tmpl w:val="82FA5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0110F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32AAD"/>
    <w:multiLevelType w:val="hybridMultilevel"/>
    <w:tmpl w:val="EE1650F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B225A3"/>
    <w:multiLevelType w:val="hybridMultilevel"/>
    <w:tmpl w:val="09BA836E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56340F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A2CF1"/>
    <w:multiLevelType w:val="hybridMultilevel"/>
    <w:tmpl w:val="50821E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C6F3B"/>
    <w:multiLevelType w:val="hybridMultilevel"/>
    <w:tmpl w:val="D9A8A9B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D507A5"/>
    <w:multiLevelType w:val="hybridMultilevel"/>
    <w:tmpl w:val="D63C34AA"/>
    <w:lvl w:ilvl="0" w:tplc="AD5E696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75384"/>
    <w:multiLevelType w:val="hybridMultilevel"/>
    <w:tmpl w:val="669CF0E6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28974A3"/>
    <w:multiLevelType w:val="hybridMultilevel"/>
    <w:tmpl w:val="D0A6206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C55E66"/>
    <w:multiLevelType w:val="multilevel"/>
    <w:tmpl w:val="87F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52DA5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2526C"/>
    <w:multiLevelType w:val="hybridMultilevel"/>
    <w:tmpl w:val="8CBA5B2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6A5E4D"/>
    <w:multiLevelType w:val="multilevel"/>
    <w:tmpl w:val="E36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E4385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176E9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766FF"/>
    <w:multiLevelType w:val="hybridMultilevel"/>
    <w:tmpl w:val="8B78FC28"/>
    <w:lvl w:ilvl="0" w:tplc="9E42F69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EA0720"/>
    <w:multiLevelType w:val="hybridMultilevel"/>
    <w:tmpl w:val="155CC9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2B1CE5"/>
    <w:multiLevelType w:val="hybridMultilevel"/>
    <w:tmpl w:val="622C9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9275AD"/>
    <w:multiLevelType w:val="hybridMultilevel"/>
    <w:tmpl w:val="7304E10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4750D1F"/>
    <w:multiLevelType w:val="multilevel"/>
    <w:tmpl w:val="1186A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5631FC"/>
    <w:multiLevelType w:val="hybridMultilevel"/>
    <w:tmpl w:val="7A0EEC3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752781"/>
    <w:multiLevelType w:val="hybridMultilevel"/>
    <w:tmpl w:val="82E63ED6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C425720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7102F"/>
    <w:multiLevelType w:val="hybridMultilevel"/>
    <w:tmpl w:val="19509AF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6C1D4C"/>
    <w:multiLevelType w:val="hybridMultilevel"/>
    <w:tmpl w:val="288846F2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2BE0D95"/>
    <w:multiLevelType w:val="hybridMultilevel"/>
    <w:tmpl w:val="80BAFCD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2CD46E8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97B28"/>
    <w:multiLevelType w:val="hybridMultilevel"/>
    <w:tmpl w:val="BCB867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7E1401"/>
    <w:multiLevelType w:val="hybridMultilevel"/>
    <w:tmpl w:val="21E22084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A69245A"/>
    <w:multiLevelType w:val="hybridMultilevel"/>
    <w:tmpl w:val="B7BC39B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CE34994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BF7546"/>
    <w:multiLevelType w:val="multilevel"/>
    <w:tmpl w:val="87F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826F2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4044AF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06EF0"/>
    <w:multiLevelType w:val="multilevel"/>
    <w:tmpl w:val="E0641E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3754E5"/>
    <w:multiLevelType w:val="hybridMultilevel"/>
    <w:tmpl w:val="EF644DE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8AD1365"/>
    <w:multiLevelType w:val="hybridMultilevel"/>
    <w:tmpl w:val="77B86B7C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96F2539"/>
    <w:multiLevelType w:val="hybridMultilevel"/>
    <w:tmpl w:val="7F74F9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7442C3"/>
    <w:multiLevelType w:val="hybridMultilevel"/>
    <w:tmpl w:val="FDDA5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9D790A"/>
    <w:multiLevelType w:val="multilevel"/>
    <w:tmpl w:val="A55A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F04964"/>
    <w:multiLevelType w:val="hybridMultilevel"/>
    <w:tmpl w:val="8612DC2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EB6F78"/>
    <w:multiLevelType w:val="multilevel"/>
    <w:tmpl w:val="35A45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514986"/>
    <w:multiLevelType w:val="hybridMultilevel"/>
    <w:tmpl w:val="BDF4E44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5304448">
    <w:abstractNumId w:val="26"/>
  </w:num>
  <w:num w:numId="2" w16cid:durableId="239632273">
    <w:abstractNumId w:val="50"/>
  </w:num>
  <w:num w:numId="3" w16cid:durableId="1821119462">
    <w:abstractNumId w:val="12"/>
  </w:num>
  <w:num w:numId="4" w16cid:durableId="315300642">
    <w:abstractNumId w:val="6"/>
  </w:num>
  <w:num w:numId="5" w16cid:durableId="1681423215">
    <w:abstractNumId w:val="8"/>
  </w:num>
  <w:num w:numId="6" w16cid:durableId="1317953636">
    <w:abstractNumId w:val="5"/>
  </w:num>
  <w:num w:numId="7" w16cid:durableId="349338480">
    <w:abstractNumId w:val="22"/>
  </w:num>
  <w:num w:numId="8" w16cid:durableId="1119491892">
    <w:abstractNumId w:val="46"/>
  </w:num>
  <w:num w:numId="9" w16cid:durableId="1605266129">
    <w:abstractNumId w:val="7"/>
  </w:num>
  <w:num w:numId="10" w16cid:durableId="1340621913">
    <w:abstractNumId w:val="40"/>
  </w:num>
  <w:num w:numId="11" w16cid:durableId="1643655517">
    <w:abstractNumId w:val="53"/>
  </w:num>
  <w:num w:numId="12" w16cid:durableId="824712101">
    <w:abstractNumId w:val="19"/>
  </w:num>
  <w:num w:numId="13" w16cid:durableId="1105347365">
    <w:abstractNumId w:val="16"/>
  </w:num>
  <w:num w:numId="14" w16cid:durableId="1632440878">
    <w:abstractNumId w:val="15"/>
  </w:num>
  <w:num w:numId="15" w16cid:durableId="1117990228">
    <w:abstractNumId w:val="27"/>
  </w:num>
  <w:num w:numId="16" w16cid:durableId="278101038">
    <w:abstractNumId w:val="17"/>
  </w:num>
  <w:num w:numId="17" w16cid:durableId="739985213">
    <w:abstractNumId w:val="13"/>
  </w:num>
  <w:num w:numId="18" w16cid:durableId="2006543290">
    <w:abstractNumId w:val="10"/>
  </w:num>
  <w:num w:numId="19" w16cid:durableId="672033453">
    <w:abstractNumId w:val="52"/>
  </w:num>
  <w:num w:numId="20" w16cid:durableId="2068725957">
    <w:abstractNumId w:val="20"/>
  </w:num>
  <w:num w:numId="21" w16cid:durableId="529999431">
    <w:abstractNumId w:val="9"/>
  </w:num>
  <w:num w:numId="22" w16cid:durableId="1490367320">
    <w:abstractNumId w:val="23"/>
  </w:num>
  <w:num w:numId="23" w16cid:durableId="343212438">
    <w:abstractNumId w:val="45"/>
  </w:num>
  <w:num w:numId="24" w16cid:durableId="684601203">
    <w:abstractNumId w:val="2"/>
  </w:num>
  <w:num w:numId="25" w16cid:durableId="1850093807">
    <w:abstractNumId w:val="51"/>
  </w:num>
  <w:num w:numId="26" w16cid:durableId="1092821975">
    <w:abstractNumId w:val="28"/>
  </w:num>
  <w:num w:numId="27" w16cid:durableId="110130833">
    <w:abstractNumId w:val="38"/>
  </w:num>
  <w:num w:numId="28" w16cid:durableId="314838658">
    <w:abstractNumId w:val="32"/>
  </w:num>
  <w:num w:numId="29" w16cid:durableId="1295215801">
    <w:abstractNumId w:val="35"/>
  </w:num>
  <w:num w:numId="30" w16cid:durableId="374617851">
    <w:abstractNumId w:val="3"/>
  </w:num>
  <w:num w:numId="31" w16cid:durableId="596400469">
    <w:abstractNumId w:val="47"/>
  </w:num>
  <w:num w:numId="32" w16cid:durableId="209271219">
    <w:abstractNumId w:val="36"/>
  </w:num>
  <w:num w:numId="33" w16cid:durableId="1870561241">
    <w:abstractNumId w:val="49"/>
  </w:num>
  <w:num w:numId="34" w16cid:durableId="1621499002">
    <w:abstractNumId w:val="18"/>
  </w:num>
  <w:num w:numId="35" w16cid:durableId="158930653">
    <w:abstractNumId w:val="42"/>
  </w:num>
  <w:num w:numId="36" w16cid:durableId="162283906">
    <w:abstractNumId w:val="41"/>
  </w:num>
  <w:num w:numId="37" w16cid:durableId="1757088630">
    <w:abstractNumId w:val="43"/>
  </w:num>
  <w:num w:numId="38" w16cid:durableId="1784880020">
    <w:abstractNumId w:val="29"/>
  </w:num>
  <w:num w:numId="39" w16cid:durableId="2038772679">
    <w:abstractNumId w:val="1"/>
  </w:num>
  <w:num w:numId="40" w16cid:durableId="406077377">
    <w:abstractNumId w:val="11"/>
  </w:num>
  <w:num w:numId="41" w16cid:durableId="990721188">
    <w:abstractNumId w:val="44"/>
  </w:num>
  <w:num w:numId="42" w16cid:durableId="2061708508">
    <w:abstractNumId w:val="37"/>
  </w:num>
  <w:num w:numId="43" w16cid:durableId="518667421">
    <w:abstractNumId w:val="33"/>
  </w:num>
  <w:num w:numId="44" w16cid:durableId="499660581">
    <w:abstractNumId w:val="0"/>
  </w:num>
  <w:num w:numId="45" w16cid:durableId="1735925977">
    <w:abstractNumId w:val="48"/>
  </w:num>
  <w:num w:numId="46" w16cid:durableId="1303118204">
    <w:abstractNumId w:val="31"/>
  </w:num>
  <w:num w:numId="47" w16cid:durableId="1889338967">
    <w:abstractNumId w:val="14"/>
  </w:num>
  <w:num w:numId="48" w16cid:durableId="1068381831">
    <w:abstractNumId w:val="4"/>
  </w:num>
  <w:num w:numId="49" w16cid:durableId="1975407268">
    <w:abstractNumId w:val="24"/>
  </w:num>
  <w:num w:numId="50" w16cid:durableId="1774400897">
    <w:abstractNumId w:val="39"/>
  </w:num>
  <w:num w:numId="51" w16cid:durableId="406726840">
    <w:abstractNumId w:val="25"/>
  </w:num>
  <w:num w:numId="52" w16cid:durableId="1314718515">
    <w:abstractNumId w:val="21"/>
  </w:num>
  <w:num w:numId="53" w16cid:durableId="1471291623">
    <w:abstractNumId w:val="30"/>
  </w:num>
  <w:num w:numId="54" w16cid:durableId="55339129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6D"/>
    <w:rsid w:val="00011D39"/>
    <w:rsid w:val="00034ECC"/>
    <w:rsid w:val="00035B35"/>
    <w:rsid w:val="000421CB"/>
    <w:rsid w:val="001B75E1"/>
    <w:rsid w:val="00343454"/>
    <w:rsid w:val="004D69E1"/>
    <w:rsid w:val="00503653"/>
    <w:rsid w:val="00880F5E"/>
    <w:rsid w:val="009C4AD3"/>
    <w:rsid w:val="00A24A6D"/>
    <w:rsid w:val="00B0047F"/>
    <w:rsid w:val="00B56D4D"/>
    <w:rsid w:val="00B657F4"/>
    <w:rsid w:val="00C34D95"/>
    <w:rsid w:val="00DA5CE2"/>
    <w:rsid w:val="00F158B5"/>
    <w:rsid w:val="00F67DF4"/>
    <w:rsid w:val="00FE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7D6A8E"/>
  <w15:chartTrackingRefBased/>
  <w15:docId w15:val="{A57D4EB6-FA3C-4ADE-B841-99705A9C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D95"/>
    <w:pPr>
      <w:spacing w:after="200" w:line="288" w:lineRule="auto"/>
    </w:pPr>
    <w:rPr>
      <w:rFonts w:eastAsiaTheme="minorEastAsia"/>
      <w:kern w:val="0"/>
      <w:sz w:val="21"/>
      <w:szCs w:val="21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A2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4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A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A24A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4A6D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A6D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A6D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A6D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A6D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A6D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A6D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A2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A6D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A6D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A2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A6D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A24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A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A6D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A24A6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24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A6D"/>
    <w:rPr>
      <w:rFonts w:eastAsiaTheme="minorEastAsia"/>
      <w:kern w:val="0"/>
      <w:sz w:val="21"/>
      <w:szCs w:val="21"/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A24A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A6D"/>
    <w:rPr>
      <w:rFonts w:eastAsiaTheme="minorEastAsia"/>
      <w:kern w:val="0"/>
      <w:sz w:val="21"/>
      <w:szCs w:val="21"/>
      <w:lang w:val="es-GT"/>
    </w:rPr>
  </w:style>
  <w:style w:type="paragraph" w:styleId="TtuloTDC">
    <w:name w:val="TOC Heading"/>
    <w:basedOn w:val="Ttulo1"/>
    <w:next w:val="Normal"/>
    <w:uiPriority w:val="39"/>
    <w:unhideWhenUsed/>
    <w:qFormat/>
    <w:rsid w:val="00A24A6D"/>
    <w:pPr>
      <w:spacing w:before="240" w:after="0"/>
      <w:outlineLvl w:val="9"/>
    </w:pPr>
    <w:rPr>
      <w:sz w:val="32"/>
      <w:szCs w:val="32"/>
      <w:lang w:eastAsia="es-GT"/>
    </w:rPr>
  </w:style>
  <w:style w:type="paragraph" w:styleId="TDC2">
    <w:name w:val="toc 2"/>
    <w:basedOn w:val="Normal"/>
    <w:next w:val="Normal"/>
    <w:autoRedefine/>
    <w:uiPriority w:val="39"/>
    <w:unhideWhenUsed/>
    <w:rsid w:val="00A24A6D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24A6D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A24A6D"/>
    <w:pPr>
      <w:spacing w:after="100"/>
    </w:pPr>
  </w:style>
  <w:style w:type="paragraph" w:styleId="NormalWeb">
    <w:name w:val="Normal (Web)"/>
    <w:basedOn w:val="Normal"/>
    <w:uiPriority w:val="99"/>
    <w:unhideWhenUsed/>
    <w:rsid w:val="00F67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F67DF4"/>
    <w:rPr>
      <w:b/>
      <w:bCs/>
    </w:rPr>
  </w:style>
  <w:style w:type="character" w:styleId="nfasis">
    <w:name w:val="Emphasis"/>
    <w:basedOn w:val="Fuentedeprrafopredeter"/>
    <w:uiPriority w:val="20"/>
    <w:qFormat/>
    <w:rsid w:val="00F67D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yperlink" Target="https://quimica247403824.wordpress.com/wpcontent/uploads/2018/11/quimica_general_petrucci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sc.org/iupac-nomenclature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quimica247403824.wordpress.com/wpcontent/uploads/2018/11/fundamentos_de_la_quimica2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chive.org/details/PrinciplesOfGeneralChemistry4thSilberberg" TargetMode="External"/><Relationship Id="rId20" Type="http://schemas.openxmlformats.org/officeDocument/2006/relationships/hyperlink" Target="https://iquimica.unam.mx/funciones-quimica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udocz.com/apuntes/903615/brown-quimica-la-ciencia-central-12va-edicion" TargetMode="External"/><Relationship Id="rId23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hyperlink" Target="https://www.pearsonlibros.com/ejercicios-nomenclatura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1939</Words>
  <Characters>10667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Ruiz Coto</dc:creator>
  <cp:keywords/>
  <dc:description/>
  <cp:lastModifiedBy>Julio Ruiz Coto</cp:lastModifiedBy>
  <cp:revision>4</cp:revision>
  <dcterms:created xsi:type="dcterms:W3CDTF">2025-03-27T23:56:00Z</dcterms:created>
  <dcterms:modified xsi:type="dcterms:W3CDTF">2025-03-31T16:02:00Z</dcterms:modified>
</cp:coreProperties>
</file>