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21E3" w14:textId="77777777" w:rsidR="00B83FF0" w:rsidRPr="005E26C9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Universidad Rafael Landívar</w:t>
      </w:r>
    </w:p>
    <w:p w14:paraId="4BCDC473" w14:textId="77777777" w:rsidR="00B83FF0" w:rsidRPr="005E26C9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Facultad de Ingeniería</w:t>
      </w:r>
    </w:p>
    <w:p w14:paraId="2FF65874" w14:textId="77777777" w:rsidR="00B83FF0" w:rsidRPr="005E26C9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Ingeniería en Sistemas</w:t>
      </w:r>
    </w:p>
    <w:p w14:paraId="18AC2A77" w14:textId="77777777" w:rsidR="00B83FF0" w:rsidRPr="005E26C9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Laboratorio de Química Básica, sección 7</w:t>
      </w:r>
    </w:p>
    <w:p w14:paraId="1FE5E648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Catedrático: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Lisbeth </w:t>
      </w: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Gabriela Zelada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Martinez</w:t>
      </w:r>
      <w:proofErr w:type="spellEnd"/>
    </w:p>
    <w:p w14:paraId="51C023D5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Auxiliar: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Carlos</w:t>
      </w:r>
    </w:p>
    <w:p w14:paraId="532B8DC0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8E9E3C1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FD33742" w14:textId="77777777" w:rsidR="00B83FF0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4FBB823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7D41CC2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F603D08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A122DCD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673FFC5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B27EA6E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5594AD6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D98DB85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C2A46BF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E901A87" w14:textId="77777777" w:rsidR="00B83FF0" w:rsidRPr="00B931F3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INVESTIGACIÓN PREVIA PARA LA ACTIVIDAD 1 – IDENTIFICACIÓN Y EQUIPOS DEL LABORATORIO DE QUÍMICA </w:t>
      </w:r>
    </w:p>
    <w:p w14:paraId="1AC792FA" w14:textId="77777777" w:rsidR="00B83FF0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55E509E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E47A865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E141337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3320DBB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2459639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2A0F9FF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4A39E0E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3F340A6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603F7AD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1415362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2289E89" w14:textId="77777777" w:rsidR="00B83FF0" w:rsidRDefault="00B83FF0" w:rsidP="00B83FF0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Julio Anthony Engels Ruiz Coto - 1284719</w:t>
      </w:r>
    </w:p>
    <w:p w14:paraId="5B56AFA1" w14:textId="77777777" w:rsidR="00B83FF0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79CA6BB" w14:textId="77777777" w:rsidR="00B83FF0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FB51559" w14:textId="77777777" w:rsidR="00B83FF0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100C0C4" w14:textId="77777777" w:rsidR="00B83FF0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  <w:sectPr w:rsidR="00B83FF0" w:rsidSect="00B83FF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Guatemala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04 de febrero</w:t>
      </w: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2025</w:t>
      </w:r>
    </w:p>
    <w:p w14:paraId="34EFD2FB" w14:textId="77777777" w:rsidR="00B83FF0" w:rsidRDefault="00B83FF0" w:rsidP="00B83F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sdt>
      <w:sdtPr>
        <w:rPr>
          <w:rFonts w:ascii="Times New Roman" w:eastAsia="Times New Roman" w:hAnsi="Times New Roman" w:cs="Times New Roman"/>
          <w:color w:val="auto"/>
          <w:sz w:val="21"/>
          <w:szCs w:val="21"/>
          <w:lang w:val="es-ES" w:eastAsia="en-US"/>
        </w:rPr>
        <w:id w:val="-158120623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</w:rPr>
      </w:sdtEndPr>
      <w:sdtContent>
        <w:p w14:paraId="6F7DAE5D" w14:textId="77777777" w:rsidR="00B83FF0" w:rsidRPr="00BC5C79" w:rsidRDefault="00B83FF0" w:rsidP="00B83FF0">
          <w:pPr>
            <w:pStyle w:val="TtuloTDC"/>
            <w:jc w:val="center"/>
            <w:rPr>
              <w:rFonts w:ascii="Times New Roman" w:eastAsia="Times New Roman" w:hAnsi="Times New Roman" w:cs="Times New Roman"/>
              <w:b/>
              <w:bCs/>
              <w:color w:val="F6F6F6"/>
              <w:sz w:val="36"/>
              <w:szCs w:val="36"/>
              <w:u w:val="single"/>
            </w:rPr>
          </w:pPr>
          <w:r w:rsidRPr="00BC5C7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  <w:u w:val="single"/>
              <w:lang w:val="es-ES"/>
            </w:rPr>
            <w:t>ÍNDICE</w:t>
          </w:r>
        </w:p>
        <w:p w14:paraId="3ECD20DA" w14:textId="51F88802" w:rsidR="00B83FF0" w:rsidRDefault="00B83FF0">
          <w:pPr>
            <w:pStyle w:val="TDC1"/>
            <w:tabs>
              <w:tab w:val="left" w:pos="4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r w:rsidRPr="6F3DD70F">
            <w:fldChar w:fldCharType="begin"/>
          </w:r>
          <w:r>
            <w:instrText xml:space="preserve"> TOC \o "1-3" \h \z \u </w:instrText>
          </w:r>
          <w:r w:rsidRPr="6F3DD70F">
            <w:fldChar w:fldCharType="separate"/>
          </w:r>
          <w:hyperlink w:anchor="_Toc189403105" w:history="1"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10E1" w14:textId="1053567B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06" w:history="1">
            <w:r w:rsidRPr="00367AD4">
              <w:rPr>
                <w:rStyle w:val="Hipervnculo"/>
                <w:rFonts w:ascii="Times New Roman" w:eastAsia="Times New Roman" w:hAnsi="Times New Roman" w:cs="Times New Roman"/>
                <w:noProof/>
              </w:rPr>
              <w:t>I.I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5EBB" w14:textId="767C6CC6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07" w:history="1">
            <w:r w:rsidRPr="00367AD4">
              <w:rPr>
                <w:rStyle w:val="Hipervnculo"/>
                <w:rFonts w:ascii="Times New Roman" w:eastAsia="Times New Roman" w:hAnsi="Times New Roman" w:cs="Times New Roman"/>
                <w:noProof/>
              </w:rPr>
              <w:t>I.II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5015A" w14:textId="303EA1E8" w:rsidR="00B83FF0" w:rsidRDefault="00B83FF0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08" w:history="1"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B63B" w14:textId="0A5FE0AB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09" w:history="1"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II.I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DBC9" w14:textId="521A6A2F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10" w:history="1"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II.II REACCIONES QUÍMICAS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8C82" w14:textId="4C43E969" w:rsidR="00B83FF0" w:rsidRDefault="00B83FF0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11" w:history="1"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III.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ECUACIONES Y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0C94" w14:textId="1555FDA6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12" w:history="1">
            <w:r w:rsidRPr="00367AD4">
              <w:rPr>
                <w:rStyle w:val="Hipervnculo"/>
                <w:rFonts w:ascii="Times New Roman" w:eastAsia="Times New Roman" w:hAnsi="Times New Roman" w:cs="Times New Roman"/>
                <w:noProof/>
              </w:rPr>
              <w:t>III.I INCERTIDUMBRE ABSOLUTA: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49D4" w14:textId="1651B165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13" w:history="1">
            <w:r w:rsidRPr="00367AD4">
              <w:rPr>
                <w:rStyle w:val="Hipervnculo"/>
                <w:rFonts w:ascii="Times New Roman" w:eastAsia="Times New Roman" w:hAnsi="Times New Roman" w:cs="Times New Roman"/>
                <w:noProof/>
              </w:rPr>
              <w:t>III.II CALCULO DE VOLUMEN EN PIPETAS: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7467A" w14:textId="36C25D03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14" w:history="1">
            <w:r w:rsidRPr="00367AD4">
              <w:rPr>
                <w:rStyle w:val="Hipervnculo"/>
                <w:rFonts w:ascii="Times New Roman" w:eastAsia="Times New Roman" w:hAnsi="Times New Roman" w:cs="Times New Roman"/>
                <w:noProof/>
              </w:rPr>
              <w:t>III.III PRECISIÓN DE BALANZA: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5E7B" w14:textId="04B90D73" w:rsidR="00B83FF0" w:rsidRDefault="00B83FF0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15" w:history="1"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IV.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07C4F" w14:textId="5D118576" w:rsidR="00B83FF0" w:rsidRDefault="00B83FF0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89403116" w:history="1">
            <w:r w:rsidRPr="00367AD4">
              <w:rPr>
                <w:rStyle w:val="Hipervnculo"/>
                <w:rFonts w:ascii="Times New Roman" w:hAnsi="Times New Roman" w:cs="Times New Roman"/>
                <w:noProof/>
              </w:rPr>
              <w:t>VI.I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7247" w14:textId="325DD005" w:rsidR="00B83FF0" w:rsidRDefault="00B83FF0" w:rsidP="00B83FF0">
          <w:pPr>
            <w:rPr>
              <w:rFonts w:ascii="Times New Roman" w:eastAsia="Times New Roman" w:hAnsi="Times New Roman" w:cs="Times New Roman"/>
              <w:b/>
              <w:bCs/>
              <w:noProof/>
              <w:lang w:val="es-ES"/>
            </w:rPr>
          </w:pPr>
          <w:r w:rsidRPr="6F3DD70F">
            <w:rPr>
              <w:b/>
              <w:bCs/>
              <w:lang w:val="es-ES"/>
            </w:rPr>
            <w:fldChar w:fldCharType="end"/>
          </w:r>
        </w:p>
      </w:sdtContent>
    </w:sdt>
    <w:p w14:paraId="0D20EDB4" w14:textId="77777777" w:rsidR="00B83FF0" w:rsidRDefault="00B83FF0" w:rsidP="00B83FF0">
      <w:pPr>
        <w:spacing w:after="160" w:line="259" w:lineRule="auto"/>
        <w:rPr>
          <w:rFonts w:ascii="Times New Roman" w:hAnsi="Times New Roman" w:cs="Times New Roman"/>
          <w:sz w:val="36"/>
          <w:szCs w:val="36"/>
          <w:u w:val="single"/>
        </w:rPr>
        <w:sectPr w:rsidR="00B83FF0" w:rsidSect="00B83FF0">
          <w:headerReference w:type="default" r:id="rId13"/>
          <w:footerReference w:type="default" r:id="rId14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6F3DD70F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0" w:name="_Toc111908913"/>
    </w:p>
    <w:p w14:paraId="227AF81B" w14:textId="77777777" w:rsidR="00B83FF0" w:rsidRPr="003D6752" w:rsidRDefault="00B83FF0" w:rsidP="00B83FF0">
      <w:pPr>
        <w:pStyle w:val="Ttulo1"/>
        <w:numPr>
          <w:ilvl w:val="0"/>
          <w:numId w:val="5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" w:name="_Toc188984045"/>
      <w:bookmarkStart w:id="2" w:name="_Toc189403105"/>
      <w:bookmarkEnd w:id="0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OBJETIVOS</w:t>
      </w:r>
      <w:bookmarkEnd w:id="1"/>
      <w:bookmarkEnd w:id="2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</w:t>
      </w:r>
    </w:p>
    <w:p w14:paraId="628CD615" w14:textId="77777777" w:rsidR="00B83FF0" w:rsidRPr="000603D1" w:rsidRDefault="00B83FF0" w:rsidP="00B83FF0">
      <w:pPr>
        <w:rPr>
          <w:rFonts w:ascii="Times New Roman" w:eastAsia="Times New Roman" w:hAnsi="Times New Roman" w:cs="Times New Roman"/>
        </w:rPr>
      </w:pPr>
    </w:p>
    <w:p w14:paraId="4FFDDF43" w14:textId="77777777" w:rsidR="00B83FF0" w:rsidRDefault="00B83FF0" w:rsidP="00B83FF0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188984046"/>
      <w:bookmarkStart w:id="4" w:name="_Toc189403106"/>
      <w:proofErr w:type="spellStart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>I.I</w:t>
      </w:r>
      <w:proofErr w:type="spellEnd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GENERAL</w:t>
      </w:r>
      <w:bookmarkEnd w:id="3"/>
      <w:bookmarkEnd w:id="4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596ADBF0" w14:textId="77777777" w:rsidR="00B83FF0" w:rsidRPr="005028AC" w:rsidRDefault="00B83FF0" w:rsidP="00B83FF0"/>
    <w:p w14:paraId="738474C7" w14:textId="77777777" w:rsidR="00B83FF0" w:rsidRDefault="00B83FF0" w:rsidP="00B83FF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28AC">
        <w:rPr>
          <w:rFonts w:ascii="Times New Roman" w:eastAsia="Times New Roman" w:hAnsi="Times New Roman" w:cs="Times New Roman"/>
          <w:sz w:val="24"/>
          <w:szCs w:val="24"/>
        </w:rPr>
        <w:t>Identificar y analizar la función, precisión y manejo adecuado de los instrumentos y equipos básicos del laboratorio de química para garantizar su correcta aplicación en prácticas experimentales.</w:t>
      </w:r>
    </w:p>
    <w:p w14:paraId="3B80FA64" w14:textId="77777777" w:rsidR="00B83FF0" w:rsidRPr="005028AC" w:rsidRDefault="00B83FF0" w:rsidP="00B83FF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12B128" w14:textId="77777777" w:rsidR="00B83FF0" w:rsidRPr="00262B5F" w:rsidRDefault="00B83FF0" w:rsidP="00B83FF0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5" w:name="_Toc188984047"/>
      <w:bookmarkStart w:id="6" w:name="_Toc189403107"/>
      <w:proofErr w:type="spellStart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>I.II</w:t>
      </w:r>
      <w:proofErr w:type="spellEnd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ESPECÍFICOS</w:t>
      </w:r>
      <w:bookmarkEnd w:id="5"/>
      <w:bookmarkEnd w:id="6"/>
    </w:p>
    <w:p w14:paraId="0E233BC7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78B8F883" w14:textId="77777777" w:rsidR="00B83FF0" w:rsidRPr="009B6649" w:rsidRDefault="00B83FF0" w:rsidP="00B83FF0">
      <w:pPr>
        <w:pStyle w:val="Prrafodelista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6649">
        <w:rPr>
          <w:rFonts w:ascii="Times New Roman" w:eastAsia="Times New Roman" w:hAnsi="Times New Roman" w:cs="Times New Roman"/>
          <w:sz w:val="24"/>
          <w:szCs w:val="24"/>
        </w:rPr>
        <w:t xml:space="preserve">Clasificar los instrumentos del laboratorio según su utilidad en mediciones volumétricas, térmicas o de masa, con énfasis en su precisión y errores asociados. </w:t>
      </w:r>
    </w:p>
    <w:p w14:paraId="6B22B4C5" w14:textId="77777777" w:rsidR="00B83FF0" w:rsidRPr="009B6649" w:rsidRDefault="00B83FF0" w:rsidP="00B83FF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DDB16" w14:textId="77777777" w:rsidR="00B83FF0" w:rsidRPr="009B6649" w:rsidRDefault="00B83FF0" w:rsidP="00B83FF0">
      <w:pPr>
        <w:pStyle w:val="Prrafodelista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6649">
        <w:rPr>
          <w:rFonts w:ascii="Times New Roman" w:eastAsia="Times New Roman" w:hAnsi="Times New Roman" w:cs="Times New Roman"/>
          <w:sz w:val="24"/>
          <w:szCs w:val="24"/>
        </w:rPr>
        <w:t>Evaluar la importancia de la calibración de equipos como balanzas y pipetas para garantizar la exactitud en experimentos cuantitativos.</w:t>
      </w:r>
    </w:p>
    <w:p w14:paraId="504A95A9" w14:textId="77777777" w:rsidR="00B83FF0" w:rsidRPr="009B6649" w:rsidRDefault="00B83FF0" w:rsidP="00B83FF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C56D9" w14:textId="77777777" w:rsidR="00B83FF0" w:rsidRPr="009B6649" w:rsidRDefault="00B83FF0" w:rsidP="00B83FF0">
      <w:pPr>
        <w:pStyle w:val="Prrafodelista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6649">
        <w:rPr>
          <w:rFonts w:ascii="Times New Roman" w:eastAsia="Times New Roman" w:hAnsi="Times New Roman" w:cs="Times New Roman"/>
          <w:sz w:val="24"/>
          <w:szCs w:val="24"/>
        </w:rPr>
        <w:t>Analizar la relación entre el material de fabricación de los instrumentos (vidrio, plástico, porcelana) y su resistencia a sustancias químicas o temperaturas extremas.</w:t>
      </w:r>
    </w:p>
    <w:p w14:paraId="1813E278" w14:textId="77777777" w:rsidR="00B83FF0" w:rsidRPr="000603D1" w:rsidRDefault="00B83FF0" w:rsidP="00B83FF0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4DE3D6EE" w14:textId="77777777" w:rsidR="00B83FF0" w:rsidRDefault="00B83FF0" w:rsidP="00B83FF0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8B95149" w14:textId="77777777" w:rsidR="00B83FF0" w:rsidRDefault="00B83FF0" w:rsidP="00B83FF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153DF7C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500BDECE" w14:textId="77777777" w:rsidR="00B83FF0" w:rsidRPr="003D6752" w:rsidRDefault="00B83FF0" w:rsidP="00B83FF0">
      <w:pPr>
        <w:pStyle w:val="Ttulo1"/>
        <w:numPr>
          <w:ilvl w:val="0"/>
          <w:numId w:val="5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7" w:name="_Toc111908914"/>
      <w:bookmarkStart w:id="8" w:name="_Toc188984048"/>
      <w:bookmarkStart w:id="9" w:name="_Toc189403108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FUNDAMENTOS TEÓRICOS</w:t>
      </w:r>
      <w:bookmarkEnd w:id="7"/>
      <w:bookmarkEnd w:id="8"/>
      <w:bookmarkEnd w:id="9"/>
    </w:p>
    <w:p w14:paraId="726F76A6" w14:textId="77777777" w:rsidR="00B83FF0" w:rsidRDefault="00B83FF0" w:rsidP="00B83FF0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0" w:name="_Toc188984049"/>
      <w:bookmarkStart w:id="11" w:name="_Toc189403109"/>
      <w:proofErr w:type="spellStart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>II.I</w:t>
      </w:r>
      <w:proofErr w:type="spellEnd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MARCO TEÓRICO</w:t>
      </w:r>
      <w:bookmarkEnd w:id="10"/>
      <w:bookmarkEnd w:id="11"/>
    </w:p>
    <w:p w14:paraId="3927BB23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9242A">
        <w:rPr>
          <w:rFonts w:ascii="Times New Roman" w:hAnsi="Times New Roman" w:cs="Times New Roman"/>
          <w:sz w:val="24"/>
          <w:szCs w:val="24"/>
          <w:u w:val="single"/>
        </w:rPr>
        <w:t>II.I.I</w:t>
      </w:r>
      <w:proofErr w:type="spellEnd"/>
      <w:r w:rsidRPr="0089242A">
        <w:rPr>
          <w:rFonts w:ascii="Times New Roman" w:hAnsi="Times New Roman" w:cs="Times New Roman"/>
          <w:sz w:val="24"/>
          <w:szCs w:val="24"/>
          <w:u w:val="single"/>
        </w:rPr>
        <w:t xml:space="preserve"> INSTRUMENTOS BÁSICOS DE UN LABORATORIO DE QUÍMICA</w:t>
      </w:r>
    </w:p>
    <w:p w14:paraId="4442F8DE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Los laboratorios de química utilizan una variedad de instrumentos diseñados para mediciones, mezclas, calentamientos y reacciones controladas. Entre los más relevantes se encuentran:</w:t>
      </w:r>
    </w:p>
    <w:p w14:paraId="58523D9B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Matraz Erlenmeyer:</w:t>
      </w:r>
      <w:r w:rsidRPr="0089242A">
        <w:rPr>
          <w:rFonts w:ascii="Times New Roman" w:hAnsi="Times New Roman" w:cs="Times New Roman"/>
          <w:sz w:val="24"/>
          <w:szCs w:val="24"/>
        </w:rPr>
        <w:t xml:space="preserve"> Fabricado en vidrio borosilicato, su forma cónica con cuello estrecho evita pérdidas por evaporación y facilita la agitación manual durante titulaciones (Brito et al., 2021).</w:t>
      </w:r>
    </w:p>
    <w:p w14:paraId="66123ECB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Probetas:</w:t>
      </w:r>
      <w:r w:rsidRPr="0089242A">
        <w:rPr>
          <w:rFonts w:ascii="Times New Roman" w:hAnsi="Times New Roman" w:cs="Times New Roman"/>
          <w:sz w:val="24"/>
          <w:szCs w:val="24"/>
        </w:rPr>
        <w:t xml:space="preserve"> Usadas para medir volúmenes aproximados de líquidos. Su precisión varía según la capacidad: una probeta de 25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tiene una incertidumbre de ±0.5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, mientras una de 100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alcanza ±1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(Harris, 2020).</w:t>
      </w:r>
    </w:p>
    <w:p w14:paraId="64FFE9A1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Balones aforados:</w:t>
      </w:r>
      <w:r w:rsidRPr="0089242A">
        <w:rPr>
          <w:rFonts w:ascii="Times New Roman" w:hAnsi="Times New Roman" w:cs="Times New Roman"/>
          <w:sz w:val="24"/>
          <w:szCs w:val="24"/>
        </w:rPr>
        <w:t xml:space="preserve"> Diseñados para preparar soluciones exactas, su cuello largo incluye una marca de calibración que garantiza volúmenes precisos al 0.1% (Skoog et al., 2022).</w:t>
      </w:r>
    </w:p>
    <w:p w14:paraId="48B2B74E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 xml:space="preserve">La selección del material es crítica. Por ejemplo, el vidrio borosilicato (como en matraces y pipetas) resiste altas temperaturas y choques térmicos, mientras que el polipropileno (en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beakers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y pisetas) es ideal para evitar reacciones con ácidos diluidos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Housecroft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&amp; Sharpe, 2020).</w:t>
      </w:r>
    </w:p>
    <w:p w14:paraId="0B2F01CF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9242A">
        <w:rPr>
          <w:rFonts w:ascii="Times New Roman" w:hAnsi="Times New Roman" w:cs="Times New Roman"/>
          <w:sz w:val="24"/>
          <w:szCs w:val="24"/>
          <w:u w:val="single"/>
        </w:rPr>
        <w:t>II.I.II</w:t>
      </w:r>
      <w:proofErr w:type="spellEnd"/>
      <w:r w:rsidRPr="0089242A">
        <w:rPr>
          <w:rFonts w:ascii="Times New Roman" w:hAnsi="Times New Roman" w:cs="Times New Roman"/>
          <w:sz w:val="24"/>
          <w:szCs w:val="24"/>
          <w:u w:val="single"/>
        </w:rPr>
        <w:t xml:space="preserve"> PRECISIÓN, EXACTITUD E INCERTIDUMBRE</w:t>
      </w:r>
    </w:p>
    <w:p w14:paraId="256506D7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La confiabilidad de los datos experimentales depende de la precisión de los instrumentos:</w:t>
      </w:r>
    </w:p>
    <w:p w14:paraId="2FC43921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 xml:space="preserve">Escala mínima: Define la menor división del instrumento. Por ejemplo, una regla con divisiones de 1 mm tiene una incertidumbre de ±0.5 mm (Chang &amp;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Goldsby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, 2016).</w:t>
      </w:r>
    </w:p>
    <w:p w14:paraId="15D0645C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Balanza electrónica: Alcanza una precisión de ±0.001 g, esencial en síntesis de compuestos puros, mientras que la balanza granataria (±0.1 g) se usa para mediciones rápidas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Whitten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et al., 2021).</w:t>
      </w:r>
    </w:p>
    <w:p w14:paraId="76A6C7D4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 xml:space="preserve">Pipetas volumétricas: Diseñadas para transferir volúmenes exactos (ej. pipeta de 10.0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con ±0.02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de error), requieren pipeteadores para evitar contacto con sustancias tóxicas (ACS, 2023).</w:t>
      </w:r>
    </w:p>
    <w:p w14:paraId="774D08DF" w14:textId="77777777" w:rsidR="00B83FF0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La incertidumbre absoluta se calcula como la mitad de la escala mínima, pero en instrumentos calibrados (como termómetros), esta puede estar especificada por el fabricante (Skoog et al., 2022).</w:t>
      </w:r>
    </w:p>
    <w:p w14:paraId="615A52C3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9242A">
        <w:rPr>
          <w:rFonts w:ascii="Times New Roman" w:hAnsi="Times New Roman" w:cs="Times New Roman"/>
          <w:sz w:val="24"/>
          <w:szCs w:val="24"/>
          <w:u w:val="single"/>
        </w:rPr>
        <w:lastRenderedPageBreak/>
        <w:t>II.I.III</w:t>
      </w:r>
      <w:proofErr w:type="spellEnd"/>
      <w:r w:rsidRPr="0089242A">
        <w:rPr>
          <w:rFonts w:ascii="Times New Roman" w:hAnsi="Times New Roman" w:cs="Times New Roman"/>
          <w:sz w:val="24"/>
          <w:szCs w:val="24"/>
          <w:u w:val="single"/>
        </w:rPr>
        <w:t xml:space="preserve"> SEGURIDAD Y PROTOCOLOS DE MANIPULACIÓN</w:t>
      </w:r>
    </w:p>
    <w:p w14:paraId="6125F780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El manejo seguro de instrumentos previene accidentes:</w:t>
      </w:r>
    </w:p>
    <w:p w14:paraId="0894E296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Materiales calientes:</w:t>
      </w:r>
      <w:r w:rsidRPr="0089242A">
        <w:rPr>
          <w:rFonts w:ascii="Times New Roman" w:hAnsi="Times New Roman" w:cs="Times New Roman"/>
          <w:sz w:val="24"/>
          <w:szCs w:val="24"/>
        </w:rPr>
        <w:t xml:space="preserve"> El crisol de porcelana y la cápsula de porcelana deben manipularse con pinzas para crisol, ya que resisten hasta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1200°C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durante calcinaciones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Zumdahl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, 2019).</w:t>
      </w:r>
    </w:p>
    <w:p w14:paraId="52C55C59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 xml:space="preserve">Mechero de </w:t>
      </w:r>
      <w:proofErr w:type="spellStart"/>
      <w:r w:rsidRPr="0089242A">
        <w:rPr>
          <w:rFonts w:ascii="Times New Roman" w:hAnsi="Times New Roman" w:cs="Times New Roman"/>
          <w:b/>
          <w:bCs/>
          <w:sz w:val="24"/>
          <w:szCs w:val="24"/>
        </w:rPr>
        <w:t>Meker</w:t>
      </w:r>
      <w:proofErr w:type="spellEnd"/>
      <w:r w:rsidRPr="0089242A">
        <w:rPr>
          <w:rFonts w:ascii="Times New Roman" w:hAnsi="Times New Roman" w:cs="Times New Roman"/>
          <w:b/>
          <w:bCs/>
          <w:sz w:val="24"/>
          <w:szCs w:val="24"/>
        </w:rPr>
        <w:t>-Fisher:</w:t>
      </w:r>
      <w:r w:rsidRPr="0089242A">
        <w:rPr>
          <w:rFonts w:ascii="Times New Roman" w:hAnsi="Times New Roman" w:cs="Times New Roman"/>
          <w:sz w:val="24"/>
          <w:szCs w:val="24"/>
        </w:rPr>
        <w:t xml:space="preserve"> A diferencia del mechero Bunsen, su diseño con parrilla distribuye el calor uniformemente, ideal para calentar grandes volúmenes. Requiere verificar fugas de gas antes de su uso (ACS, 2023).</w:t>
      </w:r>
    </w:p>
    <w:p w14:paraId="7874A396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Vidrio de reloj:</w:t>
      </w:r>
      <w:r w:rsidRPr="0089242A">
        <w:rPr>
          <w:rFonts w:ascii="Times New Roman" w:hAnsi="Times New Roman" w:cs="Times New Roman"/>
          <w:sz w:val="24"/>
          <w:szCs w:val="24"/>
        </w:rPr>
        <w:t xml:space="preserve"> Aunque útil para pesar sólidos, su fragilidad exige almacenamiento en superficies planas para evitar fracturas (Harris, 2020).</w:t>
      </w:r>
    </w:p>
    <w:p w14:paraId="2DB4A8DB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Además, equipos como el soporte universal y la rejilla de asbesto (hoy sustituida por cerámica por razones de salud) permiten montajes estables para calentamientos prolongados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Housecroft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&amp; Sharpe, 2020).</w:t>
      </w:r>
    </w:p>
    <w:p w14:paraId="06BE9AAD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9242A">
        <w:rPr>
          <w:rFonts w:ascii="Times New Roman" w:hAnsi="Times New Roman" w:cs="Times New Roman"/>
          <w:sz w:val="24"/>
          <w:szCs w:val="24"/>
          <w:u w:val="single"/>
        </w:rPr>
        <w:t>II.I.IV</w:t>
      </w:r>
      <w:proofErr w:type="spellEnd"/>
      <w:r w:rsidRPr="0089242A">
        <w:rPr>
          <w:rFonts w:ascii="Times New Roman" w:hAnsi="Times New Roman" w:cs="Times New Roman"/>
          <w:sz w:val="24"/>
          <w:szCs w:val="24"/>
          <w:u w:val="single"/>
        </w:rPr>
        <w:t xml:space="preserve"> CLASIFICACIÓN FUNCIONAL DE LOS INSTRUMENTOS</w:t>
      </w:r>
    </w:p>
    <w:p w14:paraId="59408C67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Medición de masa:</w:t>
      </w:r>
      <w:r w:rsidRPr="0089242A">
        <w:rPr>
          <w:rFonts w:ascii="Times New Roman" w:hAnsi="Times New Roman" w:cs="Times New Roman"/>
          <w:sz w:val="24"/>
          <w:szCs w:val="24"/>
        </w:rPr>
        <w:t xml:space="preserve"> Balanzas granatarias y electrónicas.</w:t>
      </w:r>
    </w:p>
    <w:p w14:paraId="1C57360B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Medición de volumen:</w:t>
      </w:r>
      <w:r w:rsidRPr="0089242A">
        <w:rPr>
          <w:rFonts w:ascii="Times New Roman" w:hAnsi="Times New Roman" w:cs="Times New Roman"/>
          <w:sz w:val="24"/>
          <w:szCs w:val="24"/>
        </w:rPr>
        <w:t xml:space="preserve"> Pipetas, probetas y buretas.</w:t>
      </w:r>
    </w:p>
    <w:p w14:paraId="58C109AE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Contención y reacción:</w:t>
      </w:r>
      <w:r w:rsidRPr="0089242A">
        <w:rPr>
          <w:rFonts w:ascii="Times New Roman" w:hAnsi="Times New Roman" w:cs="Times New Roman"/>
          <w:sz w:val="24"/>
          <w:szCs w:val="24"/>
        </w:rPr>
        <w:t xml:space="preserve"> Tubos de ensayo, matraces Erlenmeyer y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beakers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.</w:t>
      </w:r>
    </w:p>
    <w:p w14:paraId="009D2F35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Calentamiento:</w:t>
      </w:r>
      <w:r w:rsidRPr="0089242A">
        <w:rPr>
          <w:rFonts w:ascii="Times New Roman" w:hAnsi="Times New Roman" w:cs="Times New Roman"/>
          <w:sz w:val="24"/>
          <w:szCs w:val="24"/>
        </w:rPr>
        <w:t xml:space="preserve"> Mecheros, triángulos de porcelana y cápsulas.</w:t>
      </w:r>
    </w:p>
    <w:p w14:paraId="2928B350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Por ejemplo, el mortero con pistilo se emplea para triturar sólidos, mientras que la varilla de agitación homogeniza mezclas sin rayar el vidrio (Brito et al., 2021).</w:t>
      </w:r>
    </w:p>
    <w:p w14:paraId="1973BA3D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9242A">
        <w:rPr>
          <w:rFonts w:ascii="Times New Roman" w:hAnsi="Times New Roman" w:cs="Times New Roman"/>
          <w:sz w:val="24"/>
          <w:szCs w:val="24"/>
          <w:u w:val="single"/>
        </w:rPr>
        <w:t>II.I.V</w:t>
      </w:r>
      <w:proofErr w:type="spellEnd"/>
      <w:r w:rsidRPr="0089242A">
        <w:rPr>
          <w:rFonts w:ascii="Times New Roman" w:hAnsi="Times New Roman" w:cs="Times New Roman"/>
          <w:sz w:val="24"/>
          <w:szCs w:val="24"/>
          <w:u w:val="single"/>
        </w:rPr>
        <w:t xml:space="preserve"> IMPACTO DEL MATERIAL EN LA RESISTENCIA QUÍMICA</w:t>
      </w:r>
    </w:p>
    <w:p w14:paraId="07BC81A7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Vidrio borosilicato:</w:t>
      </w:r>
      <w:r w:rsidRPr="0089242A">
        <w:rPr>
          <w:rFonts w:ascii="Times New Roman" w:hAnsi="Times New Roman" w:cs="Times New Roman"/>
          <w:sz w:val="24"/>
          <w:szCs w:val="24"/>
        </w:rPr>
        <w:t xml:space="preserve"> Inerte frente a ácidos y bases, excepto ácido fluorhídrico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Whitten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et al., 2021).</w:t>
      </w:r>
    </w:p>
    <w:p w14:paraId="65C6AA70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Porcelana:</w:t>
      </w:r>
      <w:r w:rsidRPr="0089242A">
        <w:rPr>
          <w:rFonts w:ascii="Times New Roman" w:hAnsi="Times New Roman" w:cs="Times New Roman"/>
          <w:sz w:val="24"/>
          <w:szCs w:val="24"/>
        </w:rPr>
        <w:t xml:space="preserve"> Resistente a altas temperaturas, pero no a cambios bruscos (ej. enfriar un crisol caliente en agua lo agrieta) (Chang &amp;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Goldsby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, 2016).</w:t>
      </w:r>
    </w:p>
    <w:p w14:paraId="118566D1" w14:textId="77777777" w:rsidR="00B83FF0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Plástico (</w:t>
      </w:r>
      <w:proofErr w:type="spellStart"/>
      <w:r w:rsidRPr="0089242A">
        <w:rPr>
          <w:rFonts w:ascii="Times New Roman" w:hAnsi="Times New Roman" w:cs="Times New Roman"/>
          <w:b/>
          <w:bCs/>
          <w:sz w:val="24"/>
          <w:szCs w:val="24"/>
        </w:rPr>
        <w:t>HDPE</w:t>
      </w:r>
      <w:proofErr w:type="spellEnd"/>
      <w:r w:rsidRPr="0089242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89242A">
        <w:rPr>
          <w:rFonts w:ascii="Times New Roman" w:hAnsi="Times New Roman" w:cs="Times New Roman"/>
          <w:sz w:val="24"/>
          <w:szCs w:val="24"/>
        </w:rPr>
        <w:t xml:space="preserve"> Usado en embudos y pisetas, evita corrosión con soluciones salinas, pero se deforma con solventes orgánicos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Housecroft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&amp; Sharpe, 2020).</w:t>
      </w:r>
    </w:p>
    <w:p w14:paraId="45C60CBC" w14:textId="77777777" w:rsidR="00B83FF0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E35399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0B037B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9242A">
        <w:rPr>
          <w:rFonts w:ascii="Times New Roman" w:hAnsi="Times New Roman" w:cs="Times New Roman"/>
          <w:sz w:val="24"/>
          <w:szCs w:val="24"/>
          <w:u w:val="single"/>
        </w:rPr>
        <w:lastRenderedPageBreak/>
        <w:t>II.I.VI</w:t>
      </w:r>
      <w:proofErr w:type="spellEnd"/>
      <w:r w:rsidRPr="0089242A">
        <w:rPr>
          <w:rFonts w:ascii="Times New Roman" w:hAnsi="Times New Roman" w:cs="Times New Roman"/>
          <w:sz w:val="24"/>
          <w:szCs w:val="24"/>
          <w:u w:val="single"/>
        </w:rPr>
        <w:t xml:space="preserve"> CALIBRACIÓN Y MANTENIMIENTO</w:t>
      </w:r>
    </w:p>
    <w:p w14:paraId="1E913291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La calibración periódica asegura la precisión:</w:t>
      </w:r>
    </w:p>
    <w:p w14:paraId="434DB6F3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Pipetas:</w:t>
      </w:r>
      <w:r w:rsidRPr="0089242A">
        <w:rPr>
          <w:rFonts w:ascii="Times New Roman" w:hAnsi="Times New Roman" w:cs="Times New Roman"/>
          <w:sz w:val="24"/>
          <w:szCs w:val="24"/>
        </w:rPr>
        <w:t xml:space="preserve"> Se verifican con agua destilada a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20°C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, midiendo el volumen dispensado (Harris, 2020).</w:t>
      </w:r>
    </w:p>
    <w:p w14:paraId="17705831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Balanza electrónica:</w:t>
      </w:r>
      <w:r w:rsidRPr="0089242A">
        <w:rPr>
          <w:rFonts w:ascii="Times New Roman" w:hAnsi="Times New Roman" w:cs="Times New Roman"/>
          <w:sz w:val="24"/>
          <w:szCs w:val="24"/>
        </w:rPr>
        <w:t xml:space="preserve"> Se calibra con masas certificadas para ajustar su respuesta electromagnética (Skoog et al., 2022).</w:t>
      </w:r>
    </w:p>
    <w:p w14:paraId="4BF40BBE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Termómetros:</w:t>
      </w:r>
      <w:r w:rsidRPr="0089242A">
        <w:rPr>
          <w:rFonts w:ascii="Times New Roman" w:hAnsi="Times New Roman" w:cs="Times New Roman"/>
          <w:sz w:val="24"/>
          <w:szCs w:val="24"/>
        </w:rPr>
        <w:t xml:space="preserve"> Se contrastan con puntos fijos como el hielo fundente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0°C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) o agua en ebullición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100°C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) (ACS, 2023).</w:t>
      </w:r>
    </w:p>
    <w:p w14:paraId="6C735DD9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sz w:val="24"/>
          <w:szCs w:val="24"/>
        </w:rPr>
        <w:t>El almacenamiento correcto también es clave: las pipetas deben guardarse verticalmente, y los tubos de ensayo en gradillas para evitar roturas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Zumdahl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>, 2019).</w:t>
      </w:r>
    </w:p>
    <w:p w14:paraId="20E44844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9242A">
        <w:rPr>
          <w:rFonts w:ascii="Times New Roman" w:hAnsi="Times New Roman" w:cs="Times New Roman"/>
          <w:sz w:val="24"/>
          <w:szCs w:val="24"/>
          <w:u w:val="single"/>
        </w:rPr>
        <w:t>II.I.VII</w:t>
      </w:r>
      <w:proofErr w:type="spellEnd"/>
      <w:r w:rsidRPr="0089242A">
        <w:rPr>
          <w:rFonts w:ascii="Times New Roman" w:hAnsi="Times New Roman" w:cs="Times New Roman"/>
          <w:sz w:val="24"/>
          <w:szCs w:val="24"/>
          <w:u w:val="single"/>
        </w:rPr>
        <w:t xml:space="preserve"> INNOVACIONES TECNOLÓGICAS EN EQUIPOS</w:t>
      </w:r>
    </w:p>
    <w:p w14:paraId="70B52B0C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Pipetas automáticas:</w:t>
      </w:r>
      <w:r w:rsidRPr="0089242A">
        <w:rPr>
          <w:rFonts w:ascii="Times New Roman" w:hAnsi="Times New Roman" w:cs="Times New Roman"/>
          <w:sz w:val="24"/>
          <w:szCs w:val="24"/>
        </w:rPr>
        <w:t xml:space="preserve"> Reemplazan las pipetas de vidrio, permitiendo mediciones rápidas y ajustables (ej. 1-10 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μL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en bioquímica) (</w:t>
      </w:r>
      <w:proofErr w:type="spellStart"/>
      <w:r w:rsidRPr="0089242A">
        <w:rPr>
          <w:rFonts w:ascii="Times New Roman" w:hAnsi="Times New Roman" w:cs="Times New Roman"/>
          <w:sz w:val="24"/>
          <w:szCs w:val="24"/>
        </w:rPr>
        <w:t>Housecroft</w:t>
      </w:r>
      <w:proofErr w:type="spellEnd"/>
      <w:r w:rsidRPr="0089242A">
        <w:rPr>
          <w:rFonts w:ascii="Times New Roman" w:hAnsi="Times New Roman" w:cs="Times New Roman"/>
          <w:sz w:val="24"/>
          <w:szCs w:val="24"/>
        </w:rPr>
        <w:t xml:space="preserve"> &amp; Sharpe, 2020).</w:t>
      </w:r>
    </w:p>
    <w:p w14:paraId="71415D19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Balanza analítica:</w:t>
      </w:r>
      <w:r w:rsidRPr="0089242A">
        <w:rPr>
          <w:rFonts w:ascii="Times New Roman" w:hAnsi="Times New Roman" w:cs="Times New Roman"/>
          <w:sz w:val="24"/>
          <w:szCs w:val="24"/>
        </w:rPr>
        <w:t xml:space="preserve"> Con sensores electromagnéticos, alcanzan precisiones de ±0.0001 g, indispensables en nanotecnología (Skoog et al., 2022).</w:t>
      </w:r>
    </w:p>
    <w:p w14:paraId="739D7E17" w14:textId="77777777" w:rsidR="00B83FF0" w:rsidRPr="0089242A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89242A">
        <w:rPr>
          <w:rFonts w:ascii="Times New Roman" w:hAnsi="Times New Roman" w:cs="Times New Roman"/>
          <w:b/>
          <w:bCs/>
          <w:sz w:val="24"/>
          <w:szCs w:val="24"/>
        </w:rPr>
        <w:t>Termómetros digitales:</w:t>
      </w:r>
      <w:r w:rsidRPr="0089242A">
        <w:rPr>
          <w:rFonts w:ascii="Times New Roman" w:hAnsi="Times New Roman" w:cs="Times New Roman"/>
          <w:sz w:val="24"/>
          <w:szCs w:val="24"/>
        </w:rPr>
        <w:t xml:space="preserve"> Superan al termómetro de etanol al ofrecer lecturas instantáneas y resistir roturas (ACS, 2023).</w:t>
      </w:r>
    </w:p>
    <w:p w14:paraId="7BFB3BDA" w14:textId="77777777" w:rsidR="00B83FF0" w:rsidRDefault="00B83FF0" w:rsidP="00B83FF0"/>
    <w:p w14:paraId="70341201" w14:textId="77777777" w:rsidR="00B83FF0" w:rsidRDefault="00B83FF0" w:rsidP="00B83FF0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2" w:name="_Toc188984050"/>
      <w:bookmarkStart w:id="13" w:name="_Toc189403110"/>
      <w:proofErr w:type="spellStart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>II.I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proofErr w:type="spellEnd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QUÍMICAS</w:t>
      </w:r>
      <w:bookmarkEnd w:id="12"/>
      <w:bookmarkEnd w:id="13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18A39B4A" w14:textId="77777777" w:rsidR="00B83FF0" w:rsidRPr="009B6649" w:rsidRDefault="00B83FF0" w:rsidP="00B83FF0">
      <w:pPr>
        <w:rPr>
          <w:rFonts w:ascii="Times New Roman" w:hAnsi="Times New Roman" w:cs="Times New Roman"/>
          <w:sz w:val="24"/>
          <w:szCs w:val="24"/>
        </w:rPr>
      </w:pPr>
      <w:r w:rsidRPr="009B6649">
        <w:rPr>
          <w:rFonts w:ascii="Times New Roman" w:hAnsi="Times New Roman" w:cs="Times New Roman"/>
          <w:sz w:val="24"/>
          <w:szCs w:val="24"/>
        </w:rPr>
        <w:t>N/A</w:t>
      </w:r>
    </w:p>
    <w:p w14:paraId="57892126" w14:textId="77777777" w:rsidR="00B83FF0" w:rsidRDefault="00B83FF0" w:rsidP="00B83FF0"/>
    <w:p w14:paraId="42C9A2A5" w14:textId="77777777" w:rsidR="00B83FF0" w:rsidRPr="003D6752" w:rsidRDefault="00B83FF0" w:rsidP="00B83FF0">
      <w:pPr>
        <w:pStyle w:val="Ttulo1"/>
        <w:numPr>
          <w:ilvl w:val="0"/>
          <w:numId w:val="5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4" w:name="_Toc188984051"/>
      <w:bookmarkStart w:id="15" w:name="_Toc189403111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>ECUACIONES Y CONSTANTES</w:t>
      </w:r>
      <w:bookmarkEnd w:id="14"/>
      <w:bookmarkEnd w:id="15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</w:t>
      </w:r>
    </w:p>
    <w:p w14:paraId="4C7166BD" w14:textId="77777777" w:rsidR="00B83FF0" w:rsidRDefault="00B83FF0" w:rsidP="00B83FF0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57F2F7C" w14:textId="77777777" w:rsidR="00B83FF0" w:rsidRPr="00DF0933" w:rsidRDefault="00B83FF0" w:rsidP="00B83FF0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6" w:name="_Toc188984052"/>
      <w:bookmarkStart w:id="17" w:name="_Toc189403112"/>
      <w:proofErr w:type="spellStart"/>
      <w:r w:rsidRPr="00DF0933">
        <w:rPr>
          <w:rFonts w:ascii="Times New Roman" w:eastAsia="Times New Roman" w:hAnsi="Times New Roman" w:cs="Times New Roman"/>
          <w:color w:val="auto"/>
          <w:sz w:val="28"/>
          <w:szCs w:val="28"/>
        </w:rPr>
        <w:t>III.I</w:t>
      </w:r>
      <w:proofErr w:type="spellEnd"/>
      <w:r w:rsidRPr="00DF093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INCERTIDUMBRE ABSOLUTA:</w:t>
      </w:r>
      <w:bookmarkEnd w:id="16"/>
      <w:bookmarkEnd w:id="17"/>
    </w:p>
    <w:p w14:paraId="6B4D852E" w14:textId="77777777" w:rsidR="00B83FF0" w:rsidRPr="00DF0933" w:rsidRDefault="00B83FF0" w:rsidP="00B83FF0">
      <w:pPr>
        <w:spacing w:after="160" w:line="259" w:lineRule="auto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 xml:space="preserve">Incertidumbre=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 xml:space="preserve">Escala Mínima 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</m:oMath>
      </m:oMathPara>
    </w:p>
    <w:p w14:paraId="17FB2D73" w14:textId="77777777" w:rsidR="00B83FF0" w:rsidRPr="00DF0933" w:rsidRDefault="00B83FF0" w:rsidP="00B83FF0">
      <w:pPr>
        <w:jc w:val="both"/>
        <w:rPr>
          <w:rFonts w:ascii="Times New Roman" w:hAnsi="Times New Roman" w:cs="Times New Roman"/>
          <w:sz w:val="24"/>
          <w:szCs w:val="24"/>
        </w:rPr>
      </w:pPr>
      <w:r w:rsidRPr="00DF0933">
        <w:rPr>
          <w:rFonts w:ascii="Times New Roman" w:hAnsi="Times New Roman" w:cs="Times New Roman"/>
          <w:sz w:val="24"/>
          <w:szCs w:val="24"/>
        </w:rPr>
        <w:t xml:space="preserve">Ejemplo: Para una probeta de 25 </w:t>
      </w:r>
      <w:proofErr w:type="spellStart"/>
      <w:r w:rsidRPr="00DF0933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DF0933">
        <w:rPr>
          <w:rFonts w:ascii="Times New Roman" w:hAnsi="Times New Roman" w:cs="Times New Roman"/>
          <w:sz w:val="24"/>
          <w:szCs w:val="24"/>
        </w:rPr>
        <w:t xml:space="preserve"> con escala de 1 </w:t>
      </w:r>
      <w:proofErr w:type="spellStart"/>
      <w:r w:rsidRPr="00DF0933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DF0933">
        <w:rPr>
          <w:rFonts w:ascii="Times New Roman" w:hAnsi="Times New Roman" w:cs="Times New Roman"/>
          <w:sz w:val="24"/>
          <w:szCs w:val="24"/>
        </w:rPr>
        <w:t xml:space="preserve">, la incertidumbre es ±0.5 </w:t>
      </w:r>
      <w:proofErr w:type="spellStart"/>
      <w:r w:rsidRPr="00DF0933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DF0933">
        <w:rPr>
          <w:rFonts w:ascii="Times New Roman" w:hAnsi="Times New Roman" w:cs="Times New Roman"/>
          <w:sz w:val="24"/>
          <w:szCs w:val="24"/>
        </w:rPr>
        <w:t xml:space="preserve"> (Skoog et al., 2022).</w:t>
      </w:r>
    </w:p>
    <w:p w14:paraId="1A0B5272" w14:textId="77777777" w:rsidR="00B83FF0" w:rsidRDefault="00B83FF0" w:rsidP="00B83FF0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F66A5B2" w14:textId="77777777" w:rsidR="00B83FF0" w:rsidRPr="00DF0933" w:rsidRDefault="00B83FF0" w:rsidP="00B83FF0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8" w:name="_Toc188984053"/>
      <w:bookmarkStart w:id="19" w:name="_Toc189403113"/>
      <w:proofErr w:type="spellStart"/>
      <w:r w:rsidRPr="00DF0933">
        <w:rPr>
          <w:rFonts w:ascii="Times New Roman" w:eastAsia="Times New Roman" w:hAnsi="Times New Roman" w:cs="Times New Roman"/>
          <w:color w:val="auto"/>
          <w:sz w:val="28"/>
          <w:szCs w:val="28"/>
        </w:rPr>
        <w:t>III.II</w:t>
      </w:r>
      <w:proofErr w:type="spellEnd"/>
      <w:r w:rsidRPr="00DF093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CALCULO DE VOLUMEN EN PIPETAS:</w:t>
      </w:r>
      <w:bookmarkEnd w:id="18"/>
      <w:bookmarkEnd w:id="19"/>
      <w:r w:rsidRPr="00DF093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5FEF860A" w14:textId="77777777" w:rsidR="00B83FF0" w:rsidRPr="00DF0933" w:rsidRDefault="00B83FF0" w:rsidP="00B83FF0">
      <w:pPr>
        <w:spacing w:after="160" w:line="259" w:lineRule="auto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 xml:space="preserve">real 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medido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 xml:space="preserve"> ± Incertidumbre</m:t>
          </m:r>
        </m:oMath>
      </m:oMathPara>
    </w:p>
    <w:p w14:paraId="02F60873" w14:textId="77777777" w:rsidR="00B83FF0" w:rsidRDefault="00B83FF0" w:rsidP="00B83FF0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3AEDCF3" w14:textId="77777777" w:rsidR="00B83FF0" w:rsidRPr="00DF0933" w:rsidRDefault="00B83FF0" w:rsidP="00B83FF0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0" w:name="_Toc188984054"/>
      <w:bookmarkStart w:id="21" w:name="_Toc189403114"/>
      <w:proofErr w:type="spellStart"/>
      <w:r w:rsidRPr="00DF0933">
        <w:rPr>
          <w:rFonts w:ascii="Times New Roman" w:eastAsia="Times New Roman" w:hAnsi="Times New Roman" w:cs="Times New Roman"/>
          <w:color w:val="auto"/>
          <w:sz w:val="28"/>
          <w:szCs w:val="28"/>
        </w:rPr>
        <w:t>III.III</w:t>
      </w:r>
      <w:proofErr w:type="spellEnd"/>
      <w:r w:rsidRPr="00DF093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PRECISIÓN DE BALANZA:</w:t>
      </w:r>
      <w:bookmarkEnd w:id="20"/>
      <w:bookmarkEnd w:id="21"/>
    </w:p>
    <w:p w14:paraId="565F2075" w14:textId="77777777" w:rsidR="00B83FF0" w:rsidRPr="00DF0933" w:rsidRDefault="00B83FF0" w:rsidP="00B83FF0">
      <w:pPr>
        <w:spacing w:after="160" w:line="259" w:lineRule="auto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>Balanza granataria :</m:t>
          </m:r>
          <m:r>
            <w:rPr>
              <w:rFonts w:ascii="Cambria Math" w:eastAsia="Times New Roman" w:hAnsi="Cambria Math" w:cs="Times New Roman"/>
              <w:lang w:val="en-US"/>
            </w:rPr>
            <m:t xml:space="preserve"> ±  0.1g</m:t>
          </m:r>
        </m:oMath>
      </m:oMathPara>
    </w:p>
    <w:p w14:paraId="1A6D129B" w14:textId="77777777" w:rsidR="00B83FF0" w:rsidRDefault="00B83FF0" w:rsidP="00B83FF0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56F7F93" w14:textId="77777777" w:rsidR="00B83FF0" w:rsidRPr="00DF0933" w:rsidRDefault="00B83FF0" w:rsidP="00B83FF0">
      <w:pPr>
        <w:spacing w:after="160" w:line="259" w:lineRule="auto"/>
        <w:rPr>
          <w:rFonts w:ascii="Times New Roman" w:eastAsia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="Times New Roman" w:hAnsi="Cambria Math" w:cs="Times New Roman"/>
            </w:rPr>
            <m:t>Balanza electronica :</m:t>
          </m:r>
          <m:r>
            <w:rPr>
              <w:rFonts w:ascii="Cambria Math" w:eastAsia="Times New Roman" w:hAnsi="Cambria Math" w:cs="Times New Roman"/>
              <w:lang w:val="en-US"/>
            </w:rPr>
            <m:t xml:space="preserve"> ±  </m:t>
          </m:r>
          <m:r>
            <w:rPr>
              <w:rFonts w:ascii="Cambria Math" w:eastAsia="Times New Roman" w:hAnsi="Cambria Math" w:cs="Times New Roman"/>
            </w:rPr>
            <m:t>0.001 g (Harris, 2020).</m:t>
          </m:r>
        </m:oMath>
      </m:oMathPara>
    </w:p>
    <w:p w14:paraId="017E1E3F" w14:textId="77777777" w:rsidR="00B83FF0" w:rsidRDefault="00B83FF0" w:rsidP="00B83FF0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E5B0351" w14:textId="3BB2A3B9" w:rsidR="00B83FF0" w:rsidRDefault="00B83FF0" w:rsidP="00B83FF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</w:p>
    <w:p w14:paraId="649B2F9D" w14:textId="77777777" w:rsidR="00B83FF0" w:rsidRPr="003D6752" w:rsidRDefault="00B83FF0" w:rsidP="00B83FF0">
      <w:pPr>
        <w:pStyle w:val="Ttulo1"/>
        <w:numPr>
          <w:ilvl w:val="0"/>
          <w:numId w:val="5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22" w:name="_Toc188984055"/>
      <w:bookmarkStart w:id="23" w:name="_Toc189403115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t>REFERENCIAS BIBLIOGRÁFICAS</w:t>
      </w:r>
      <w:bookmarkEnd w:id="22"/>
      <w:bookmarkEnd w:id="23"/>
    </w:p>
    <w:p w14:paraId="307E82A3" w14:textId="77777777" w:rsidR="00B83FF0" w:rsidRDefault="00B83FF0" w:rsidP="00B83FF0">
      <w:pPr>
        <w:rPr>
          <w:rFonts w:ascii="Times New Roman" w:eastAsia="Times New Roman" w:hAnsi="Times New Roman" w:cs="Times New Roman"/>
        </w:rPr>
      </w:pPr>
    </w:p>
    <w:p w14:paraId="00667093" w14:textId="77777777" w:rsidR="00B83FF0" w:rsidRDefault="00B83FF0" w:rsidP="00B83FF0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4" w:name="_Toc188984056"/>
      <w:bookmarkStart w:id="25" w:name="_Toc189403116"/>
      <w:proofErr w:type="spellStart"/>
      <w:r w:rsidRPr="0DC1FA04">
        <w:rPr>
          <w:rFonts w:ascii="Times New Roman" w:hAnsi="Times New Roman" w:cs="Times New Roman"/>
          <w:color w:val="auto"/>
          <w:sz w:val="28"/>
          <w:szCs w:val="28"/>
          <w:u w:val="single"/>
        </w:rPr>
        <w:t>VI</w:t>
      </w:r>
      <w:r w:rsidRPr="00671E7A">
        <w:rPr>
          <w:rFonts w:ascii="Times New Roman" w:hAnsi="Times New Roman" w:cs="Times New Roman"/>
          <w:color w:val="auto"/>
          <w:sz w:val="28"/>
          <w:szCs w:val="28"/>
          <w:u w:val="single"/>
        </w:rPr>
        <w:t>.I</w:t>
      </w:r>
      <w:proofErr w:type="spellEnd"/>
      <w:r w:rsidRPr="00671E7A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REFERENCIAS BIBLIOGRÁFICAS</w:t>
      </w:r>
      <w:bookmarkEnd w:id="24"/>
      <w:bookmarkEnd w:id="25"/>
    </w:p>
    <w:p w14:paraId="74F96435" w14:textId="77777777" w:rsidR="00B83FF0" w:rsidRPr="001A138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1383">
        <w:rPr>
          <w:rFonts w:ascii="Times New Roman" w:hAnsi="Times New Roman" w:cs="Times New Roman"/>
          <w:sz w:val="24"/>
          <w:szCs w:val="24"/>
          <w:lang w:val="en-US"/>
        </w:rPr>
        <w:t xml:space="preserve">Brown, T., Lemay, H., </w:t>
      </w:r>
      <w:proofErr w:type="spellStart"/>
      <w:r w:rsidRPr="001A1383">
        <w:rPr>
          <w:rFonts w:ascii="Times New Roman" w:hAnsi="Times New Roman" w:cs="Times New Roman"/>
          <w:sz w:val="24"/>
          <w:szCs w:val="24"/>
          <w:lang w:val="en-US"/>
        </w:rPr>
        <w:t>Bursten</w:t>
      </w:r>
      <w:proofErr w:type="spellEnd"/>
      <w:r w:rsidRPr="001A1383">
        <w:rPr>
          <w:rFonts w:ascii="Times New Roman" w:hAnsi="Times New Roman" w:cs="Times New Roman"/>
          <w:sz w:val="24"/>
          <w:szCs w:val="24"/>
          <w:lang w:val="en-US"/>
        </w:rPr>
        <w:t xml:space="preserve">, B., &amp; Murphy, C. (2014). </w:t>
      </w:r>
      <w:r w:rsidRPr="001A1383">
        <w:rPr>
          <w:rFonts w:ascii="Times New Roman" w:hAnsi="Times New Roman" w:cs="Times New Roman"/>
          <w:sz w:val="24"/>
          <w:szCs w:val="24"/>
        </w:rPr>
        <w:t xml:space="preserve">Química: La ciencia central (12ª ed.). Editorial Pearson </w:t>
      </w:r>
      <w:proofErr w:type="spellStart"/>
      <w:r w:rsidRPr="001A1383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1A1383">
        <w:rPr>
          <w:rFonts w:ascii="Times New Roman" w:hAnsi="Times New Roman" w:cs="Times New Roman"/>
          <w:sz w:val="24"/>
          <w:szCs w:val="24"/>
        </w:rPr>
        <w:t xml:space="preserve">. Recuperado de </w:t>
      </w:r>
      <w:hyperlink r:id="rId15" w:tgtFrame="_new" w:history="1">
        <w:r w:rsidRPr="001A1383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https://www.udocz.com/apuntes/903615/brown-quimica-la-ciencia-central-12va-edicion</w:t>
        </w:r>
      </w:hyperlink>
    </w:p>
    <w:p w14:paraId="1E8636ED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933">
        <w:rPr>
          <w:rFonts w:ascii="Times New Roman" w:hAnsi="Times New Roman" w:cs="Times New Roman"/>
          <w:sz w:val="24"/>
          <w:szCs w:val="24"/>
          <w:lang w:val="en-US"/>
        </w:rPr>
        <w:t>American Chemical Society (ACS). (2023). Guidelines for Chemical Laboratory Safety in Secondary Schools.</w:t>
      </w:r>
    </w:p>
    <w:p w14:paraId="1DF5D2BB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933">
        <w:rPr>
          <w:rFonts w:ascii="Times New Roman" w:hAnsi="Times New Roman" w:cs="Times New Roman"/>
          <w:sz w:val="24"/>
          <w:szCs w:val="24"/>
        </w:rPr>
        <w:t>Brito, M. A., et al. (2021). Fundamentos de Química Experimental. Editorial Reverté.</w:t>
      </w:r>
    </w:p>
    <w:p w14:paraId="7AA1FEFC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933">
        <w:rPr>
          <w:rFonts w:ascii="Times New Roman" w:hAnsi="Times New Roman" w:cs="Times New Roman"/>
          <w:sz w:val="24"/>
          <w:szCs w:val="24"/>
          <w:lang w:val="en-US"/>
        </w:rPr>
        <w:t>Chang, R., &amp; Goldsby, K. (2016). </w:t>
      </w:r>
      <w:proofErr w:type="spellStart"/>
      <w:r w:rsidRPr="00DF0933">
        <w:rPr>
          <w:rFonts w:ascii="Times New Roman" w:hAnsi="Times New Roman" w:cs="Times New Roman"/>
          <w:sz w:val="24"/>
          <w:szCs w:val="24"/>
          <w:lang w:val="en-US"/>
        </w:rPr>
        <w:t>Química</w:t>
      </w:r>
      <w:proofErr w:type="spellEnd"/>
      <w:r w:rsidRPr="00DF0933">
        <w:rPr>
          <w:rFonts w:ascii="Times New Roman" w:hAnsi="Times New Roman" w:cs="Times New Roman"/>
          <w:sz w:val="24"/>
          <w:szCs w:val="24"/>
          <w:lang w:val="en-US"/>
        </w:rPr>
        <w:t> (12ª ed.). McGraw-Hill.</w:t>
      </w:r>
    </w:p>
    <w:p w14:paraId="33C00C73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933">
        <w:rPr>
          <w:rFonts w:ascii="Times New Roman" w:hAnsi="Times New Roman" w:cs="Times New Roman"/>
          <w:sz w:val="24"/>
          <w:szCs w:val="24"/>
        </w:rPr>
        <w:t>Harris, D. C. (2020). Análisis Químico Cuantitativo (4ª ed.). Reverté.</w:t>
      </w:r>
    </w:p>
    <w:p w14:paraId="69AA57D7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933">
        <w:rPr>
          <w:rFonts w:ascii="Times New Roman" w:hAnsi="Times New Roman" w:cs="Times New Roman"/>
          <w:sz w:val="24"/>
          <w:szCs w:val="24"/>
          <w:lang w:val="en-US"/>
        </w:rPr>
        <w:t>Housecroft</w:t>
      </w:r>
      <w:proofErr w:type="spellEnd"/>
      <w:r w:rsidRPr="00DF0933">
        <w:rPr>
          <w:rFonts w:ascii="Times New Roman" w:hAnsi="Times New Roman" w:cs="Times New Roman"/>
          <w:sz w:val="24"/>
          <w:szCs w:val="24"/>
          <w:lang w:val="en-US"/>
        </w:rPr>
        <w:t>, C. E., &amp; Sharpe, A. G. (2020). </w:t>
      </w:r>
      <w:r w:rsidRPr="00DF0933">
        <w:rPr>
          <w:rFonts w:ascii="Times New Roman" w:hAnsi="Times New Roman" w:cs="Times New Roman"/>
          <w:sz w:val="24"/>
          <w:szCs w:val="24"/>
        </w:rPr>
        <w:t>Química Inorgánica (5ª ed.). Pearson.</w:t>
      </w:r>
    </w:p>
    <w:p w14:paraId="46F8B88F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933">
        <w:rPr>
          <w:rFonts w:ascii="Times New Roman" w:hAnsi="Times New Roman" w:cs="Times New Roman"/>
          <w:sz w:val="24"/>
          <w:szCs w:val="24"/>
          <w:lang w:val="en-US"/>
        </w:rPr>
        <w:t xml:space="preserve">Skoog, D. A., et al. </w:t>
      </w:r>
      <w:r w:rsidRPr="00DF0933">
        <w:rPr>
          <w:rFonts w:ascii="Times New Roman" w:hAnsi="Times New Roman" w:cs="Times New Roman"/>
          <w:sz w:val="24"/>
          <w:szCs w:val="24"/>
        </w:rPr>
        <w:t xml:space="preserve">(2022). Fundamentos de Química Analítica (10ª ed.). Cengage </w:t>
      </w:r>
      <w:proofErr w:type="spellStart"/>
      <w:r w:rsidRPr="00DF0933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DF0933">
        <w:rPr>
          <w:rFonts w:ascii="Times New Roman" w:hAnsi="Times New Roman" w:cs="Times New Roman"/>
          <w:sz w:val="24"/>
          <w:szCs w:val="24"/>
        </w:rPr>
        <w:t>.</w:t>
      </w:r>
    </w:p>
    <w:p w14:paraId="4ECD1D8A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0933">
        <w:rPr>
          <w:rFonts w:ascii="Times New Roman" w:hAnsi="Times New Roman" w:cs="Times New Roman"/>
          <w:sz w:val="24"/>
          <w:szCs w:val="24"/>
          <w:lang w:val="en-US"/>
        </w:rPr>
        <w:t>Whitten, K. W., et al. (2021). </w:t>
      </w:r>
      <w:proofErr w:type="spellStart"/>
      <w:r w:rsidRPr="00DF0933">
        <w:rPr>
          <w:rFonts w:ascii="Times New Roman" w:hAnsi="Times New Roman" w:cs="Times New Roman"/>
          <w:sz w:val="24"/>
          <w:szCs w:val="24"/>
          <w:lang w:val="en-US"/>
        </w:rPr>
        <w:t>Química</w:t>
      </w:r>
      <w:proofErr w:type="spellEnd"/>
      <w:r w:rsidRPr="00DF0933">
        <w:rPr>
          <w:rFonts w:ascii="Times New Roman" w:hAnsi="Times New Roman" w:cs="Times New Roman"/>
          <w:sz w:val="24"/>
          <w:szCs w:val="24"/>
          <w:lang w:val="en-US"/>
        </w:rPr>
        <w:t xml:space="preserve"> General (11ª ed.). Cengage Learning.</w:t>
      </w:r>
    </w:p>
    <w:p w14:paraId="2DF31DF0" w14:textId="77777777" w:rsidR="00B83FF0" w:rsidRPr="00DF0933" w:rsidRDefault="00B83FF0" w:rsidP="00B83FF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0933">
        <w:rPr>
          <w:rFonts w:ascii="Times New Roman" w:hAnsi="Times New Roman" w:cs="Times New Roman"/>
          <w:sz w:val="24"/>
          <w:szCs w:val="24"/>
        </w:rPr>
        <w:t>Zumdahl</w:t>
      </w:r>
      <w:proofErr w:type="spellEnd"/>
      <w:r w:rsidRPr="00DF0933">
        <w:rPr>
          <w:rFonts w:ascii="Times New Roman" w:hAnsi="Times New Roman" w:cs="Times New Roman"/>
          <w:sz w:val="24"/>
          <w:szCs w:val="24"/>
        </w:rPr>
        <w:t xml:space="preserve">, S. S. (2019). Química (10ª ed.). Cengage </w:t>
      </w:r>
      <w:proofErr w:type="spellStart"/>
      <w:r w:rsidRPr="00DF0933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DF0933">
        <w:rPr>
          <w:rFonts w:ascii="Times New Roman" w:hAnsi="Times New Roman" w:cs="Times New Roman"/>
          <w:sz w:val="24"/>
          <w:szCs w:val="24"/>
        </w:rPr>
        <w:t>.</w:t>
      </w:r>
    </w:p>
    <w:sectPr w:rsidR="00B83FF0" w:rsidRPr="00DF0933" w:rsidSect="00B83FF0">
      <w:headerReference w:type="default" r:id="rId16"/>
      <w:footerReference w:type="default" r:id="rId17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92E5" w14:textId="77777777" w:rsidR="00D134AF" w:rsidRDefault="00D134AF">
      <w:pPr>
        <w:spacing w:after="0" w:line="240" w:lineRule="auto"/>
      </w:pPr>
      <w:r>
        <w:separator/>
      </w:r>
    </w:p>
  </w:endnote>
  <w:endnote w:type="continuationSeparator" w:id="0">
    <w:p w14:paraId="2B2C35F3" w14:textId="77777777" w:rsidR="00D134AF" w:rsidRDefault="00D13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7610" w14:textId="77777777" w:rsidR="00B83FF0" w:rsidRDefault="00B83FF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B218" w14:textId="77777777" w:rsidR="00B83FF0" w:rsidRDefault="00B83FF0">
    <w:pPr>
      <w:pStyle w:val="Piedepgina"/>
      <w:jc w:val="center"/>
    </w:pPr>
  </w:p>
  <w:p w14:paraId="6ED52F36" w14:textId="77777777" w:rsidR="00B83FF0" w:rsidRDefault="00B83FF0" w:rsidP="00200B41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0D36" w14:textId="77777777" w:rsidR="00B83FF0" w:rsidRDefault="00B83FF0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6044" w14:textId="77777777" w:rsidR="00B83FF0" w:rsidRDefault="00B83FF0">
    <w:pPr>
      <w:pStyle w:val="Piedepgina"/>
      <w:jc w:val="center"/>
    </w:pPr>
    <w:r>
      <w:t>i</w:t>
    </w:r>
  </w:p>
  <w:p w14:paraId="074DE560" w14:textId="77777777" w:rsidR="00B83FF0" w:rsidRDefault="00B83FF0" w:rsidP="00200B41">
    <w:pPr>
      <w:pStyle w:val="Piedepgin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5600512"/>
      <w:docPartObj>
        <w:docPartGallery w:val="Page Numbers (Bottom of Page)"/>
        <w:docPartUnique/>
      </w:docPartObj>
    </w:sdtPr>
    <w:sdtContent>
      <w:p w14:paraId="21CDFA67" w14:textId="3BDCBECF" w:rsidR="00B83FF0" w:rsidRDefault="00B83FF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BB1D9A6" w14:textId="77777777" w:rsidR="00B83FF0" w:rsidRDefault="00B83F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2619" w14:textId="77777777" w:rsidR="00D134AF" w:rsidRDefault="00D134AF">
      <w:pPr>
        <w:spacing w:after="0" w:line="240" w:lineRule="auto"/>
      </w:pPr>
      <w:r>
        <w:separator/>
      </w:r>
    </w:p>
  </w:footnote>
  <w:footnote w:type="continuationSeparator" w:id="0">
    <w:p w14:paraId="5B437037" w14:textId="77777777" w:rsidR="00D134AF" w:rsidRDefault="00D13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C66B" w14:textId="77777777" w:rsidR="00B83FF0" w:rsidRDefault="00B83FF0">
    <w:pPr>
      <w:pStyle w:val="Encabezado"/>
    </w:pPr>
    <w:r>
      <w:rPr>
        <w:noProof/>
      </w:rPr>
      <w:pict w14:anchorId="6BD2F6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2" o:spid="_x0000_s1032" type="#_x0000_t75" style="position:absolute;margin-left:0;margin-top:0;width:276.75pt;height:337.5pt;z-index:-251657216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CB27" w14:textId="77777777" w:rsidR="00B83FF0" w:rsidRDefault="00B83FF0">
    <w:pPr>
      <w:pStyle w:val="Encabezado"/>
    </w:pPr>
    <w:r>
      <w:rPr>
        <w:noProof/>
      </w:rPr>
      <w:pict w14:anchorId="1737A9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3" o:spid="_x0000_s1033" type="#_x0000_t75" style="position:absolute;margin-left:0;margin-top:0;width:276.75pt;height:337.5pt;z-index:-251656192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8B01" w14:textId="77777777" w:rsidR="00B83FF0" w:rsidRDefault="00B83FF0">
    <w:pPr>
      <w:pStyle w:val="Encabezado"/>
    </w:pPr>
    <w:r>
      <w:rPr>
        <w:noProof/>
      </w:rPr>
      <w:pict w14:anchorId="4D7AB2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1" o:spid="_x0000_s1031" type="#_x0000_t75" style="position:absolute;margin-left:0;margin-top:0;width:276.75pt;height:337.5pt;z-index:-251655168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9FFC" w14:textId="77777777" w:rsidR="00B83FF0" w:rsidRDefault="00B83FF0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866C" w14:textId="77777777" w:rsidR="00C9588B" w:rsidRDefault="00C958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0FA"/>
    <w:multiLevelType w:val="multilevel"/>
    <w:tmpl w:val="8C2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CB3"/>
    <w:multiLevelType w:val="multilevel"/>
    <w:tmpl w:val="A88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5281"/>
    <w:multiLevelType w:val="multilevel"/>
    <w:tmpl w:val="D8F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36141"/>
    <w:multiLevelType w:val="multilevel"/>
    <w:tmpl w:val="660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B3D47"/>
    <w:multiLevelType w:val="multilevel"/>
    <w:tmpl w:val="216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5229A"/>
    <w:multiLevelType w:val="hybridMultilevel"/>
    <w:tmpl w:val="3CDE66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E193D"/>
    <w:multiLevelType w:val="multilevel"/>
    <w:tmpl w:val="FEE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444DF"/>
    <w:multiLevelType w:val="hybridMultilevel"/>
    <w:tmpl w:val="D89206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023CC"/>
    <w:multiLevelType w:val="multilevel"/>
    <w:tmpl w:val="29B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E0958"/>
    <w:multiLevelType w:val="hybridMultilevel"/>
    <w:tmpl w:val="FFFFFFFF"/>
    <w:lvl w:ilvl="0" w:tplc="E9A29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78C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47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E3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F6C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44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40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63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E9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70621"/>
    <w:multiLevelType w:val="hybridMultilevel"/>
    <w:tmpl w:val="FFFFFFFF"/>
    <w:lvl w:ilvl="0" w:tplc="2CF62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66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02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4C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4F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6A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561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E3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A6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766FF"/>
    <w:multiLevelType w:val="hybridMultilevel"/>
    <w:tmpl w:val="8B78FC28"/>
    <w:lvl w:ilvl="0" w:tplc="9E42F69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64C82"/>
    <w:multiLevelType w:val="multilevel"/>
    <w:tmpl w:val="C10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57BEF"/>
    <w:multiLevelType w:val="hybridMultilevel"/>
    <w:tmpl w:val="FFFFFFFF"/>
    <w:lvl w:ilvl="0" w:tplc="BB94A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A8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44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8E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8A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A49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064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20F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22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A7E02"/>
    <w:multiLevelType w:val="hybridMultilevel"/>
    <w:tmpl w:val="B3F8C1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27CBF"/>
    <w:multiLevelType w:val="multilevel"/>
    <w:tmpl w:val="0B0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FD195"/>
    <w:multiLevelType w:val="hybridMultilevel"/>
    <w:tmpl w:val="FFFFFFFF"/>
    <w:lvl w:ilvl="0" w:tplc="56768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C8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8F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88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A88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C9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8A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E7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AF4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80287"/>
    <w:multiLevelType w:val="multilevel"/>
    <w:tmpl w:val="308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E99C0"/>
    <w:multiLevelType w:val="hybridMultilevel"/>
    <w:tmpl w:val="FFFFFFFF"/>
    <w:lvl w:ilvl="0" w:tplc="11AC6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E1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67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6A6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29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52B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86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BE8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22F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F3F59"/>
    <w:multiLevelType w:val="hybridMultilevel"/>
    <w:tmpl w:val="07BC0C1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403AD2"/>
    <w:multiLevelType w:val="hybridMultilevel"/>
    <w:tmpl w:val="B7722870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7706A1"/>
    <w:multiLevelType w:val="multilevel"/>
    <w:tmpl w:val="0A3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A4AF1"/>
    <w:multiLevelType w:val="multilevel"/>
    <w:tmpl w:val="960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2686F"/>
    <w:multiLevelType w:val="multilevel"/>
    <w:tmpl w:val="7B1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20F27"/>
    <w:multiLevelType w:val="hybridMultilevel"/>
    <w:tmpl w:val="FFFFFFFF"/>
    <w:lvl w:ilvl="0" w:tplc="B3AEC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20E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CE5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CC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CE0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ED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CD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C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89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921081">
    <w:abstractNumId w:val="10"/>
  </w:num>
  <w:num w:numId="2" w16cid:durableId="1568027793">
    <w:abstractNumId w:val="13"/>
  </w:num>
  <w:num w:numId="3" w16cid:durableId="362899354">
    <w:abstractNumId w:val="18"/>
  </w:num>
  <w:num w:numId="4" w16cid:durableId="349911847">
    <w:abstractNumId w:val="24"/>
  </w:num>
  <w:num w:numId="5" w16cid:durableId="995304448">
    <w:abstractNumId w:val="11"/>
  </w:num>
  <w:num w:numId="6" w16cid:durableId="276452173">
    <w:abstractNumId w:val="20"/>
  </w:num>
  <w:num w:numId="7" w16cid:durableId="749348062">
    <w:abstractNumId w:val="9"/>
  </w:num>
  <w:num w:numId="8" w16cid:durableId="332687987">
    <w:abstractNumId w:val="16"/>
  </w:num>
  <w:num w:numId="9" w16cid:durableId="843323260">
    <w:abstractNumId w:val="7"/>
  </w:num>
  <w:num w:numId="10" w16cid:durableId="201985585">
    <w:abstractNumId w:val="5"/>
  </w:num>
  <w:num w:numId="11" w16cid:durableId="1939410486">
    <w:abstractNumId w:val="6"/>
  </w:num>
  <w:num w:numId="12" w16cid:durableId="230698833">
    <w:abstractNumId w:val="19"/>
  </w:num>
  <w:num w:numId="13" w16cid:durableId="1346126756">
    <w:abstractNumId w:val="22"/>
  </w:num>
  <w:num w:numId="14" w16cid:durableId="1149900693">
    <w:abstractNumId w:val="8"/>
  </w:num>
  <w:num w:numId="15" w16cid:durableId="1293097580">
    <w:abstractNumId w:val="21"/>
  </w:num>
  <w:num w:numId="16" w16cid:durableId="251280567">
    <w:abstractNumId w:val="17"/>
  </w:num>
  <w:num w:numId="17" w16cid:durableId="2057772011">
    <w:abstractNumId w:val="23"/>
  </w:num>
  <w:num w:numId="18" w16cid:durableId="2086535808">
    <w:abstractNumId w:val="12"/>
  </w:num>
  <w:num w:numId="19" w16cid:durableId="1765149737">
    <w:abstractNumId w:val="3"/>
  </w:num>
  <w:num w:numId="20" w16cid:durableId="1438791980">
    <w:abstractNumId w:val="0"/>
  </w:num>
  <w:num w:numId="21" w16cid:durableId="856698783">
    <w:abstractNumId w:val="1"/>
  </w:num>
  <w:num w:numId="22" w16cid:durableId="1570144041">
    <w:abstractNumId w:val="2"/>
  </w:num>
  <w:num w:numId="23" w16cid:durableId="311566156">
    <w:abstractNumId w:val="4"/>
  </w:num>
  <w:num w:numId="24" w16cid:durableId="1854034712">
    <w:abstractNumId w:val="15"/>
  </w:num>
  <w:num w:numId="25" w16cid:durableId="19607943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5F"/>
    <w:rsid w:val="00262B5F"/>
    <w:rsid w:val="00491F98"/>
    <w:rsid w:val="005028AC"/>
    <w:rsid w:val="00683E2C"/>
    <w:rsid w:val="0089242A"/>
    <w:rsid w:val="009B6649"/>
    <w:rsid w:val="009C4AD3"/>
    <w:rsid w:val="00A370D9"/>
    <w:rsid w:val="00B83FF0"/>
    <w:rsid w:val="00C9588B"/>
    <w:rsid w:val="00D134AF"/>
    <w:rsid w:val="00DF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853A24"/>
  <w15:chartTrackingRefBased/>
  <w15:docId w15:val="{8B942021-FAE4-4549-95CC-8DC209D7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2A"/>
    <w:pPr>
      <w:spacing w:after="200" w:line="288" w:lineRule="auto"/>
    </w:pPr>
    <w:rPr>
      <w:rFonts w:eastAsiaTheme="minorEastAsia"/>
      <w:kern w:val="0"/>
      <w:sz w:val="21"/>
      <w:szCs w:val="21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26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B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262B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rsid w:val="00262B5F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B5F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B5F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B5F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B5F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B5F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B5F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26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B5F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B5F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26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B5F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262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B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B5F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262B5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62B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2B5F"/>
    <w:rPr>
      <w:rFonts w:eastAsiaTheme="minorEastAsia"/>
      <w:kern w:val="0"/>
      <w:sz w:val="21"/>
      <w:szCs w:val="21"/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262B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B5F"/>
    <w:rPr>
      <w:rFonts w:eastAsiaTheme="minorEastAsia"/>
      <w:kern w:val="0"/>
      <w:sz w:val="21"/>
      <w:szCs w:val="21"/>
      <w:lang w:val="es-GT"/>
    </w:rPr>
  </w:style>
  <w:style w:type="paragraph" w:styleId="TtuloTDC">
    <w:name w:val="TOC Heading"/>
    <w:basedOn w:val="Ttulo1"/>
    <w:next w:val="Normal"/>
    <w:uiPriority w:val="39"/>
    <w:unhideWhenUsed/>
    <w:qFormat/>
    <w:rsid w:val="00262B5F"/>
    <w:pPr>
      <w:spacing w:before="240" w:after="0"/>
      <w:outlineLvl w:val="9"/>
    </w:pPr>
    <w:rPr>
      <w:sz w:val="32"/>
      <w:szCs w:val="32"/>
      <w:lang w:eastAsia="es-GT"/>
    </w:rPr>
  </w:style>
  <w:style w:type="paragraph" w:styleId="TDC2">
    <w:name w:val="toc 2"/>
    <w:basedOn w:val="Normal"/>
    <w:next w:val="Normal"/>
    <w:autoRedefine/>
    <w:uiPriority w:val="39"/>
    <w:unhideWhenUsed/>
    <w:rsid w:val="00262B5F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262B5F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262B5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62B5F"/>
    <w:pPr>
      <w:spacing w:after="100"/>
    </w:pPr>
  </w:style>
  <w:style w:type="paragraph" w:styleId="Descripcin">
    <w:name w:val="caption"/>
    <w:basedOn w:val="Normal"/>
    <w:next w:val="Normal"/>
    <w:uiPriority w:val="35"/>
    <w:unhideWhenUsed/>
    <w:qFormat/>
    <w:rsid w:val="00262B5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DF0933"/>
    <w:rPr>
      <w:color w:val="666666"/>
    </w:rPr>
  </w:style>
  <w:style w:type="table" w:styleId="Tablaconcuadrcula">
    <w:name w:val="Table Grid"/>
    <w:basedOn w:val="Tablanormal"/>
    <w:uiPriority w:val="39"/>
    <w:rsid w:val="00B83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2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udocz.com/apuntes/903615/brown-quimica-la-ciencia-central-12va-edicion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1319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Ruiz Coto</dc:creator>
  <cp:keywords/>
  <dc:description/>
  <cp:lastModifiedBy>Julio Ruiz Coto</cp:lastModifiedBy>
  <cp:revision>2</cp:revision>
  <dcterms:created xsi:type="dcterms:W3CDTF">2025-01-29T00:22:00Z</dcterms:created>
  <dcterms:modified xsi:type="dcterms:W3CDTF">2025-02-02T21:38:00Z</dcterms:modified>
</cp:coreProperties>
</file>