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9805" w14:textId="79BAE71A" w:rsidR="00007DEA" w:rsidRPr="009D3E66" w:rsidRDefault="00007DEA" w:rsidP="009D3E6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007DEA">
        <w:rPr>
          <w:rFonts w:ascii="Times New Roman" w:hAnsi="Times New Roman" w:cs="Times New Roman"/>
          <w:b/>
          <w:bCs/>
        </w:rPr>
        <w:t>Uso del Vernier</w:t>
      </w:r>
    </w:p>
    <w:p w14:paraId="01EC6699" w14:textId="10415AF1" w:rsidR="00007DEA" w:rsidRDefault="00007DEA" w:rsidP="009D3E66">
      <w:pPr>
        <w:jc w:val="center"/>
        <w:rPr>
          <w:lang w:val="en-US"/>
        </w:rPr>
      </w:pPr>
      <w:r w:rsidRPr="00007DEA">
        <w:rPr>
          <w:lang w:val="en-US"/>
        </w:rPr>
        <w:drawing>
          <wp:inline distT="0" distB="0" distL="0" distR="0" wp14:anchorId="18D38F85" wp14:editId="10AB21EE">
            <wp:extent cx="2916936" cy="3917513"/>
            <wp:effectExtent l="0" t="0" r="0" b="0"/>
            <wp:docPr id="142912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23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335" cy="392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9C89" w14:textId="48E68302" w:rsidR="00007DEA" w:rsidRDefault="00007DEA" w:rsidP="00007D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07DEA">
        <w:rPr>
          <w:rFonts w:ascii="Times New Roman" w:hAnsi="Times New Roman" w:cs="Times New Roman"/>
          <w:b/>
          <w:bCs/>
        </w:rPr>
        <w:t>Uso de</w:t>
      </w:r>
      <w:r>
        <w:rPr>
          <w:rFonts w:ascii="Times New Roman" w:hAnsi="Times New Roman" w:cs="Times New Roman"/>
          <w:b/>
          <w:bCs/>
        </w:rPr>
        <w:t xml:space="preserve"> la balanza granataria </w:t>
      </w:r>
    </w:p>
    <w:p w14:paraId="6E6E2327" w14:textId="342D497A" w:rsidR="00934621" w:rsidRPr="009D3E66" w:rsidRDefault="00934621" w:rsidP="009D3E66">
      <w:pPr>
        <w:pStyle w:val="Prrafodelista"/>
        <w:jc w:val="center"/>
        <w:rPr>
          <w:rFonts w:ascii="Times New Roman" w:hAnsi="Times New Roman" w:cs="Times New Roman"/>
          <w:b/>
          <w:bCs/>
        </w:rPr>
      </w:pPr>
      <w:r w:rsidRPr="00934621">
        <w:rPr>
          <w:rFonts w:ascii="Times New Roman" w:hAnsi="Times New Roman" w:cs="Times New Roman"/>
          <w:b/>
          <w:bCs/>
        </w:rPr>
        <w:drawing>
          <wp:inline distT="0" distB="0" distL="0" distR="0" wp14:anchorId="668E59A8" wp14:editId="06C3A74D">
            <wp:extent cx="2552353" cy="3648456"/>
            <wp:effectExtent l="0" t="0" r="0" b="0"/>
            <wp:docPr id="10300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682" cy="368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F6CC" w14:textId="77777777" w:rsidR="00934621" w:rsidRDefault="00934621" w:rsidP="00934621">
      <w:pPr>
        <w:pStyle w:val="Prrafodelista"/>
        <w:jc w:val="center"/>
        <w:rPr>
          <w:rFonts w:ascii="Times New Roman" w:hAnsi="Times New Roman" w:cs="Times New Roman"/>
          <w:b/>
          <w:bCs/>
        </w:rPr>
      </w:pPr>
    </w:p>
    <w:p w14:paraId="099D883C" w14:textId="1E9024C1" w:rsidR="00007DEA" w:rsidRDefault="00007DEA" w:rsidP="00007D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Uso de la balanza electrónica </w:t>
      </w:r>
    </w:p>
    <w:p w14:paraId="76948949" w14:textId="08B9EE55" w:rsidR="00934621" w:rsidRPr="00934621" w:rsidRDefault="00934621" w:rsidP="00934621">
      <w:pPr>
        <w:jc w:val="center"/>
        <w:rPr>
          <w:rFonts w:ascii="Times New Roman" w:hAnsi="Times New Roman" w:cs="Times New Roman"/>
          <w:b/>
          <w:bCs/>
        </w:rPr>
      </w:pPr>
      <w:r w:rsidRPr="00934621">
        <w:rPr>
          <w:rFonts w:ascii="Times New Roman" w:hAnsi="Times New Roman" w:cs="Times New Roman"/>
          <w:b/>
          <w:bCs/>
        </w:rPr>
        <w:drawing>
          <wp:inline distT="0" distB="0" distL="0" distR="0" wp14:anchorId="5D71242C" wp14:editId="091BC0A3">
            <wp:extent cx="3225341" cy="3630168"/>
            <wp:effectExtent l="0" t="0" r="0" b="0"/>
            <wp:docPr id="2048291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91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6565" cy="364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29BF" w14:textId="2637D654" w:rsidR="00007DEA" w:rsidRDefault="00007DEA" w:rsidP="00007D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Uso, lectura y toma de incerteza de Pipeta/Pipetador</w:t>
      </w:r>
    </w:p>
    <w:p w14:paraId="69C6ECF2" w14:textId="1CD7EC0F" w:rsidR="00934621" w:rsidRPr="00934621" w:rsidRDefault="009D3E66" w:rsidP="009D3E66">
      <w:pPr>
        <w:jc w:val="center"/>
        <w:rPr>
          <w:rFonts w:ascii="Times New Roman" w:hAnsi="Times New Roman" w:cs="Times New Roman"/>
          <w:b/>
          <w:bCs/>
        </w:rPr>
      </w:pPr>
      <w:r w:rsidRPr="009D3E66">
        <w:rPr>
          <w:rFonts w:ascii="Times New Roman" w:hAnsi="Times New Roman" w:cs="Times New Roman"/>
          <w:b/>
          <w:bCs/>
        </w:rPr>
        <w:drawing>
          <wp:inline distT="0" distB="0" distL="0" distR="0" wp14:anchorId="2287AB55" wp14:editId="40378C5A">
            <wp:extent cx="3039187" cy="3712464"/>
            <wp:effectExtent l="0" t="0" r="0" b="0"/>
            <wp:docPr id="549223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3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605" cy="371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F7ED" w14:textId="60C54646" w:rsidR="00007DEA" w:rsidRDefault="00007DEA" w:rsidP="00007D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Uso, lectura y toma de incerteza de</w:t>
      </w:r>
      <w:r>
        <w:rPr>
          <w:rFonts w:ascii="Times New Roman" w:hAnsi="Times New Roman" w:cs="Times New Roman"/>
          <w:b/>
          <w:bCs/>
        </w:rPr>
        <w:t xml:space="preserve"> Probeta</w:t>
      </w:r>
    </w:p>
    <w:p w14:paraId="3F07DC96" w14:textId="0BD9C152" w:rsidR="009D3E66" w:rsidRPr="009D3E66" w:rsidRDefault="009D3E66" w:rsidP="009D3E66">
      <w:pPr>
        <w:jc w:val="center"/>
        <w:rPr>
          <w:rFonts w:ascii="Times New Roman" w:hAnsi="Times New Roman" w:cs="Times New Roman"/>
          <w:b/>
          <w:bCs/>
        </w:rPr>
      </w:pPr>
      <w:r w:rsidRPr="009D3E66">
        <w:rPr>
          <w:rFonts w:ascii="Times New Roman" w:hAnsi="Times New Roman" w:cs="Times New Roman"/>
          <w:b/>
          <w:bCs/>
        </w:rPr>
        <w:drawing>
          <wp:inline distT="0" distB="0" distL="0" distR="0" wp14:anchorId="3BDA2DD2" wp14:editId="3F9EAF13">
            <wp:extent cx="4041648" cy="3588156"/>
            <wp:effectExtent l="0" t="0" r="0" b="0"/>
            <wp:docPr id="204422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842" cy="35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341B" w14:textId="4A8709DA" w:rsidR="00007DEA" w:rsidRDefault="00007DEA" w:rsidP="00007D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Uso, lectura y toma de incerteza de</w:t>
      </w:r>
      <w:r>
        <w:rPr>
          <w:rFonts w:ascii="Times New Roman" w:hAnsi="Times New Roman" w:cs="Times New Roman"/>
          <w:b/>
          <w:bCs/>
        </w:rPr>
        <w:t xml:space="preserve"> Balón aforado </w:t>
      </w:r>
    </w:p>
    <w:p w14:paraId="6F6EFDC2" w14:textId="57F3EABE" w:rsidR="009D3E66" w:rsidRPr="009D3E66" w:rsidRDefault="009D3E66" w:rsidP="009D3E66">
      <w:pPr>
        <w:jc w:val="center"/>
        <w:rPr>
          <w:rFonts w:ascii="Times New Roman" w:hAnsi="Times New Roman" w:cs="Times New Roman"/>
          <w:b/>
          <w:bCs/>
        </w:rPr>
      </w:pPr>
      <w:r w:rsidRPr="009D3E66">
        <w:rPr>
          <w:rFonts w:ascii="Times New Roman" w:hAnsi="Times New Roman" w:cs="Times New Roman"/>
          <w:b/>
          <w:bCs/>
        </w:rPr>
        <w:drawing>
          <wp:inline distT="0" distB="0" distL="0" distR="0" wp14:anchorId="43817202" wp14:editId="46ACFCF8">
            <wp:extent cx="3639312" cy="3915899"/>
            <wp:effectExtent l="0" t="0" r="0" b="0"/>
            <wp:docPr id="1864649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9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089" cy="39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69C4" w14:textId="5EF053E9" w:rsidR="00007DEA" w:rsidRDefault="00007DEA" w:rsidP="00007D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Encendido y apagado mechero de </w:t>
      </w:r>
      <w:proofErr w:type="spellStart"/>
      <w:r>
        <w:rPr>
          <w:rFonts w:ascii="Times New Roman" w:hAnsi="Times New Roman" w:cs="Times New Roman"/>
          <w:b/>
          <w:bCs/>
        </w:rPr>
        <w:t>Meker</w:t>
      </w:r>
      <w:proofErr w:type="spellEnd"/>
      <w:r>
        <w:rPr>
          <w:rFonts w:ascii="Times New Roman" w:hAnsi="Times New Roman" w:cs="Times New Roman"/>
          <w:b/>
          <w:bCs/>
        </w:rPr>
        <w:t>-Fisher</w:t>
      </w:r>
    </w:p>
    <w:p w14:paraId="20B9F4DA" w14:textId="1767B6BC" w:rsidR="009D3E66" w:rsidRPr="009D3E66" w:rsidRDefault="009D3E66" w:rsidP="009D3E66">
      <w:pPr>
        <w:jc w:val="center"/>
        <w:rPr>
          <w:rFonts w:ascii="Times New Roman" w:hAnsi="Times New Roman" w:cs="Times New Roman"/>
          <w:b/>
          <w:bCs/>
        </w:rPr>
      </w:pPr>
      <w:r w:rsidRPr="009D3E66">
        <w:rPr>
          <w:rFonts w:ascii="Times New Roman" w:hAnsi="Times New Roman" w:cs="Times New Roman"/>
          <w:b/>
          <w:bCs/>
        </w:rPr>
        <w:drawing>
          <wp:inline distT="0" distB="0" distL="0" distR="0" wp14:anchorId="00DA18AD" wp14:editId="74F30D10">
            <wp:extent cx="2898648" cy="3640007"/>
            <wp:effectExtent l="0" t="0" r="0" b="0"/>
            <wp:docPr id="110640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0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878" cy="364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283B" w14:textId="7824ADB2" w:rsidR="00007DEA" w:rsidRPr="00007DEA" w:rsidRDefault="00007DEA" w:rsidP="00007D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Montaje del sistema de calentamiento</w:t>
      </w:r>
    </w:p>
    <w:p w14:paraId="62F93955" w14:textId="4ED01C09" w:rsidR="00007DEA" w:rsidRPr="00007DEA" w:rsidRDefault="00513D53" w:rsidP="00007DEA">
      <w:pPr>
        <w:jc w:val="center"/>
      </w:pPr>
      <w:r w:rsidRPr="00513D53">
        <w:drawing>
          <wp:inline distT="0" distB="0" distL="0" distR="0" wp14:anchorId="20D051A0" wp14:editId="0B3E23CA">
            <wp:extent cx="3986784" cy="3577717"/>
            <wp:effectExtent l="0" t="0" r="0" b="0"/>
            <wp:docPr id="1037111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1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177" cy="358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DEA" w:rsidRPr="00007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15A3"/>
    <w:multiLevelType w:val="hybridMultilevel"/>
    <w:tmpl w:val="9D7AC5E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50849"/>
    <w:multiLevelType w:val="hybridMultilevel"/>
    <w:tmpl w:val="8DBAA3E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04B42"/>
    <w:multiLevelType w:val="hybridMultilevel"/>
    <w:tmpl w:val="8DBAA3EC"/>
    <w:lvl w:ilvl="0" w:tplc="100A0013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5026D"/>
    <w:multiLevelType w:val="hybridMultilevel"/>
    <w:tmpl w:val="86A4D15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8794">
    <w:abstractNumId w:val="2"/>
  </w:num>
  <w:num w:numId="2" w16cid:durableId="441267698">
    <w:abstractNumId w:val="1"/>
  </w:num>
  <w:num w:numId="3" w16cid:durableId="1594704245">
    <w:abstractNumId w:val="3"/>
  </w:num>
  <w:num w:numId="4" w16cid:durableId="162511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EA"/>
    <w:rsid w:val="00007DEA"/>
    <w:rsid w:val="00513D53"/>
    <w:rsid w:val="00863C89"/>
    <w:rsid w:val="00880F5E"/>
    <w:rsid w:val="00934621"/>
    <w:rsid w:val="009C4AD3"/>
    <w:rsid w:val="009D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85A5A6"/>
  <w15:chartTrackingRefBased/>
  <w15:docId w15:val="{97E6557D-333B-493A-8FE7-0E2231A1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00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DE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DE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DEA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DEA"/>
    <w:rPr>
      <w:rFonts w:eastAsiaTheme="majorEastAsia" w:cstheme="majorBidi"/>
      <w:i/>
      <w:iCs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DEA"/>
    <w:rPr>
      <w:rFonts w:eastAsiaTheme="majorEastAsia" w:cstheme="majorBidi"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DEA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DEA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DEA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DEA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00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DEA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DEA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00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DEA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007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D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DEA"/>
    <w:rPr>
      <w:i/>
      <w:iCs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007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Ruiz Coto</dc:creator>
  <cp:keywords/>
  <dc:description/>
  <cp:lastModifiedBy>Julio Ruiz Coto</cp:lastModifiedBy>
  <cp:revision>1</cp:revision>
  <dcterms:created xsi:type="dcterms:W3CDTF">2025-02-07T20:49:00Z</dcterms:created>
  <dcterms:modified xsi:type="dcterms:W3CDTF">2025-02-07T21:27:00Z</dcterms:modified>
</cp:coreProperties>
</file>