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ABE5D" w14:textId="77777777" w:rsidR="00953FD2" w:rsidRDefault="00000000">
      <w:pPr>
        <w:spacing w:before="1440" w:after="200"/>
        <w:jc w:val="center"/>
      </w:pPr>
      <w:r>
        <w:rPr>
          <w:b/>
          <w:bCs/>
          <w:color w:val="1E6B4A"/>
          <w:sz w:val="52"/>
          <w:szCs w:val="52"/>
        </w:rPr>
        <w:t>STOCK PRICE PREDICTION</w:t>
      </w:r>
    </w:p>
    <w:p w14:paraId="3735A7EA" w14:textId="77777777" w:rsidR="00953FD2" w:rsidRDefault="00000000">
      <w:pPr>
        <w:spacing w:after="200"/>
        <w:jc w:val="center"/>
      </w:pPr>
      <w:r>
        <w:rPr>
          <w:color w:val="404040"/>
          <w:sz w:val="32"/>
          <w:szCs w:val="32"/>
        </w:rPr>
        <w:t>Machine Learning Project Report</w:t>
      </w:r>
    </w:p>
    <w:p w14:paraId="20778358" w14:textId="77777777" w:rsidR="00953FD2" w:rsidRDefault="00000000">
      <w:pPr>
        <w:spacing w:after="200"/>
        <w:jc w:val="center"/>
      </w:pPr>
      <w:r>
        <w:rPr>
          <w:i/>
          <w:iCs/>
          <w:color w:val="606060"/>
        </w:rPr>
        <w:t>Linear Regression | LSTM Neural Network | Feature Engineering | Time-Series Evaluation</w:t>
      </w:r>
    </w:p>
    <w:p w14:paraId="23F68516" w14:textId="77777777" w:rsidR="00953FD2" w:rsidRDefault="00953FD2">
      <w:pPr>
        <w:pBdr>
          <w:bottom w:val="single" w:sz="4" w:space="1" w:color="CCCCCC"/>
        </w:pBdr>
        <w:spacing w:before="120" w:after="120"/>
      </w:pPr>
    </w:p>
    <w:p w14:paraId="435C66B9" w14:textId="77777777" w:rsidR="00953FD2" w:rsidRDefault="00000000">
      <w:pPr>
        <w:spacing w:before="200" w:after="100"/>
        <w:jc w:val="center"/>
      </w:pPr>
      <w:r>
        <w:rPr>
          <w:color w:val="606060"/>
          <w:sz w:val="24"/>
          <w:szCs w:val="24"/>
        </w:rPr>
        <w:t>Author: Zahra</w:t>
      </w:r>
    </w:p>
    <w:p w14:paraId="4ADD96DB" w14:textId="77777777" w:rsidR="00953FD2" w:rsidRDefault="00000000">
      <w:pPr>
        <w:spacing w:after="100"/>
        <w:jc w:val="center"/>
      </w:pPr>
      <w:r>
        <w:rPr>
          <w:color w:val="606060"/>
        </w:rPr>
        <w:t>Stock Ticker: AAPL (Apple Inc.)</w:t>
      </w:r>
    </w:p>
    <w:p w14:paraId="31F12C9F" w14:textId="77777777" w:rsidR="00953FD2" w:rsidRDefault="00000000">
      <w:pPr>
        <w:spacing w:after="1440"/>
        <w:jc w:val="center"/>
      </w:pPr>
      <w:r>
        <w:rPr>
          <w:i/>
          <w:iCs/>
          <w:color w:val="808080"/>
        </w:rPr>
        <w:t>Tool: Python (</w:t>
      </w:r>
      <w:proofErr w:type="spellStart"/>
      <w:r>
        <w:rPr>
          <w:i/>
          <w:iCs/>
          <w:color w:val="808080"/>
        </w:rPr>
        <w:t>JupyterLab</w:t>
      </w:r>
      <w:proofErr w:type="spellEnd"/>
      <w:r>
        <w:rPr>
          <w:i/>
          <w:iCs/>
          <w:color w:val="808080"/>
        </w:rPr>
        <w:t>) | Framework: scikit-learn &amp; TensorFlow 2.21.0</w:t>
      </w:r>
    </w:p>
    <w:p w14:paraId="7EAC2541" w14:textId="77777777" w:rsidR="00953FD2" w:rsidRDefault="00000000">
      <w:r>
        <w:br w:type="page"/>
      </w:r>
    </w:p>
    <w:p w14:paraId="2D1E3350" w14:textId="77777777" w:rsidR="00953FD2" w:rsidRDefault="00000000">
      <w:pPr>
        <w:pStyle w:val="Heading1"/>
      </w:pPr>
      <w:r>
        <w:lastRenderedPageBreak/>
        <w:t>1. Executive Summary</w:t>
      </w:r>
    </w:p>
    <w:p w14:paraId="7AA351E9" w14:textId="77777777" w:rsidR="00953FD2" w:rsidRDefault="00000000">
      <w:pPr>
        <w:spacing w:before="80" w:after="80"/>
      </w:pPr>
      <w:r>
        <w:t>This report documents the end-to-end development of a machine learning model to predict stock prices for Apple Inc. (AAPL). The project used the Kaggle Stock Market Dataset covering 5 years of historical OHLCV data (2019–2024) and followed a structured pipeline including data acquisition, exploratory analysis, feature engineering, model training, evaluation, and visualisation.</w:t>
      </w:r>
    </w:p>
    <w:p w14:paraId="668A4D48" w14:textId="77777777" w:rsidR="00953FD2" w:rsidRDefault="00953FD2"/>
    <w:p w14:paraId="62C3A3E3" w14:textId="77777777" w:rsidR="00953FD2" w:rsidRDefault="00000000">
      <w:pPr>
        <w:spacing w:before="80" w:after="80"/>
      </w:pPr>
      <w:r>
        <w:t>Two models were trained and evaluated: a Linear Regression baseline and an LSTM Neural Network. Contrary to expectations, Linear Regression significantly outperformed the LSTM on this dataset, achieving a MAE of $1.78 and MAPE of 1.272% compared to the LSTM's MAE of $54.56 and MAPE of 35.098%. This outcome provides important insights into model configuration, data requirements, and the challenges of applying deep learning to financial time-series data.</w:t>
      </w:r>
    </w:p>
    <w:p w14:paraId="0673286A" w14:textId="77777777" w:rsidR="00953FD2" w:rsidRDefault="00953FD2">
      <w:pPr>
        <w:pBdr>
          <w:bottom w:val="single" w:sz="4" w:space="1" w:color="CCCCCC"/>
        </w:pBdr>
        <w:spacing w:before="120" w:after="120"/>
      </w:pPr>
    </w:p>
    <w:p w14:paraId="0AE22209" w14:textId="77777777" w:rsidR="00953FD2" w:rsidRDefault="00000000">
      <w:pPr>
        <w:pStyle w:val="Heading1"/>
      </w:pPr>
      <w:r>
        <w:t>2. Project Objectives</w:t>
      </w:r>
    </w:p>
    <w:p w14:paraId="2040573D" w14:textId="77777777" w:rsidR="00953FD2" w:rsidRDefault="00000000">
      <w:pPr>
        <w:pStyle w:val="ListParagraph"/>
        <w:numPr>
          <w:ilvl w:val="0"/>
          <w:numId w:val="2"/>
        </w:numPr>
        <w:spacing w:before="60" w:after="60"/>
      </w:pPr>
      <w:r>
        <w:t>Download and explore 5 years of historical OHLCV stock price data for AAPL.</w:t>
      </w:r>
    </w:p>
    <w:p w14:paraId="5F5F79D4" w14:textId="77777777" w:rsidR="00953FD2" w:rsidRDefault="00000000">
      <w:pPr>
        <w:pStyle w:val="ListParagraph"/>
        <w:numPr>
          <w:ilvl w:val="0"/>
          <w:numId w:val="2"/>
        </w:numPr>
        <w:spacing w:before="60" w:after="60"/>
      </w:pPr>
      <w:r>
        <w:t>Engineer technical indicator features including trend, momentum, volatility, and lag features.</w:t>
      </w:r>
    </w:p>
    <w:p w14:paraId="6CD19C78" w14:textId="77777777" w:rsidR="00953FD2" w:rsidRDefault="00000000">
      <w:pPr>
        <w:pStyle w:val="ListParagraph"/>
        <w:numPr>
          <w:ilvl w:val="0"/>
          <w:numId w:val="2"/>
        </w:numPr>
        <w:spacing w:before="60" w:after="60"/>
      </w:pPr>
      <w:r>
        <w:t>Apply MinMaxScaler normalisation for LSTM compatibility.</w:t>
      </w:r>
    </w:p>
    <w:p w14:paraId="406C9B5C" w14:textId="77777777" w:rsidR="00953FD2" w:rsidRDefault="00000000">
      <w:pPr>
        <w:pStyle w:val="ListParagraph"/>
        <w:numPr>
          <w:ilvl w:val="0"/>
          <w:numId w:val="2"/>
        </w:numPr>
        <w:spacing w:before="60" w:after="60"/>
      </w:pPr>
      <w:r>
        <w:t>Perform a strict chronological 80/20 train/test split to prevent data leakage.</w:t>
      </w:r>
    </w:p>
    <w:p w14:paraId="2190E454" w14:textId="77777777" w:rsidR="00953FD2" w:rsidRDefault="00000000">
      <w:pPr>
        <w:pStyle w:val="ListParagraph"/>
        <w:numPr>
          <w:ilvl w:val="0"/>
          <w:numId w:val="2"/>
        </w:numPr>
        <w:spacing w:before="60" w:after="60"/>
      </w:pPr>
      <w:r>
        <w:t>Train a Linear Regression baseline and an LSTM Neural Network.</w:t>
      </w:r>
    </w:p>
    <w:p w14:paraId="4E941E11" w14:textId="77777777" w:rsidR="00953FD2" w:rsidRDefault="00000000">
      <w:pPr>
        <w:pStyle w:val="ListParagraph"/>
        <w:numPr>
          <w:ilvl w:val="0"/>
          <w:numId w:val="2"/>
        </w:numPr>
        <w:spacing w:before="60" w:after="60"/>
      </w:pPr>
      <w:r>
        <w:t>Compare both models using MAE, RMSE, and MAPE metrics.</w:t>
      </w:r>
    </w:p>
    <w:p w14:paraId="23524AD1" w14:textId="77777777" w:rsidR="00953FD2" w:rsidRDefault="00000000">
      <w:pPr>
        <w:pStyle w:val="ListParagraph"/>
        <w:numPr>
          <w:ilvl w:val="0"/>
          <w:numId w:val="2"/>
        </w:numPr>
        <w:spacing w:before="60" w:after="60"/>
      </w:pPr>
      <w:r>
        <w:t>Visualise predictions, residuals, and the LSTM training loss curve.</w:t>
      </w:r>
    </w:p>
    <w:p w14:paraId="270D0932" w14:textId="77777777" w:rsidR="00953FD2" w:rsidRDefault="00000000">
      <w:pPr>
        <w:pStyle w:val="ListParagraph"/>
        <w:numPr>
          <w:ilvl w:val="0"/>
          <w:numId w:val="2"/>
        </w:numPr>
        <w:spacing w:before="60" w:after="60"/>
      </w:pPr>
      <w:r>
        <w:t>Document observations and recommendations for future improvement.</w:t>
      </w:r>
    </w:p>
    <w:p w14:paraId="3A2691C4" w14:textId="77777777" w:rsidR="00953FD2" w:rsidRDefault="00953FD2">
      <w:pPr>
        <w:pBdr>
          <w:bottom w:val="single" w:sz="4" w:space="1" w:color="CCCCCC"/>
        </w:pBdr>
        <w:spacing w:before="120" w:after="120"/>
      </w:pPr>
    </w:p>
    <w:p w14:paraId="74B2D46E" w14:textId="77777777" w:rsidR="00953FD2" w:rsidRDefault="00000000">
      <w:pPr>
        <w:pStyle w:val="Heading1"/>
      </w:pPr>
      <w:r>
        <w:t>3. Dataset Overview</w:t>
      </w:r>
    </w:p>
    <w:p w14:paraId="0B8C8410" w14:textId="77777777" w:rsidR="00953FD2" w:rsidRDefault="00000000">
      <w:pPr>
        <w:spacing w:before="80" w:after="80"/>
      </w:pPr>
      <w:r>
        <w:t>The dataset was sourced from the Kaggle Stock Market Dataset (jacksoncrow/stock-market-dataset), which contains OHLCV data for 7,000+ stocks and ETFs. Apple Inc. (AAPL) was selected for this project.</w:t>
      </w:r>
    </w:p>
    <w:p w14:paraId="28B31648" w14:textId="77777777" w:rsidR="00953FD2" w:rsidRDefault="00953FD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2000"/>
        <w:gridCol w:w="2860"/>
      </w:tblGrid>
      <w:tr w:rsidR="00953FD2" w14:paraId="3963612D" w14:textId="77777777">
        <w:tblPrEx>
          <w:tblCellMar>
            <w:top w:w="0" w:type="dxa"/>
            <w:bottom w:w="0" w:type="dxa"/>
          </w:tblCellMar>
        </w:tblPrEx>
        <w:trPr>
          <w:tblHeader/>
        </w:trPr>
        <w:tc>
          <w:tcPr>
            <w:tcW w:w="2500" w:type="dxa"/>
            <w:tcBorders>
              <w:top w:val="single" w:sz="1" w:space="0" w:color="1E6B4A"/>
              <w:left w:val="single" w:sz="1" w:space="0" w:color="1E6B4A"/>
              <w:bottom w:val="single" w:sz="1" w:space="0" w:color="1E6B4A"/>
              <w:right w:val="single" w:sz="1" w:space="0" w:color="1E6B4A"/>
            </w:tcBorders>
            <w:shd w:val="clear" w:color="auto" w:fill="1E6B4A"/>
            <w:tcMar>
              <w:top w:w="100" w:type="dxa"/>
              <w:left w:w="150" w:type="dxa"/>
              <w:bottom w:w="100" w:type="dxa"/>
              <w:right w:w="150" w:type="dxa"/>
            </w:tcMar>
            <w:vAlign w:val="center"/>
          </w:tcPr>
          <w:p w14:paraId="796A9208" w14:textId="77777777" w:rsidR="00953FD2" w:rsidRDefault="00000000">
            <w:pPr>
              <w:jc w:val="center"/>
            </w:pPr>
            <w:r>
              <w:rPr>
                <w:b/>
                <w:bCs/>
                <w:color w:val="FFFFFF"/>
                <w:sz w:val="20"/>
                <w:szCs w:val="20"/>
              </w:rPr>
              <w:t>Dataset</w:t>
            </w:r>
          </w:p>
        </w:tc>
        <w:tc>
          <w:tcPr>
            <w:tcW w:w="2000" w:type="dxa"/>
            <w:tcBorders>
              <w:top w:val="single" w:sz="1" w:space="0" w:color="1E6B4A"/>
              <w:left w:val="single" w:sz="1" w:space="0" w:color="1E6B4A"/>
              <w:bottom w:val="single" w:sz="1" w:space="0" w:color="1E6B4A"/>
              <w:right w:val="single" w:sz="1" w:space="0" w:color="1E6B4A"/>
            </w:tcBorders>
            <w:shd w:val="clear" w:color="auto" w:fill="1E6B4A"/>
            <w:tcMar>
              <w:top w:w="100" w:type="dxa"/>
              <w:left w:w="150" w:type="dxa"/>
              <w:bottom w:w="100" w:type="dxa"/>
              <w:right w:w="150" w:type="dxa"/>
            </w:tcMar>
            <w:vAlign w:val="center"/>
          </w:tcPr>
          <w:p w14:paraId="087140DC" w14:textId="77777777" w:rsidR="00953FD2" w:rsidRDefault="00000000">
            <w:pPr>
              <w:jc w:val="center"/>
            </w:pPr>
            <w:r>
              <w:rPr>
                <w:b/>
                <w:bCs/>
                <w:color w:val="FFFFFF"/>
                <w:sz w:val="20"/>
                <w:szCs w:val="20"/>
              </w:rPr>
              <w:t>Rows</w:t>
            </w:r>
          </w:p>
        </w:tc>
        <w:tc>
          <w:tcPr>
            <w:tcW w:w="2000" w:type="dxa"/>
            <w:tcBorders>
              <w:top w:val="single" w:sz="1" w:space="0" w:color="1E6B4A"/>
              <w:left w:val="single" w:sz="1" w:space="0" w:color="1E6B4A"/>
              <w:bottom w:val="single" w:sz="1" w:space="0" w:color="1E6B4A"/>
              <w:right w:val="single" w:sz="1" w:space="0" w:color="1E6B4A"/>
            </w:tcBorders>
            <w:shd w:val="clear" w:color="auto" w:fill="1E6B4A"/>
            <w:tcMar>
              <w:top w:w="100" w:type="dxa"/>
              <w:left w:w="150" w:type="dxa"/>
              <w:bottom w:w="100" w:type="dxa"/>
              <w:right w:w="150" w:type="dxa"/>
            </w:tcMar>
            <w:vAlign w:val="center"/>
          </w:tcPr>
          <w:p w14:paraId="7BD1E673" w14:textId="77777777" w:rsidR="00953FD2" w:rsidRDefault="00000000">
            <w:pPr>
              <w:jc w:val="center"/>
            </w:pPr>
            <w:r>
              <w:rPr>
                <w:b/>
                <w:bCs/>
                <w:color w:val="FFFFFF"/>
                <w:sz w:val="20"/>
                <w:szCs w:val="20"/>
              </w:rPr>
              <w:t>Columns</w:t>
            </w:r>
          </w:p>
        </w:tc>
        <w:tc>
          <w:tcPr>
            <w:tcW w:w="2860" w:type="dxa"/>
            <w:tcBorders>
              <w:top w:val="single" w:sz="1" w:space="0" w:color="1E6B4A"/>
              <w:left w:val="single" w:sz="1" w:space="0" w:color="1E6B4A"/>
              <w:bottom w:val="single" w:sz="1" w:space="0" w:color="1E6B4A"/>
              <w:right w:val="single" w:sz="1" w:space="0" w:color="1E6B4A"/>
            </w:tcBorders>
            <w:shd w:val="clear" w:color="auto" w:fill="1E6B4A"/>
            <w:tcMar>
              <w:top w:w="100" w:type="dxa"/>
              <w:left w:w="150" w:type="dxa"/>
              <w:bottom w:w="100" w:type="dxa"/>
              <w:right w:w="150" w:type="dxa"/>
            </w:tcMar>
            <w:vAlign w:val="center"/>
          </w:tcPr>
          <w:p w14:paraId="3E82C243" w14:textId="77777777" w:rsidR="00953FD2" w:rsidRDefault="00000000">
            <w:pPr>
              <w:jc w:val="center"/>
            </w:pPr>
            <w:r>
              <w:rPr>
                <w:b/>
                <w:bCs/>
                <w:color w:val="FFFFFF"/>
                <w:sz w:val="20"/>
                <w:szCs w:val="20"/>
              </w:rPr>
              <w:t>Purpose</w:t>
            </w:r>
          </w:p>
        </w:tc>
      </w:tr>
      <w:tr w:rsidR="00953FD2" w14:paraId="78C261D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493D736" w14:textId="77777777" w:rsidR="00953FD2" w:rsidRDefault="00000000">
            <w:r>
              <w:rPr>
                <w:sz w:val="20"/>
                <w:szCs w:val="20"/>
              </w:rPr>
              <w:t>Kaggle Stock Market Dataset (AAPL)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6B4009F" w14:textId="77777777" w:rsidR="00953FD2" w:rsidRDefault="00000000">
            <w:pPr>
              <w:jc w:val="center"/>
            </w:pPr>
            <w:r>
              <w:rPr>
                <w:sz w:val="20"/>
                <w:szCs w:val="20"/>
              </w:rPr>
              <w:t>~1,258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2888A9C" w14:textId="77777777" w:rsidR="00953FD2" w:rsidRDefault="00000000">
            <w:pPr>
              <w:jc w:val="center"/>
            </w:pPr>
            <w:r>
              <w:rPr>
                <w:sz w:val="20"/>
                <w:szCs w:val="20"/>
              </w:rPr>
              <w:t>6</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B3A5B04" w14:textId="77777777" w:rsidR="00953FD2" w:rsidRDefault="00000000">
            <w:r>
              <w:rPr>
                <w:sz w:val="20"/>
                <w:szCs w:val="20"/>
              </w:rPr>
              <w:t>Model training &amp; evaluation</w:t>
            </w:r>
          </w:p>
        </w:tc>
      </w:tr>
      <w:tr w:rsidR="00953FD2" w14:paraId="296CCE3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AF4EE"/>
            <w:tcMar>
              <w:top w:w="100" w:type="dxa"/>
              <w:left w:w="150" w:type="dxa"/>
              <w:bottom w:w="100" w:type="dxa"/>
              <w:right w:w="150" w:type="dxa"/>
            </w:tcMar>
          </w:tcPr>
          <w:p w14:paraId="5430A0EA" w14:textId="77777777" w:rsidR="00953FD2" w:rsidRDefault="00000000">
            <w:r>
              <w:rPr>
                <w:sz w:val="20"/>
                <w:szCs w:val="20"/>
              </w:rPr>
              <w:t>Date Range</w:t>
            </w:r>
          </w:p>
        </w:tc>
        <w:tc>
          <w:tcPr>
            <w:tcW w:w="2000" w:type="dxa"/>
            <w:tcBorders>
              <w:top w:val="single" w:sz="1" w:space="0" w:color="CCCCCC"/>
              <w:left w:val="single" w:sz="1" w:space="0" w:color="CCCCCC"/>
              <w:bottom w:val="single" w:sz="1" w:space="0" w:color="CCCCCC"/>
              <w:right w:val="single" w:sz="1" w:space="0" w:color="CCCCCC"/>
            </w:tcBorders>
            <w:shd w:val="clear" w:color="auto" w:fill="EAF4EE"/>
            <w:tcMar>
              <w:top w:w="100" w:type="dxa"/>
              <w:left w:w="150" w:type="dxa"/>
              <w:bottom w:w="100" w:type="dxa"/>
              <w:right w:w="150" w:type="dxa"/>
            </w:tcMar>
          </w:tcPr>
          <w:p w14:paraId="689A1E2D" w14:textId="77777777" w:rsidR="00953FD2" w:rsidRDefault="00000000">
            <w:pPr>
              <w:jc w:val="center"/>
            </w:pPr>
            <w:r>
              <w:rPr>
                <w:sz w:val="20"/>
                <w:szCs w:val="20"/>
              </w:rPr>
              <w:t>2019–2024</w:t>
            </w:r>
          </w:p>
        </w:tc>
        <w:tc>
          <w:tcPr>
            <w:tcW w:w="2000" w:type="dxa"/>
            <w:tcBorders>
              <w:top w:val="single" w:sz="1" w:space="0" w:color="CCCCCC"/>
              <w:left w:val="single" w:sz="1" w:space="0" w:color="CCCCCC"/>
              <w:bottom w:val="single" w:sz="1" w:space="0" w:color="CCCCCC"/>
              <w:right w:val="single" w:sz="1" w:space="0" w:color="CCCCCC"/>
            </w:tcBorders>
            <w:shd w:val="clear" w:color="auto" w:fill="EAF4EE"/>
            <w:tcMar>
              <w:top w:w="100" w:type="dxa"/>
              <w:left w:w="150" w:type="dxa"/>
              <w:bottom w:w="100" w:type="dxa"/>
              <w:right w:w="150" w:type="dxa"/>
            </w:tcMar>
          </w:tcPr>
          <w:p w14:paraId="7B849722" w14:textId="77777777" w:rsidR="00953FD2" w:rsidRDefault="00000000">
            <w:pPr>
              <w:jc w:val="center"/>
            </w:pPr>
            <w:r>
              <w:rPr>
                <w:sz w:val="20"/>
                <w:szCs w:val="20"/>
              </w:rPr>
              <w:t>5 years</w:t>
            </w:r>
          </w:p>
        </w:tc>
        <w:tc>
          <w:tcPr>
            <w:tcW w:w="2860" w:type="dxa"/>
            <w:tcBorders>
              <w:top w:val="single" w:sz="1" w:space="0" w:color="CCCCCC"/>
              <w:left w:val="single" w:sz="1" w:space="0" w:color="CCCCCC"/>
              <w:bottom w:val="single" w:sz="1" w:space="0" w:color="CCCCCC"/>
              <w:right w:val="single" w:sz="1" w:space="0" w:color="CCCCCC"/>
            </w:tcBorders>
            <w:shd w:val="clear" w:color="auto" w:fill="EAF4EE"/>
            <w:tcMar>
              <w:top w:w="100" w:type="dxa"/>
              <w:left w:w="150" w:type="dxa"/>
              <w:bottom w:w="100" w:type="dxa"/>
              <w:right w:w="150" w:type="dxa"/>
            </w:tcMar>
          </w:tcPr>
          <w:p w14:paraId="28A6FE0C" w14:textId="77777777" w:rsidR="00953FD2" w:rsidRDefault="00000000">
            <w:r>
              <w:rPr>
                <w:sz w:val="20"/>
                <w:szCs w:val="20"/>
              </w:rPr>
              <w:t>5-year OHLCV history</w:t>
            </w:r>
          </w:p>
        </w:tc>
      </w:tr>
    </w:tbl>
    <w:p w14:paraId="4E3065EE" w14:textId="77777777" w:rsidR="00953FD2" w:rsidRDefault="00953FD2"/>
    <w:p w14:paraId="31C333A7" w14:textId="77777777" w:rsidR="00953FD2" w:rsidRDefault="00000000">
      <w:pPr>
        <w:spacing w:before="80" w:after="80"/>
      </w:pPr>
      <w:r>
        <w:t>The six raw columns in the dataset are: Date, Open, High, Low, Close, and Volume. The target variable was engineered as the next-day closing price (</w:t>
      </w:r>
      <w:proofErr w:type="spellStart"/>
      <w:r>
        <w:t>Close.shift</w:t>
      </w:r>
      <w:proofErr w:type="spellEnd"/>
      <w:r>
        <w:t>(-1)), making this a supervised regression problem.</w:t>
      </w:r>
    </w:p>
    <w:p w14:paraId="28A15F7E" w14:textId="77777777" w:rsidR="00953FD2" w:rsidRDefault="00953FD2">
      <w:pPr>
        <w:pBdr>
          <w:bottom w:val="single" w:sz="4" w:space="1" w:color="CCCCCC"/>
        </w:pBdr>
        <w:spacing w:before="120" w:after="120"/>
      </w:pPr>
    </w:p>
    <w:p w14:paraId="51D925BC" w14:textId="77777777" w:rsidR="00953FD2" w:rsidRDefault="00000000">
      <w:pPr>
        <w:pStyle w:val="Heading1"/>
      </w:pPr>
      <w:r>
        <w:lastRenderedPageBreak/>
        <w:t>4. Exploratory Data Analysis (EDA)</w:t>
      </w:r>
    </w:p>
    <w:p w14:paraId="128989A5" w14:textId="77777777" w:rsidR="00953FD2" w:rsidRDefault="00000000">
      <w:pPr>
        <w:pStyle w:val="Heading2"/>
      </w:pPr>
      <w:r>
        <w:t>4.1 Price History &amp; Volume</w:t>
      </w:r>
    </w:p>
    <w:p w14:paraId="41724B72" w14:textId="77777777" w:rsidR="00953FD2" w:rsidRDefault="00000000">
      <w:pPr>
        <w:pStyle w:val="ListParagraph"/>
        <w:numPr>
          <w:ilvl w:val="0"/>
          <w:numId w:val="2"/>
        </w:numPr>
        <w:spacing w:before="60" w:after="60"/>
      </w:pPr>
      <w:r>
        <w:t>AAPL showed strong overall upward price momentum over the 5-year period from 2019 to 2024.</w:t>
      </w:r>
    </w:p>
    <w:p w14:paraId="58C51959" w14:textId="77777777" w:rsidR="00953FD2" w:rsidRDefault="00000000">
      <w:pPr>
        <w:pStyle w:val="ListParagraph"/>
        <w:numPr>
          <w:ilvl w:val="0"/>
          <w:numId w:val="2"/>
        </w:numPr>
        <w:spacing w:before="60" w:after="60"/>
      </w:pPr>
      <w:r>
        <w:t>Volume spikes were visible around major earnings announcements and macroeconomic events such as the COVID-19 market crash in early 2020.</w:t>
      </w:r>
    </w:p>
    <w:p w14:paraId="1C6A495F" w14:textId="77777777" w:rsidR="00953FD2" w:rsidRDefault="00000000">
      <w:pPr>
        <w:pStyle w:val="ListParagraph"/>
        <w:numPr>
          <w:ilvl w:val="0"/>
          <w:numId w:val="2"/>
        </w:numPr>
        <w:spacing w:before="60" w:after="60"/>
      </w:pPr>
      <w:r>
        <w:t>The High-Low spread (daily range) widened significantly during periods of high volatility, particularly in 2020 and 2022.</w:t>
      </w:r>
    </w:p>
    <w:p w14:paraId="348D736A" w14:textId="77777777" w:rsidR="00953FD2" w:rsidRDefault="00953FD2"/>
    <w:p w14:paraId="3191824D" w14:textId="77777777" w:rsidR="00953FD2" w:rsidRDefault="00000000">
      <w:pPr>
        <w:pStyle w:val="Heading2"/>
      </w:pPr>
      <w:r>
        <w:t>4.2 Correlation Analysis</w:t>
      </w:r>
    </w:p>
    <w:p w14:paraId="364080D1" w14:textId="77777777" w:rsidR="00953FD2" w:rsidRDefault="00000000">
      <w:pPr>
        <w:pStyle w:val="ListParagraph"/>
        <w:numPr>
          <w:ilvl w:val="0"/>
          <w:numId w:val="2"/>
        </w:numPr>
        <w:spacing w:before="60" w:after="60"/>
      </w:pPr>
      <w:r>
        <w:t>Open, High, Low, and Close prices are nearly perfectly correlated (r &gt; 0.99) — this is expected as daily prices rarely deviate dramatically from each other.</w:t>
      </w:r>
    </w:p>
    <w:p w14:paraId="639A9848" w14:textId="77777777" w:rsidR="00953FD2" w:rsidRDefault="00000000">
      <w:pPr>
        <w:pStyle w:val="ListParagraph"/>
        <w:numPr>
          <w:ilvl w:val="0"/>
          <w:numId w:val="2"/>
        </w:numPr>
        <w:spacing w:before="60" w:after="60"/>
      </w:pPr>
      <w:r>
        <w:t>Volume has a low or negative correlation with price columns, meaning it carries independent information useful for the model.</w:t>
      </w:r>
    </w:p>
    <w:p w14:paraId="3CD0F180" w14:textId="77777777" w:rsidR="00953FD2" w:rsidRDefault="00000000">
      <w:pPr>
        <w:pStyle w:val="ListParagraph"/>
        <w:numPr>
          <w:ilvl w:val="0"/>
          <w:numId w:val="2"/>
        </w:numPr>
        <w:spacing w:before="60" w:after="60"/>
      </w:pPr>
      <w:r>
        <w:t>This near-perfect OHLC correlation means the engineered technical indicators and Volume carry most of the unique predictive signal.</w:t>
      </w:r>
    </w:p>
    <w:p w14:paraId="36CD9231" w14:textId="77777777" w:rsidR="00953FD2" w:rsidRDefault="00953FD2">
      <w:pPr>
        <w:pBdr>
          <w:bottom w:val="single" w:sz="4" w:space="1" w:color="CCCCCC"/>
        </w:pBdr>
        <w:spacing w:before="120" w:after="120"/>
      </w:pPr>
    </w:p>
    <w:p w14:paraId="076E41B6" w14:textId="77777777" w:rsidR="00953FD2" w:rsidRDefault="00000000">
      <w:pPr>
        <w:pStyle w:val="Heading1"/>
      </w:pPr>
      <w:r>
        <w:t>5. Feature Engineering</w:t>
      </w:r>
    </w:p>
    <w:p w14:paraId="2BDBA9C7" w14:textId="77777777" w:rsidR="00953FD2" w:rsidRDefault="00000000">
      <w:pPr>
        <w:spacing w:before="80" w:after="80"/>
      </w:pPr>
      <w:r>
        <w:t>Raw OHLCV prices alone are insufficient for a model to learn momentum, trend direction, or volatility. Technical indicators were engineered to encode these patterns mathematically:</w:t>
      </w:r>
    </w:p>
    <w:p w14:paraId="250CF5C9" w14:textId="77777777" w:rsidR="00953FD2" w:rsidRDefault="00953FD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2360"/>
        <w:gridCol w:w="3200"/>
      </w:tblGrid>
      <w:tr w:rsidR="00953FD2" w14:paraId="505864A1" w14:textId="77777777">
        <w:tblPrEx>
          <w:tblCellMar>
            <w:top w:w="0" w:type="dxa"/>
            <w:bottom w:w="0" w:type="dxa"/>
          </w:tblCellMar>
        </w:tblPrEx>
        <w:trPr>
          <w:tblHeader/>
        </w:trPr>
        <w:tc>
          <w:tcPr>
            <w:tcW w:w="2000" w:type="dxa"/>
            <w:tcBorders>
              <w:top w:val="single" w:sz="1" w:space="0" w:color="1E6B4A"/>
              <w:left w:val="single" w:sz="1" w:space="0" w:color="1E6B4A"/>
              <w:bottom w:val="single" w:sz="1" w:space="0" w:color="1E6B4A"/>
              <w:right w:val="single" w:sz="1" w:space="0" w:color="1E6B4A"/>
            </w:tcBorders>
            <w:shd w:val="clear" w:color="auto" w:fill="1E6B4A"/>
            <w:tcMar>
              <w:top w:w="100" w:type="dxa"/>
              <w:left w:w="150" w:type="dxa"/>
              <w:bottom w:w="100" w:type="dxa"/>
              <w:right w:w="150" w:type="dxa"/>
            </w:tcMar>
            <w:vAlign w:val="center"/>
          </w:tcPr>
          <w:p w14:paraId="7D3DE639" w14:textId="77777777" w:rsidR="00953FD2" w:rsidRDefault="00000000">
            <w:pPr>
              <w:jc w:val="center"/>
            </w:pPr>
            <w:r>
              <w:rPr>
                <w:b/>
                <w:bCs/>
                <w:color w:val="FFFFFF"/>
                <w:sz w:val="20"/>
                <w:szCs w:val="20"/>
              </w:rPr>
              <w:t>Feature</w:t>
            </w:r>
          </w:p>
        </w:tc>
        <w:tc>
          <w:tcPr>
            <w:tcW w:w="1800" w:type="dxa"/>
            <w:tcBorders>
              <w:top w:val="single" w:sz="1" w:space="0" w:color="1E6B4A"/>
              <w:left w:val="single" w:sz="1" w:space="0" w:color="1E6B4A"/>
              <w:bottom w:val="single" w:sz="1" w:space="0" w:color="1E6B4A"/>
              <w:right w:val="single" w:sz="1" w:space="0" w:color="1E6B4A"/>
            </w:tcBorders>
            <w:shd w:val="clear" w:color="auto" w:fill="1E6B4A"/>
            <w:tcMar>
              <w:top w:w="100" w:type="dxa"/>
              <w:left w:w="150" w:type="dxa"/>
              <w:bottom w:w="100" w:type="dxa"/>
              <w:right w:w="150" w:type="dxa"/>
            </w:tcMar>
            <w:vAlign w:val="center"/>
          </w:tcPr>
          <w:p w14:paraId="4AB6207A" w14:textId="77777777" w:rsidR="00953FD2" w:rsidRDefault="00000000">
            <w:pPr>
              <w:jc w:val="center"/>
            </w:pPr>
            <w:r>
              <w:rPr>
                <w:b/>
                <w:bCs/>
                <w:color w:val="FFFFFF"/>
                <w:sz w:val="20"/>
                <w:szCs w:val="20"/>
              </w:rPr>
              <w:t>Type</w:t>
            </w:r>
          </w:p>
        </w:tc>
        <w:tc>
          <w:tcPr>
            <w:tcW w:w="2360" w:type="dxa"/>
            <w:tcBorders>
              <w:top w:val="single" w:sz="1" w:space="0" w:color="1E6B4A"/>
              <w:left w:val="single" w:sz="1" w:space="0" w:color="1E6B4A"/>
              <w:bottom w:val="single" w:sz="1" w:space="0" w:color="1E6B4A"/>
              <w:right w:val="single" w:sz="1" w:space="0" w:color="1E6B4A"/>
            </w:tcBorders>
            <w:shd w:val="clear" w:color="auto" w:fill="1E6B4A"/>
            <w:tcMar>
              <w:top w:w="100" w:type="dxa"/>
              <w:left w:w="150" w:type="dxa"/>
              <w:bottom w:w="100" w:type="dxa"/>
              <w:right w:w="150" w:type="dxa"/>
            </w:tcMar>
            <w:vAlign w:val="center"/>
          </w:tcPr>
          <w:p w14:paraId="4808C741" w14:textId="77777777" w:rsidR="00953FD2" w:rsidRDefault="00000000">
            <w:pPr>
              <w:jc w:val="center"/>
            </w:pPr>
            <w:r>
              <w:rPr>
                <w:b/>
                <w:bCs/>
                <w:color w:val="FFFFFF"/>
                <w:sz w:val="20"/>
                <w:szCs w:val="20"/>
              </w:rPr>
              <w:t>Formula</w:t>
            </w:r>
          </w:p>
        </w:tc>
        <w:tc>
          <w:tcPr>
            <w:tcW w:w="3200" w:type="dxa"/>
            <w:tcBorders>
              <w:top w:val="single" w:sz="1" w:space="0" w:color="1E6B4A"/>
              <w:left w:val="single" w:sz="1" w:space="0" w:color="1E6B4A"/>
              <w:bottom w:val="single" w:sz="1" w:space="0" w:color="1E6B4A"/>
              <w:right w:val="single" w:sz="1" w:space="0" w:color="1E6B4A"/>
            </w:tcBorders>
            <w:shd w:val="clear" w:color="auto" w:fill="1E6B4A"/>
            <w:tcMar>
              <w:top w:w="100" w:type="dxa"/>
              <w:left w:w="150" w:type="dxa"/>
              <w:bottom w:w="100" w:type="dxa"/>
              <w:right w:w="150" w:type="dxa"/>
            </w:tcMar>
            <w:vAlign w:val="center"/>
          </w:tcPr>
          <w:p w14:paraId="13D0E7C6" w14:textId="77777777" w:rsidR="00953FD2" w:rsidRDefault="00000000">
            <w:pPr>
              <w:jc w:val="center"/>
            </w:pPr>
            <w:r>
              <w:rPr>
                <w:b/>
                <w:bCs/>
                <w:color w:val="FFFFFF"/>
                <w:sz w:val="20"/>
                <w:szCs w:val="20"/>
              </w:rPr>
              <w:t>What It Captures</w:t>
            </w:r>
          </w:p>
        </w:tc>
      </w:tr>
      <w:tr w:rsidR="00953FD2" w14:paraId="0C3CB08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A195C30" w14:textId="77777777" w:rsidR="00953FD2" w:rsidRDefault="00000000">
            <w:r>
              <w:rPr>
                <w:sz w:val="20"/>
                <w:szCs w:val="20"/>
              </w:rPr>
              <w:t>SMA_20, SMA_50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9F28643" w14:textId="77777777" w:rsidR="00953FD2" w:rsidRDefault="00000000">
            <w:r>
              <w:rPr>
                <w:sz w:val="20"/>
                <w:szCs w:val="20"/>
              </w:rPr>
              <w:t>Trend</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815969A" w14:textId="77777777" w:rsidR="00953FD2" w:rsidRDefault="00000000">
            <w:r>
              <w:rPr>
                <w:sz w:val="20"/>
                <w:szCs w:val="20"/>
              </w:rPr>
              <w:t>20/50-day rolling mean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F3F58C1" w14:textId="77777777" w:rsidR="00953FD2" w:rsidRDefault="00000000">
            <w:r>
              <w:rPr>
                <w:sz w:val="20"/>
                <w:szCs w:val="20"/>
              </w:rPr>
              <w:t>Short &amp; long-term trend direction</w:t>
            </w:r>
          </w:p>
        </w:tc>
      </w:tr>
      <w:tr w:rsidR="00953FD2" w14:paraId="3D6E37A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4EE"/>
            <w:tcMar>
              <w:top w:w="100" w:type="dxa"/>
              <w:left w:w="150" w:type="dxa"/>
              <w:bottom w:w="100" w:type="dxa"/>
              <w:right w:w="150" w:type="dxa"/>
            </w:tcMar>
          </w:tcPr>
          <w:p w14:paraId="0F4D8277" w14:textId="77777777" w:rsidR="00953FD2" w:rsidRDefault="00000000">
            <w:r>
              <w:rPr>
                <w:sz w:val="20"/>
                <w:szCs w:val="20"/>
              </w:rPr>
              <w:t>EMA_12, EMA_26</w:t>
            </w:r>
          </w:p>
        </w:tc>
        <w:tc>
          <w:tcPr>
            <w:tcW w:w="1800" w:type="dxa"/>
            <w:tcBorders>
              <w:top w:val="single" w:sz="1" w:space="0" w:color="CCCCCC"/>
              <w:left w:val="single" w:sz="1" w:space="0" w:color="CCCCCC"/>
              <w:bottom w:val="single" w:sz="1" w:space="0" w:color="CCCCCC"/>
              <w:right w:val="single" w:sz="1" w:space="0" w:color="CCCCCC"/>
            </w:tcBorders>
            <w:shd w:val="clear" w:color="auto" w:fill="EAF4EE"/>
            <w:tcMar>
              <w:top w:w="100" w:type="dxa"/>
              <w:left w:w="150" w:type="dxa"/>
              <w:bottom w:w="100" w:type="dxa"/>
              <w:right w:w="150" w:type="dxa"/>
            </w:tcMar>
          </w:tcPr>
          <w:p w14:paraId="2B92CB06" w14:textId="77777777" w:rsidR="00953FD2" w:rsidRDefault="00000000">
            <w:r>
              <w:rPr>
                <w:sz w:val="20"/>
                <w:szCs w:val="20"/>
              </w:rPr>
              <w:t>Trend</w:t>
            </w:r>
          </w:p>
        </w:tc>
        <w:tc>
          <w:tcPr>
            <w:tcW w:w="2360" w:type="dxa"/>
            <w:tcBorders>
              <w:top w:val="single" w:sz="1" w:space="0" w:color="CCCCCC"/>
              <w:left w:val="single" w:sz="1" w:space="0" w:color="CCCCCC"/>
              <w:bottom w:val="single" w:sz="1" w:space="0" w:color="CCCCCC"/>
              <w:right w:val="single" w:sz="1" w:space="0" w:color="CCCCCC"/>
            </w:tcBorders>
            <w:shd w:val="clear" w:color="auto" w:fill="EAF4EE"/>
            <w:tcMar>
              <w:top w:w="100" w:type="dxa"/>
              <w:left w:w="150" w:type="dxa"/>
              <w:bottom w:w="100" w:type="dxa"/>
              <w:right w:w="150" w:type="dxa"/>
            </w:tcMar>
          </w:tcPr>
          <w:p w14:paraId="39837D12" w14:textId="77777777" w:rsidR="00953FD2" w:rsidRDefault="00000000">
            <w:r>
              <w:rPr>
                <w:sz w:val="20"/>
                <w:szCs w:val="20"/>
              </w:rPr>
              <w:t>Exponentially weighted avg</w:t>
            </w:r>
          </w:p>
        </w:tc>
        <w:tc>
          <w:tcPr>
            <w:tcW w:w="3200" w:type="dxa"/>
            <w:tcBorders>
              <w:top w:val="single" w:sz="1" w:space="0" w:color="CCCCCC"/>
              <w:left w:val="single" w:sz="1" w:space="0" w:color="CCCCCC"/>
              <w:bottom w:val="single" w:sz="1" w:space="0" w:color="CCCCCC"/>
              <w:right w:val="single" w:sz="1" w:space="0" w:color="CCCCCC"/>
            </w:tcBorders>
            <w:shd w:val="clear" w:color="auto" w:fill="EAF4EE"/>
            <w:tcMar>
              <w:top w:w="100" w:type="dxa"/>
              <w:left w:w="150" w:type="dxa"/>
              <w:bottom w:w="100" w:type="dxa"/>
              <w:right w:w="150" w:type="dxa"/>
            </w:tcMar>
          </w:tcPr>
          <w:p w14:paraId="0461F7DB" w14:textId="77777777" w:rsidR="00953FD2" w:rsidRDefault="00000000">
            <w:r>
              <w:rPr>
                <w:sz w:val="20"/>
                <w:szCs w:val="20"/>
              </w:rPr>
              <w:t>Recent price momentum (weighted)</w:t>
            </w:r>
          </w:p>
        </w:tc>
      </w:tr>
      <w:tr w:rsidR="00953FD2" w14:paraId="55D493E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859796D" w14:textId="77777777" w:rsidR="00953FD2" w:rsidRDefault="00000000">
            <w:r>
              <w:rPr>
                <w:sz w:val="20"/>
                <w:szCs w:val="20"/>
              </w:rPr>
              <w:t>MACD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B942530" w14:textId="77777777" w:rsidR="00953FD2" w:rsidRDefault="00000000">
            <w:r>
              <w:rPr>
                <w:sz w:val="20"/>
                <w:szCs w:val="20"/>
              </w:rPr>
              <w:t>Momentum</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D636D10" w14:textId="77777777" w:rsidR="00953FD2" w:rsidRDefault="00000000">
            <w:r>
              <w:rPr>
                <w:sz w:val="20"/>
                <w:szCs w:val="20"/>
              </w:rPr>
              <w:t>EMA_12 minus EMA_26</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A5BFBB8" w14:textId="77777777" w:rsidR="00953FD2" w:rsidRDefault="00000000">
            <w:r>
              <w:rPr>
                <w:sz w:val="20"/>
                <w:szCs w:val="20"/>
              </w:rPr>
              <w:t>Trend crossover signal</w:t>
            </w:r>
          </w:p>
        </w:tc>
      </w:tr>
      <w:tr w:rsidR="00953FD2" w14:paraId="4BEB6BB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4EE"/>
            <w:tcMar>
              <w:top w:w="100" w:type="dxa"/>
              <w:left w:w="150" w:type="dxa"/>
              <w:bottom w:w="100" w:type="dxa"/>
              <w:right w:w="150" w:type="dxa"/>
            </w:tcMar>
          </w:tcPr>
          <w:p w14:paraId="573A67B2" w14:textId="77777777" w:rsidR="00953FD2" w:rsidRDefault="00000000">
            <w:proofErr w:type="spellStart"/>
            <w:r>
              <w:rPr>
                <w:sz w:val="20"/>
                <w:szCs w:val="20"/>
              </w:rPr>
              <w:t>BB_upper</w:t>
            </w:r>
            <w:proofErr w:type="spellEnd"/>
            <w:r>
              <w:rPr>
                <w:sz w:val="20"/>
                <w:szCs w:val="20"/>
              </w:rPr>
              <w:t>/lower</w:t>
            </w:r>
          </w:p>
        </w:tc>
        <w:tc>
          <w:tcPr>
            <w:tcW w:w="1800" w:type="dxa"/>
            <w:tcBorders>
              <w:top w:val="single" w:sz="1" w:space="0" w:color="CCCCCC"/>
              <w:left w:val="single" w:sz="1" w:space="0" w:color="CCCCCC"/>
              <w:bottom w:val="single" w:sz="1" w:space="0" w:color="CCCCCC"/>
              <w:right w:val="single" w:sz="1" w:space="0" w:color="CCCCCC"/>
            </w:tcBorders>
            <w:shd w:val="clear" w:color="auto" w:fill="EAF4EE"/>
            <w:tcMar>
              <w:top w:w="100" w:type="dxa"/>
              <w:left w:w="150" w:type="dxa"/>
              <w:bottom w:w="100" w:type="dxa"/>
              <w:right w:w="150" w:type="dxa"/>
            </w:tcMar>
          </w:tcPr>
          <w:p w14:paraId="76A8F7A5" w14:textId="77777777" w:rsidR="00953FD2" w:rsidRDefault="00000000">
            <w:r>
              <w:rPr>
                <w:sz w:val="20"/>
                <w:szCs w:val="20"/>
              </w:rPr>
              <w:t>Volatility</w:t>
            </w:r>
          </w:p>
        </w:tc>
        <w:tc>
          <w:tcPr>
            <w:tcW w:w="2360" w:type="dxa"/>
            <w:tcBorders>
              <w:top w:val="single" w:sz="1" w:space="0" w:color="CCCCCC"/>
              <w:left w:val="single" w:sz="1" w:space="0" w:color="CCCCCC"/>
              <w:bottom w:val="single" w:sz="1" w:space="0" w:color="CCCCCC"/>
              <w:right w:val="single" w:sz="1" w:space="0" w:color="CCCCCC"/>
            </w:tcBorders>
            <w:shd w:val="clear" w:color="auto" w:fill="EAF4EE"/>
            <w:tcMar>
              <w:top w:w="100" w:type="dxa"/>
              <w:left w:w="150" w:type="dxa"/>
              <w:bottom w:w="100" w:type="dxa"/>
              <w:right w:w="150" w:type="dxa"/>
            </w:tcMar>
          </w:tcPr>
          <w:p w14:paraId="4B3168EE" w14:textId="77777777" w:rsidR="00953FD2" w:rsidRDefault="00000000">
            <w:r>
              <w:rPr>
                <w:sz w:val="20"/>
                <w:szCs w:val="20"/>
              </w:rPr>
              <w:t>Mean +/- 2 * std (20-day)</w:t>
            </w:r>
          </w:p>
        </w:tc>
        <w:tc>
          <w:tcPr>
            <w:tcW w:w="3200" w:type="dxa"/>
            <w:tcBorders>
              <w:top w:val="single" w:sz="1" w:space="0" w:color="CCCCCC"/>
              <w:left w:val="single" w:sz="1" w:space="0" w:color="CCCCCC"/>
              <w:bottom w:val="single" w:sz="1" w:space="0" w:color="CCCCCC"/>
              <w:right w:val="single" w:sz="1" w:space="0" w:color="CCCCCC"/>
            </w:tcBorders>
            <w:shd w:val="clear" w:color="auto" w:fill="EAF4EE"/>
            <w:tcMar>
              <w:top w:w="100" w:type="dxa"/>
              <w:left w:w="150" w:type="dxa"/>
              <w:bottom w:w="100" w:type="dxa"/>
              <w:right w:w="150" w:type="dxa"/>
            </w:tcMar>
          </w:tcPr>
          <w:p w14:paraId="41935332" w14:textId="77777777" w:rsidR="00953FD2" w:rsidRDefault="00000000">
            <w:r>
              <w:rPr>
                <w:sz w:val="20"/>
                <w:szCs w:val="20"/>
              </w:rPr>
              <w:t>Price breakout boundaries</w:t>
            </w:r>
          </w:p>
        </w:tc>
      </w:tr>
      <w:tr w:rsidR="00953FD2" w14:paraId="7CAA19F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1915C46" w14:textId="77777777" w:rsidR="00953FD2" w:rsidRDefault="00000000">
            <w:proofErr w:type="spellStart"/>
            <w:r>
              <w:rPr>
                <w:sz w:val="20"/>
                <w:szCs w:val="20"/>
              </w:rPr>
              <w:t>BB_width</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08DB3C2" w14:textId="77777777" w:rsidR="00953FD2" w:rsidRDefault="00000000">
            <w:r>
              <w:rPr>
                <w:sz w:val="20"/>
                <w:szCs w:val="20"/>
              </w:rPr>
              <w:t>Volatility</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735FA82" w14:textId="77777777" w:rsidR="00953FD2" w:rsidRDefault="00000000">
            <w:r>
              <w:rPr>
                <w:sz w:val="20"/>
                <w:szCs w:val="20"/>
              </w:rPr>
              <w:t>Upper minus Lower band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CD82FAF" w14:textId="77777777" w:rsidR="00953FD2" w:rsidRDefault="00000000">
            <w:r>
              <w:rPr>
                <w:sz w:val="20"/>
                <w:szCs w:val="20"/>
              </w:rPr>
              <w:t>Market volatility level</w:t>
            </w:r>
          </w:p>
        </w:tc>
      </w:tr>
      <w:tr w:rsidR="00953FD2" w14:paraId="4ED3FAA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4EE"/>
            <w:tcMar>
              <w:top w:w="100" w:type="dxa"/>
              <w:left w:w="150" w:type="dxa"/>
              <w:bottom w:w="100" w:type="dxa"/>
              <w:right w:w="150" w:type="dxa"/>
            </w:tcMar>
          </w:tcPr>
          <w:p w14:paraId="24B357A6" w14:textId="77777777" w:rsidR="00953FD2" w:rsidRDefault="00000000">
            <w:r>
              <w:rPr>
                <w:sz w:val="20"/>
                <w:szCs w:val="20"/>
              </w:rPr>
              <w:t>RSI</w:t>
            </w:r>
          </w:p>
        </w:tc>
        <w:tc>
          <w:tcPr>
            <w:tcW w:w="1800" w:type="dxa"/>
            <w:tcBorders>
              <w:top w:val="single" w:sz="1" w:space="0" w:color="CCCCCC"/>
              <w:left w:val="single" w:sz="1" w:space="0" w:color="CCCCCC"/>
              <w:bottom w:val="single" w:sz="1" w:space="0" w:color="CCCCCC"/>
              <w:right w:val="single" w:sz="1" w:space="0" w:color="CCCCCC"/>
            </w:tcBorders>
            <w:shd w:val="clear" w:color="auto" w:fill="EAF4EE"/>
            <w:tcMar>
              <w:top w:w="100" w:type="dxa"/>
              <w:left w:w="150" w:type="dxa"/>
              <w:bottom w:w="100" w:type="dxa"/>
              <w:right w:w="150" w:type="dxa"/>
            </w:tcMar>
          </w:tcPr>
          <w:p w14:paraId="0F364E41" w14:textId="77777777" w:rsidR="00953FD2" w:rsidRDefault="00000000">
            <w:r>
              <w:rPr>
                <w:sz w:val="20"/>
                <w:szCs w:val="20"/>
              </w:rPr>
              <w:t>Momentum</w:t>
            </w:r>
          </w:p>
        </w:tc>
        <w:tc>
          <w:tcPr>
            <w:tcW w:w="2360" w:type="dxa"/>
            <w:tcBorders>
              <w:top w:val="single" w:sz="1" w:space="0" w:color="CCCCCC"/>
              <w:left w:val="single" w:sz="1" w:space="0" w:color="CCCCCC"/>
              <w:bottom w:val="single" w:sz="1" w:space="0" w:color="CCCCCC"/>
              <w:right w:val="single" w:sz="1" w:space="0" w:color="CCCCCC"/>
            </w:tcBorders>
            <w:shd w:val="clear" w:color="auto" w:fill="EAF4EE"/>
            <w:tcMar>
              <w:top w:w="100" w:type="dxa"/>
              <w:left w:w="150" w:type="dxa"/>
              <w:bottom w:w="100" w:type="dxa"/>
              <w:right w:w="150" w:type="dxa"/>
            </w:tcMar>
          </w:tcPr>
          <w:p w14:paraId="3164CA03" w14:textId="77777777" w:rsidR="00953FD2" w:rsidRDefault="00000000">
            <w:r>
              <w:rPr>
                <w:sz w:val="20"/>
                <w:szCs w:val="20"/>
              </w:rPr>
              <w:t>100 - 100/(1+gain/loss)</w:t>
            </w:r>
          </w:p>
        </w:tc>
        <w:tc>
          <w:tcPr>
            <w:tcW w:w="3200" w:type="dxa"/>
            <w:tcBorders>
              <w:top w:val="single" w:sz="1" w:space="0" w:color="CCCCCC"/>
              <w:left w:val="single" w:sz="1" w:space="0" w:color="CCCCCC"/>
              <w:bottom w:val="single" w:sz="1" w:space="0" w:color="CCCCCC"/>
              <w:right w:val="single" w:sz="1" w:space="0" w:color="CCCCCC"/>
            </w:tcBorders>
            <w:shd w:val="clear" w:color="auto" w:fill="EAF4EE"/>
            <w:tcMar>
              <w:top w:w="100" w:type="dxa"/>
              <w:left w:w="150" w:type="dxa"/>
              <w:bottom w:w="100" w:type="dxa"/>
              <w:right w:w="150" w:type="dxa"/>
            </w:tcMar>
          </w:tcPr>
          <w:p w14:paraId="02A6A9FD" w14:textId="77777777" w:rsidR="00953FD2" w:rsidRDefault="00000000">
            <w:r>
              <w:rPr>
                <w:sz w:val="20"/>
                <w:szCs w:val="20"/>
              </w:rPr>
              <w:t>Overbought (&gt;70) / Oversold (&lt;30)</w:t>
            </w:r>
          </w:p>
        </w:tc>
      </w:tr>
      <w:tr w:rsidR="00953FD2" w14:paraId="1F0C21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5444EF6" w14:textId="77777777" w:rsidR="00953FD2" w:rsidRDefault="00000000">
            <w:r>
              <w:rPr>
                <w:sz w:val="20"/>
                <w:szCs w:val="20"/>
              </w:rPr>
              <w:t>Close_lag_1..20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895FFDF" w14:textId="77777777" w:rsidR="00953FD2" w:rsidRDefault="00000000">
            <w:r>
              <w:rPr>
                <w:sz w:val="20"/>
                <w:szCs w:val="20"/>
              </w:rPr>
              <w:t>Lag</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D85D2F2" w14:textId="77777777" w:rsidR="00953FD2" w:rsidRDefault="00000000">
            <w:proofErr w:type="spellStart"/>
            <w:r>
              <w:rPr>
                <w:sz w:val="20"/>
                <w:szCs w:val="20"/>
              </w:rPr>
              <w:t>Close.shift</w:t>
            </w:r>
            <w:proofErr w:type="spellEnd"/>
            <w:r>
              <w:rPr>
                <w:sz w:val="20"/>
                <w:szCs w:val="20"/>
              </w:rPr>
              <w:t>(N)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1FA6BF4" w14:textId="77777777" w:rsidR="00953FD2" w:rsidRDefault="00000000">
            <w:r>
              <w:rPr>
                <w:sz w:val="20"/>
                <w:szCs w:val="20"/>
              </w:rPr>
              <w:t>Historical prices as direct inputs</w:t>
            </w:r>
          </w:p>
        </w:tc>
      </w:tr>
      <w:tr w:rsidR="00953FD2" w14:paraId="116302B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4EE"/>
            <w:tcMar>
              <w:top w:w="100" w:type="dxa"/>
              <w:left w:w="150" w:type="dxa"/>
              <w:bottom w:w="100" w:type="dxa"/>
              <w:right w:w="150" w:type="dxa"/>
            </w:tcMar>
          </w:tcPr>
          <w:p w14:paraId="2F6FAA4A" w14:textId="77777777" w:rsidR="00953FD2" w:rsidRDefault="00000000">
            <w:proofErr w:type="spellStart"/>
            <w:r>
              <w:rPr>
                <w:sz w:val="20"/>
                <w:szCs w:val="20"/>
              </w:rPr>
              <w:t>Daily_Return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AF4EE"/>
            <w:tcMar>
              <w:top w:w="100" w:type="dxa"/>
              <w:left w:w="150" w:type="dxa"/>
              <w:bottom w:w="100" w:type="dxa"/>
              <w:right w:w="150" w:type="dxa"/>
            </w:tcMar>
          </w:tcPr>
          <w:p w14:paraId="69E495B9" w14:textId="77777777" w:rsidR="00953FD2" w:rsidRDefault="00000000">
            <w:r>
              <w:rPr>
                <w:sz w:val="20"/>
                <w:szCs w:val="20"/>
              </w:rPr>
              <w:t>Return</w:t>
            </w:r>
          </w:p>
        </w:tc>
        <w:tc>
          <w:tcPr>
            <w:tcW w:w="2360" w:type="dxa"/>
            <w:tcBorders>
              <w:top w:val="single" w:sz="1" w:space="0" w:color="CCCCCC"/>
              <w:left w:val="single" w:sz="1" w:space="0" w:color="CCCCCC"/>
              <w:bottom w:val="single" w:sz="1" w:space="0" w:color="CCCCCC"/>
              <w:right w:val="single" w:sz="1" w:space="0" w:color="CCCCCC"/>
            </w:tcBorders>
            <w:shd w:val="clear" w:color="auto" w:fill="EAF4EE"/>
            <w:tcMar>
              <w:top w:w="100" w:type="dxa"/>
              <w:left w:w="150" w:type="dxa"/>
              <w:bottom w:w="100" w:type="dxa"/>
              <w:right w:w="150" w:type="dxa"/>
            </w:tcMar>
          </w:tcPr>
          <w:p w14:paraId="0150C6EF" w14:textId="77777777" w:rsidR="00953FD2" w:rsidRDefault="00000000">
            <w:proofErr w:type="spellStart"/>
            <w:r>
              <w:rPr>
                <w:sz w:val="20"/>
                <w:szCs w:val="20"/>
              </w:rPr>
              <w:t>Close.pct_change</w:t>
            </w:r>
            <w:proofErr w:type="spellEnd"/>
            <w:r>
              <w:rPr>
                <w:sz w:val="20"/>
                <w:szCs w:val="20"/>
              </w:rPr>
              <w:t>()</w:t>
            </w:r>
          </w:p>
        </w:tc>
        <w:tc>
          <w:tcPr>
            <w:tcW w:w="3200" w:type="dxa"/>
            <w:tcBorders>
              <w:top w:val="single" w:sz="1" w:space="0" w:color="CCCCCC"/>
              <w:left w:val="single" w:sz="1" w:space="0" w:color="CCCCCC"/>
              <w:bottom w:val="single" w:sz="1" w:space="0" w:color="CCCCCC"/>
              <w:right w:val="single" w:sz="1" w:space="0" w:color="CCCCCC"/>
            </w:tcBorders>
            <w:shd w:val="clear" w:color="auto" w:fill="EAF4EE"/>
            <w:tcMar>
              <w:top w:w="100" w:type="dxa"/>
              <w:left w:w="150" w:type="dxa"/>
              <w:bottom w:w="100" w:type="dxa"/>
              <w:right w:w="150" w:type="dxa"/>
            </w:tcMar>
          </w:tcPr>
          <w:p w14:paraId="12EC6172" w14:textId="77777777" w:rsidR="00953FD2" w:rsidRDefault="00000000">
            <w:r>
              <w:rPr>
                <w:sz w:val="20"/>
                <w:szCs w:val="20"/>
              </w:rPr>
              <w:t>Day-over-day % price change</w:t>
            </w:r>
          </w:p>
        </w:tc>
      </w:tr>
      <w:tr w:rsidR="00953FD2" w14:paraId="2BFC923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E6D1E6F" w14:textId="77777777" w:rsidR="00953FD2" w:rsidRDefault="00000000">
            <w:proofErr w:type="spellStart"/>
            <w:r>
              <w:rPr>
                <w:sz w:val="20"/>
                <w:szCs w:val="20"/>
              </w:rPr>
              <w:t>HL_Spread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B355DA1" w14:textId="77777777" w:rsidR="00953FD2" w:rsidRDefault="00000000">
            <w:r>
              <w:rPr>
                <w:sz w:val="20"/>
                <w:szCs w:val="20"/>
              </w:rPr>
              <w:t>Volatility</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955CEC1" w14:textId="77777777" w:rsidR="00953FD2" w:rsidRDefault="00000000">
            <w:r>
              <w:rPr>
                <w:sz w:val="20"/>
                <w:szCs w:val="20"/>
              </w:rPr>
              <w:t>High minus Low</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BE99B6D" w14:textId="77777777" w:rsidR="00953FD2" w:rsidRDefault="00000000">
            <w:r>
              <w:rPr>
                <w:sz w:val="20"/>
                <w:szCs w:val="20"/>
              </w:rPr>
              <w:t>Intraday price range</w:t>
            </w:r>
          </w:p>
        </w:tc>
      </w:tr>
    </w:tbl>
    <w:p w14:paraId="13823E38" w14:textId="77777777" w:rsidR="00953FD2" w:rsidRDefault="00953FD2"/>
    <w:p w14:paraId="0699B5F3" w14:textId="77777777" w:rsidR="00953FD2" w:rsidRDefault="00000000">
      <w:pPr>
        <w:spacing w:before="80" w:after="80"/>
      </w:pPr>
      <w:r>
        <w:t xml:space="preserve">After feature engineering, rows containing </w:t>
      </w:r>
      <w:proofErr w:type="spellStart"/>
      <w:r>
        <w:t>NaN</w:t>
      </w:r>
      <w:proofErr w:type="spellEnd"/>
      <w:r>
        <w:t xml:space="preserve"> values caused by rolling windows were dropped. The final dataset retained sufficient rows for robust training and testing.</w:t>
      </w:r>
    </w:p>
    <w:p w14:paraId="51E5E951" w14:textId="77777777" w:rsidR="00953FD2" w:rsidRDefault="00953FD2">
      <w:pPr>
        <w:pBdr>
          <w:bottom w:val="single" w:sz="4" w:space="1" w:color="CCCCCC"/>
        </w:pBdr>
        <w:spacing w:before="120" w:after="120"/>
      </w:pPr>
    </w:p>
    <w:p w14:paraId="7C34B18C" w14:textId="77777777" w:rsidR="00953FD2" w:rsidRDefault="00000000">
      <w:pPr>
        <w:pStyle w:val="Heading1"/>
      </w:pPr>
      <w:r>
        <w:t>6. Data Preprocessing &amp; Train/Test Split</w:t>
      </w:r>
    </w:p>
    <w:p w14:paraId="0C8C41FF" w14:textId="77777777" w:rsidR="00953FD2" w:rsidRDefault="00000000">
      <w:pPr>
        <w:pStyle w:val="Heading2"/>
      </w:pPr>
      <w:r>
        <w:t>6.1 Target Variable</w:t>
      </w:r>
    </w:p>
    <w:p w14:paraId="7BCC8A1B" w14:textId="77777777" w:rsidR="00953FD2" w:rsidRDefault="00000000">
      <w:pPr>
        <w:spacing w:before="80" w:after="80"/>
      </w:pPr>
      <w:r>
        <w:t xml:space="preserve">The target variable was defined as the next day's closing price using </w:t>
      </w:r>
      <w:proofErr w:type="spellStart"/>
      <w:r>
        <w:t>Close.shift</w:t>
      </w:r>
      <w:proofErr w:type="spellEnd"/>
      <w:r>
        <w:t>(-1). This makes the problem a one-step-ahead regression task — predicting tomorrow's price from today's features.</w:t>
      </w:r>
    </w:p>
    <w:p w14:paraId="70DB3008" w14:textId="77777777" w:rsidR="00953FD2" w:rsidRDefault="00953FD2"/>
    <w:p w14:paraId="23CE976C" w14:textId="77777777" w:rsidR="00953FD2" w:rsidRDefault="00000000">
      <w:pPr>
        <w:pStyle w:val="Heading2"/>
      </w:pPr>
      <w:r>
        <w:t>6.2 Feature Scaling</w:t>
      </w:r>
    </w:p>
    <w:p w14:paraId="4793CF18" w14:textId="77777777" w:rsidR="00953FD2" w:rsidRDefault="00000000">
      <w:pPr>
        <w:spacing w:before="80" w:after="80"/>
      </w:pPr>
      <w:r>
        <w:t>MinMaxScaler was applied to scale all features to the [0, 1] range. This is critical for LSTM because its sigmoid and tanh activation functions saturate outside this range, causing vanishing gradients. Linear Regression does not require scaling but it was applied consistently.</w:t>
      </w:r>
    </w:p>
    <w:p w14:paraId="0C7CA2CA" w14:textId="77777777" w:rsidR="00953FD2" w:rsidRDefault="00000000">
      <w:pPr>
        <w:pStyle w:val="ListParagraph"/>
        <w:numPr>
          <w:ilvl w:val="0"/>
          <w:numId w:val="2"/>
        </w:numPr>
        <w:spacing w:before="60" w:after="60"/>
      </w:pPr>
      <w:proofErr w:type="spellStart"/>
      <w:r>
        <w:t>scaler_X</w:t>
      </w:r>
      <w:proofErr w:type="spellEnd"/>
      <w:r>
        <w:t>: fitted on training features, applied to both train and test sets.</w:t>
      </w:r>
    </w:p>
    <w:p w14:paraId="247DD568" w14:textId="77777777" w:rsidR="00953FD2" w:rsidRDefault="00000000">
      <w:pPr>
        <w:pStyle w:val="ListParagraph"/>
        <w:numPr>
          <w:ilvl w:val="0"/>
          <w:numId w:val="2"/>
        </w:numPr>
        <w:spacing w:before="60" w:after="60"/>
      </w:pPr>
      <w:proofErr w:type="spellStart"/>
      <w:r>
        <w:t>scaler_y</w:t>
      </w:r>
      <w:proofErr w:type="spellEnd"/>
      <w:r>
        <w:t>: fitted on training targets, used to inverse-transform LSTM predictions back to USD.</w:t>
      </w:r>
    </w:p>
    <w:p w14:paraId="0A70CF33" w14:textId="77777777" w:rsidR="00953FD2" w:rsidRDefault="00953FD2"/>
    <w:p w14:paraId="24C997E5" w14:textId="77777777" w:rsidR="00953FD2" w:rsidRDefault="00000000">
      <w:pPr>
        <w:pStyle w:val="Heading2"/>
      </w:pPr>
      <w:r>
        <w:t>6.3 Chronological Split</w:t>
      </w:r>
    </w:p>
    <w:p w14:paraId="64D4E0CA" w14:textId="77777777" w:rsidR="00953FD2" w:rsidRDefault="00000000">
      <w:pPr>
        <w:spacing w:before="80" w:after="80"/>
      </w:pPr>
      <w:r>
        <w:t>An 80/20 chronological split was applied — the first 80% of rows for training and the last 20% for testing in strict date order. Random shuffling was explicitly avoided because it would cause data leakage, where the model trains on future data and produces inflated accuracy metrics that collapse in real deployment.</w:t>
      </w:r>
    </w:p>
    <w:p w14:paraId="55C092DA" w14:textId="77777777" w:rsidR="00953FD2" w:rsidRDefault="00000000">
      <w:pPr>
        <w:pStyle w:val="ListParagraph"/>
        <w:numPr>
          <w:ilvl w:val="0"/>
          <w:numId w:val="2"/>
        </w:numPr>
        <w:spacing w:before="60" w:after="60"/>
      </w:pPr>
      <w:r>
        <w:t>Linear Regression: flat 2D arrays (samples x features).</w:t>
      </w:r>
    </w:p>
    <w:p w14:paraId="57CE9D7F" w14:textId="77777777" w:rsidR="00953FD2" w:rsidRDefault="00000000">
      <w:pPr>
        <w:pStyle w:val="ListParagraph"/>
        <w:numPr>
          <w:ilvl w:val="0"/>
          <w:numId w:val="2"/>
        </w:numPr>
        <w:spacing w:before="60" w:after="60"/>
      </w:pPr>
      <w:r>
        <w:t>LSTM: 3D sequences of shape (samples, 60 days lookback, features).</w:t>
      </w:r>
    </w:p>
    <w:p w14:paraId="2C7CE4FC" w14:textId="77777777" w:rsidR="00953FD2" w:rsidRDefault="00953FD2">
      <w:pPr>
        <w:pBdr>
          <w:bottom w:val="single" w:sz="4" w:space="1" w:color="CCCCCC"/>
        </w:pBdr>
        <w:spacing w:before="120" w:after="120"/>
      </w:pPr>
    </w:p>
    <w:p w14:paraId="4E6954D6" w14:textId="77777777" w:rsidR="00953FD2" w:rsidRDefault="00000000">
      <w:pPr>
        <w:pStyle w:val="Heading1"/>
      </w:pPr>
      <w:r>
        <w:t>7. Model Training</w:t>
      </w:r>
    </w:p>
    <w:p w14:paraId="39E885E9" w14:textId="77777777" w:rsidR="00953FD2" w:rsidRDefault="00000000">
      <w:pPr>
        <w:pStyle w:val="Heading2"/>
      </w:pPr>
      <w:r>
        <w:t>7.1 Linear Regression</w:t>
      </w:r>
    </w:p>
    <w:p w14:paraId="28661243" w14:textId="77777777" w:rsidR="00953FD2" w:rsidRDefault="00000000">
      <w:pPr>
        <w:spacing w:before="80" w:after="80"/>
      </w:pPr>
      <w:r>
        <w:t xml:space="preserve">A standard scikit-learn </w:t>
      </w:r>
      <w:proofErr w:type="spellStart"/>
      <w:r>
        <w:t>LinearRegression</w:t>
      </w:r>
      <w:proofErr w:type="spellEnd"/>
      <w:r>
        <w:t xml:space="preserve"> model was trained on the flat feature arrays. Linear Regression was used as a baseline — if the LSTM cannot surpass it, the LSTM is misconfigured rather than the problem being inherently unpredictable.</w:t>
      </w:r>
    </w:p>
    <w:p w14:paraId="6ED76D47" w14:textId="77777777" w:rsidR="00953FD2" w:rsidRDefault="00953FD2"/>
    <w:p w14:paraId="59882DEF" w14:textId="77777777" w:rsidR="00953FD2" w:rsidRDefault="00000000">
      <w:pPr>
        <w:pStyle w:val="Heading2"/>
      </w:pPr>
      <w:r>
        <w:t>7.2 LSTM Neural Network</w:t>
      </w:r>
    </w:p>
    <w:p w14:paraId="58570E74" w14:textId="77777777" w:rsidR="00953FD2" w:rsidRDefault="00000000">
      <w:pPr>
        <w:spacing w:before="80" w:after="80"/>
      </w:pPr>
      <w:r>
        <w:t>The LSTM architecture consisted of two stacked LSTM layers (128 and 64 units respectively), each followed by 20% Dropout to prevent overfitting, and two Dense layers leading to a single output neuron predicting the next-day scaled close price.</w:t>
      </w:r>
    </w:p>
    <w:p w14:paraId="1ED24FCF" w14:textId="77777777" w:rsidR="00953FD2" w:rsidRDefault="00000000">
      <w:pPr>
        <w:pStyle w:val="ListParagraph"/>
        <w:numPr>
          <w:ilvl w:val="0"/>
          <w:numId w:val="2"/>
        </w:numPr>
        <w:spacing w:before="60" w:after="60"/>
      </w:pPr>
      <w:r>
        <w:lastRenderedPageBreak/>
        <w:t>Optimiser: Adam (learning rate = 0.001)</w:t>
      </w:r>
    </w:p>
    <w:p w14:paraId="054C7F9C" w14:textId="77777777" w:rsidR="00953FD2" w:rsidRDefault="00000000">
      <w:pPr>
        <w:pStyle w:val="ListParagraph"/>
        <w:numPr>
          <w:ilvl w:val="0"/>
          <w:numId w:val="2"/>
        </w:numPr>
        <w:spacing w:before="60" w:after="60"/>
      </w:pPr>
      <w:r>
        <w:t>Loss function: Mean Squared Error (MSE)</w:t>
      </w:r>
    </w:p>
    <w:p w14:paraId="62C83B1E" w14:textId="77777777" w:rsidR="00953FD2" w:rsidRDefault="00000000">
      <w:pPr>
        <w:pStyle w:val="ListParagraph"/>
        <w:numPr>
          <w:ilvl w:val="0"/>
          <w:numId w:val="2"/>
        </w:numPr>
        <w:spacing w:before="60" w:after="60"/>
      </w:pPr>
      <w:r>
        <w:t>Lookback window: 60 days</w:t>
      </w:r>
    </w:p>
    <w:p w14:paraId="3690D7A0" w14:textId="77777777" w:rsidR="00953FD2" w:rsidRDefault="00000000">
      <w:pPr>
        <w:pStyle w:val="ListParagraph"/>
        <w:numPr>
          <w:ilvl w:val="0"/>
          <w:numId w:val="2"/>
        </w:numPr>
        <w:spacing w:before="60" w:after="60"/>
      </w:pPr>
      <w:r>
        <w:t>Maximum epochs: 100</w:t>
      </w:r>
    </w:p>
    <w:p w14:paraId="6DACD3EA" w14:textId="77777777" w:rsidR="00953FD2" w:rsidRDefault="00000000">
      <w:pPr>
        <w:pStyle w:val="ListParagraph"/>
        <w:numPr>
          <w:ilvl w:val="0"/>
          <w:numId w:val="2"/>
        </w:numPr>
        <w:spacing w:before="60" w:after="60"/>
      </w:pPr>
      <w:r>
        <w:t>Batch size: 32</w:t>
      </w:r>
    </w:p>
    <w:p w14:paraId="1A4A9A17" w14:textId="77777777" w:rsidR="00953FD2" w:rsidRDefault="00000000">
      <w:pPr>
        <w:pStyle w:val="ListParagraph"/>
        <w:numPr>
          <w:ilvl w:val="0"/>
          <w:numId w:val="2"/>
        </w:numPr>
        <w:spacing w:before="60" w:after="60"/>
      </w:pPr>
      <w:proofErr w:type="spellStart"/>
      <w:r>
        <w:t>EarlyStopping</w:t>
      </w:r>
      <w:proofErr w:type="spellEnd"/>
      <w:r>
        <w:t xml:space="preserve">: patience=10, </w:t>
      </w:r>
      <w:proofErr w:type="spellStart"/>
      <w:r>
        <w:t>restore_best_weights</w:t>
      </w:r>
      <w:proofErr w:type="spellEnd"/>
      <w:r>
        <w:t>=True</w:t>
      </w:r>
    </w:p>
    <w:p w14:paraId="3B06355B" w14:textId="77777777" w:rsidR="00953FD2" w:rsidRDefault="00000000">
      <w:pPr>
        <w:pStyle w:val="ListParagraph"/>
        <w:numPr>
          <w:ilvl w:val="0"/>
          <w:numId w:val="2"/>
        </w:numPr>
        <w:spacing w:before="60" w:after="60"/>
      </w:pPr>
      <w:r>
        <w:t xml:space="preserve">Training stopped at epoch 22 — best </w:t>
      </w:r>
      <w:proofErr w:type="spellStart"/>
      <w:r>
        <w:t>val_loss</w:t>
      </w:r>
      <w:proofErr w:type="spellEnd"/>
      <w:r>
        <w:t>: 0.000530</w:t>
      </w:r>
    </w:p>
    <w:p w14:paraId="7839A518" w14:textId="77777777" w:rsidR="00953FD2" w:rsidRDefault="00953FD2">
      <w:pPr>
        <w:pBdr>
          <w:bottom w:val="single" w:sz="4" w:space="1" w:color="CCCCCC"/>
        </w:pBdr>
        <w:spacing w:before="120" w:after="120"/>
      </w:pPr>
    </w:p>
    <w:p w14:paraId="567F7D08" w14:textId="77777777" w:rsidR="00953FD2" w:rsidRDefault="00000000">
      <w:pPr>
        <w:pStyle w:val="Heading1"/>
      </w:pPr>
      <w:r>
        <w:t>8. Model Evaluation &amp; Results</w:t>
      </w:r>
    </w:p>
    <w:p w14:paraId="73EC8AB9" w14:textId="77777777" w:rsidR="00953FD2" w:rsidRDefault="00000000">
      <w:pPr>
        <w:pStyle w:val="Heading2"/>
      </w:pPr>
      <w:r>
        <w:t>8.1 Metrics Used</w:t>
      </w:r>
    </w:p>
    <w:p w14:paraId="5492CDD9" w14:textId="77777777" w:rsidR="00953FD2" w:rsidRDefault="00953FD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500"/>
        <w:gridCol w:w="2560"/>
        <w:gridCol w:w="2500"/>
      </w:tblGrid>
      <w:tr w:rsidR="00953FD2" w14:paraId="29C771C2" w14:textId="77777777">
        <w:tblPrEx>
          <w:tblCellMar>
            <w:top w:w="0" w:type="dxa"/>
            <w:bottom w:w="0" w:type="dxa"/>
          </w:tblCellMar>
        </w:tblPrEx>
        <w:trPr>
          <w:tblHeader/>
        </w:trPr>
        <w:tc>
          <w:tcPr>
            <w:tcW w:w="1800" w:type="dxa"/>
            <w:tcBorders>
              <w:top w:val="single" w:sz="1" w:space="0" w:color="1E6B4A"/>
              <w:left w:val="single" w:sz="1" w:space="0" w:color="1E6B4A"/>
              <w:bottom w:val="single" w:sz="1" w:space="0" w:color="1E6B4A"/>
              <w:right w:val="single" w:sz="1" w:space="0" w:color="1E6B4A"/>
            </w:tcBorders>
            <w:shd w:val="clear" w:color="auto" w:fill="1E6B4A"/>
            <w:tcMar>
              <w:top w:w="100" w:type="dxa"/>
              <w:left w:w="150" w:type="dxa"/>
              <w:bottom w:w="100" w:type="dxa"/>
              <w:right w:w="150" w:type="dxa"/>
            </w:tcMar>
            <w:vAlign w:val="center"/>
          </w:tcPr>
          <w:p w14:paraId="1EEFD460" w14:textId="77777777" w:rsidR="00953FD2" w:rsidRDefault="00000000">
            <w:pPr>
              <w:jc w:val="center"/>
            </w:pPr>
            <w:r>
              <w:rPr>
                <w:b/>
                <w:bCs/>
                <w:color w:val="FFFFFF"/>
                <w:sz w:val="20"/>
                <w:szCs w:val="20"/>
              </w:rPr>
              <w:t>Metric</w:t>
            </w:r>
          </w:p>
        </w:tc>
        <w:tc>
          <w:tcPr>
            <w:tcW w:w="2500" w:type="dxa"/>
            <w:tcBorders>
              <w:top w:val="single" w:sz="1" w:space="0" w:color="1E6B4A"/>
              <w:left w:val="single" w:sz="1" w:space="0" w:color="1E6B4A"/>
              <w:bottom w:val="single" w:sz="1" w:space="0" w:color="1E6B4A"/>
              <w:right w:val="single" w:sz="1" w:space="0" w:color="1E6B4A"/>
            </w:tcBorders>
            <w:shd w:val="clear" w:color="auto" w:fill="1E6B4A"/>
            <w:tcMar>
              <w:top w:w="100" w:type="dxa"/>
              <w:left w:w="150" w:type="dxa"/>
              <w:bottom w:w="100" w:type="dxa"/>
              <w:right w:w="150" w:type="dxa"/>
            </w:tcMar>
            <w:vAlign w:val="center"/>
          </w:tcPr>
          <w:p w14:paraId="71B338D8" w14:textId="77777777" w:rsidR="00953FD2" w:rsidRDefault="00000000">
            <w:pPr>
              <w:jc w:val="center"/>
            </w:pPr>
            <w:r>
              <w:rPr>
                <w:b/>
                <w:bCs/>
                <w:color w:val="FFFFFF"/>
                <w:sz w:val="20"/>
                <w:szCs w:val="20"/>
              </w:rPr>
              <w:t>Formula</w:t>
            </w:r>
          </w:p>
        </w:tc>
        <w:tc>
          <w:tcPr>
            <w:tcW w:w="2560" w:type="dxa"/>
            <w:tcBorders>
              <w:top w:val="single" w:sz="1" w:space="0" w:color="1E6B4A"/>
              <w:left w:val="single" w:sz="1" w:space="0" w:color="1E6B4A"/>
              <w:bottom w:val="single" w:sz="1" w:space="0" w:color="1E6B4A"/>
              <w:right w:val="single" w:sz="1" w:space="0" w:color="1E6B4A"/>
            </w:tcBorders>
            <w:shd w:val="clear" w:color="auto" w:fill="1E6B4A"/>
            <w:tcMar>
              <w:top w:w="100" w:type="dxa"/>
              <w:left w:w="150" w:type="dxa"/>
              <w:bottom w:w="100" w:type="dxa"/>
              <w:right w:w="150" w:type="dxa"/>
            </w:tcMar>
            <w:vAlign w:val="center"/>
          </w:tcPr>
          <w:p w14:paraId="0398ABBC" w14:textId="77777777" w:rsidR="00953FD2" w:rsidRDefault="00000000">
            <w:pPr>
              <w:jc w:val="center"/>
            </w:pPr>
            <w:r>
              <w:rPr>
                <w:b/>
                <w:bCs/>
                <w:color w:val="FFFFFF"/>
                <w:sz w:val="20"/>
                <w:szCs w:val="20"/>
              </w:rPr>
              <w:t>What It Measures</w:t>
            </w:r>
          </w:p>
        </w:tc>
        <w:tc>
          <w:tcPr>
            <w:tcW w:w="2500" w:type="dxa"/>
            <w:tcBorders>
              <w:top w:val="single" w:sz="1" w:space="0" w:color="1E6B4A"/>
              <w:left w:val="single" w:sz="1" w:space="0" w:color="1E6B4A"/>
              <w:bottom w:val="single" w:sz="1" w:space="0" w:color="1E6B4A"/>
              <w:right w:val="single" w:sz="1" w:space="0" w:color="1E6B4A"/>
            </w:tcBorders>
            <w:shd w:val="clear" w:color="auto" w:fill="1E6B4A"/>
            <w:tcMar>
              <w:top w:w="100" w:type="dxa"/>
              <w:left w:w="150" w:type="dxa"/>
              <w:bottom w:w="100" w:type="dxa"/>
              <w:right w:w="150" w:type="dxa"/>
            </w:tcMar>
            <w:vAlign w:val="center"/>
          </w:tcPr>
          <w:p w14:paraId="1301091E" w14:textId="77777777" w:rsidR="00953FD2" w:rsidRDefault="00000000">
            <w:pPr>
              <w:jc w:val="center"/>
            </w:pPr>
            <w:r>
              <w:rPr>
                <w:b/>
                <w:bCs/>
                <w:color w:val="FFFFFF"/>
                <w:sz w:val="20"/>
                <w:szCs w:val="20"/>
              </w:rPr>
              <w:t>LR Result</w:t>
            </w:r>
          </w:p>
        </w:tc>
      </w:tr>
      <w:tr w:rsidR="00953FD2" w14:paraId="53FA5EE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363D93F" w14:textId="77777777" w:rsidR="00953FD2" w:rsidRDefault="00000000">
            <w:r>
              <w:rPr>
                <w:sz w:val="20"/>
                <w:szCs w:val="20"/>
              </w:rPr>
              <w:t>MAE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8922174" w14:textId="77777777" w:rsidR="00953FD2" w:rsidRDefault="00000000">
            <w:r>
              <w:rPr>
                <w:sz w:val="20"/>
                <w:szCs w:val="20"/>
              </w:rPr>
              <w:t>mean(|actual - predicted|)</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91A1144" w14:textId="77777777" w:rsidR="00953FD2" w:rsidRDefault="00000000">
            <w:r>
              <w:rPr>
                <w:sz w:val="20"/>
                <w:szCs w:val="20"/>
              </w:rPr>
              <w:t>Average dollar error per prediction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8154B66" w14:textId="77777777" w:rsidR="00953FD2" w:rsidRDefault="00000000">
            <w:pPr>
              <w:jc w:val="center"/>
            </w:pPr>
            <w:r>
              <w:rPr>
                <w:sz w:val="20"/>
                <w:szCs w:val="20"/>
              </w:rPr>
              <w:t>$1.78</w:t>
            </w:r>
          </w:p>
        </w:tc>
      </w:tr>
      <w:tr w:rsidR="00953FD2" w14:paraId="5AB84DD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AF4EE"/>
            <w:tcMar>
              <w:top w:w="100" w:type="dxa"/>
              <w:left w:w="150" w:type="dxa"/>
              <w:bottom w:w="100" w:type="dxa"/>
              <w:right w:w="150" w:type="dxa"/>
            </w:tcMar>
          </w:tcPr>
          <w:p w14:paraId="47176509" w14:textId="77777777" w:rsidR="00953FD2" w:rsidRDefault="00000000">
            <w:r>
              <w:rPr>
                <w:sz w:val="20"/>
                <w:szCs w:val="20"/>
              </w:rPr>
              <w:t>RMSE</w:t>
            </w:r>
          </w:p>
        </w:tc>
        <w:tc>
          <w:tcPr>
            <w:tcW w:w="2500" w:type="dxa"/>
            <w:tcBorders>
              <w:top w:val="single" w:sz="1" w:space="0" w:color="CCCCCC"/>
              <w:left w:val="single" w:sz="1" w:space="0" w:color="CCCCCC"/>
              <w:bottom w:val="single" w:sz="1" w:space="0" w:color="CCCCCC"/>
              <w:right w:val="single" w:sz="1" w:space="0" w:color="CCCCCC"/>
            </w:tcBorders>
            <w:shd w:val="clear" w:color="auto" w:fill="EAF4EE"/>
            <w:tcMar>
              <w:top w:w="100" w:type="dxa"/>
              <w:left w:w="150" w:type="dxa"/>
              <w:bottom w:w="100" w:type="dxa"/>
              <w:right w:w="150" w:type="dxa"/>
            </w:tcMar>
          </w:tcPr>
          <w:p w14:paraId="678BEF0C" w14:textId="77777777" w:rsidR="00953FD2" w:rsidRDefault="00000000">
            <w:r>
              <w:rPr>
                <w:sz w:val="20"/>
                <w:szCs w:val="20"/>
              </w:rPr>
              <w:t>sqrt(mean((actual-predicted)^2))</w:t>
            </w:r>
          </w:p>
        </w:tc>
        <w:tc>
          <w:tcPr>
            <w:tcW w:w="2560" w:type="dxa"/>
            <w:tcBorders>
              <w:top w:val="single" w:sz="1" w:space="0" w:color="CCCCCC"/>
              <w:left w:val="single" w:sz="1" w:space="0" w:color="CCCCCC"/>
              <w:bottom w:val="single" w:sz="1" w:space="0" w:color="CCCCCC"/>
              <w:right w:val="single" w:sz="1" w:space="0" w:color="CCCCCC"/>
            </w:tcBorders>
            <w:shd w:val="clear" w:color="auto" w:fill="EAF4EE"/>
            <w:tcMar>
              <w:top w:w="100" w:type="dxa"/>
              <w:left w:w="150" w:type="dxa"/>
              <w:bottom w:w="100" w:type="dxa"/>
              <w:right w:w="150" w:type="dxa"/>
            </w:tcMar>
          </w:tcPr>
          <w:p w14:paraId="7E5E84F5" w14:textId="77777777" w:rsidR="00953FD2" w:rsidRDefault="00000000">
            <w:r>
              <w:rPr>
                <w:sz w:val="20"/>
                <w:szCs w:val="20"/>
              </w:rPr>
              <w:t>Penalises large errors more heavily</w:t>
            </w:r>
          </w:p>
        </w:tc>
        <w:tc>
          <w:tcPr>
            <w:tcW w:w="2500" w:type="dxa"/>
            <w:tcBorders>
              <w:top w:val="single" w:sz="1" w:space="0" w:color="CCCCCC"/>
              <w:left w:val="single" w:sz="1" w:space="0" w:color="CCCCCC"/>
              <w:bottom w:val="single" w:sz="1" w:space="0" w:color="CCCCCC"/>
              <w:right w:val="single" w:sz="1" w:space="0" w:color="CCCCCC"/>
            </w:tcBorders>
            <w:shd w:val="clear" w:color="auto" w:fill="EAF4EE"/>
            <w:tcMar>
              <w:top w:w="100" w:type="dxa"/>
              <w:left w:w="150" w:type="dxa"/>
              <w:bottom w:w="100" w:type="dxa"/>
              <w:right w:w="150" w:type="dxa"/>
            </w:tcMar>
          </w:tcPr>
          <w:p w14:paraId="0B1FB6E6" w14:textId="77777777" w:rsidR="00953FD2" w:rsidRDefault="00000000">
            <w:pPr>
              <w:jc w:val="center"/>
            </w:pPr>
            <w:r>
              <w:rPr>
                <w:sz w:val="20"/>
                <w:szCs w:val="20"/>
              </w:rPr>
              <w:t>$3.08</w:t>
            </w:r>
          </w:p>
        </w:tc>
      </w:tr>
      <w:tr w:rsidR="00953FD2" w14:paraId="62E0955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B8E814D" w14:textId="77777777" w:rsidR="00953FD2" w:rsidRDefault="00000000">
            <w:r>
              <w:rPr>
                <w:sz w:val="20"/>
                <w:szCs w:val="20"/>
              </w:rPr>
              <w:t>MAPE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5034528" w14:textId="77777777" w:rsidR="00953FD2" w:rsidRDefault="00000000">
            <w:r>
              <w:rPr>
                <w:sz w:val="20"/>
                <w:szCs w:val="20"/>
              </w:rPr>
              <w:t>mean(|actual-predicted|/actual)*100</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980F5CE" w14:textId="77777777" w:rsidR="00953FD2" w:rsidRDefault="00000000">
            <w:r>
              <w:rPr>
                <w:sz w:val="20"/>
                <w:szCs w:val="20"/>
              </w:rPr>
              <w:t>% error relative to actual price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362DDB7" w14:textId="77777777" w:rsidR="00953FD2" w:rsidRDefault="00000000">
            <w:pPr>
              <w:jc w:val="center"/>
            </w:pPr>
            <w:r>
              <w:rPr>
                <w:sz w:val="20"/>
                <w:szCs w:val="20"/>
              </w:rPr>
              <w:t>1.272%</w:t>
            </w:r>
          </w:p>
        </w:tc>
      </w:tr>
    </w:tbl>
    <w:p w14:paraId="5CCD041D" w14:textId="77777777" w:rsidR="00953FD2" w:rsidRDefault="00953FD2"/>
    <w:p w14:paraId="4023B583" w14:textId="77777777" w:rsidR="00953FD2" w:rsidRDefault="00000000">
      <w:pPr>
        <w:pStyle w:val="Heading2"/>
      </w:pPr>
      <w:r>
        <w:t>8.2 Model Comparison</w:t>
      </w:r>
    </w:p>
    <w:p w14:paraId="34F7286D" w14:textId="77777777" w:rsidR="00953FD2" w:rsidRDefault="00953FD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00"/>
        <w:gridCol w:w="2000"/>
        <w:gridCol w:w="2160"/>
      </w:tblGrid>
      <w:tr w:rsidR="00953FD2" w14:paraId="74BBE6D1" w14:textId="77777777">
        <w:tblPrEx>
          <w:tblCellMar>
            <w:top w:w="0" w:type="dxa"/>
            <w:bottom w:w="0" w:type="dxa"/>
          </w:tblCellMar>
        </w:tblPrEx>
        <w:trPr>
          <w:tblHeader/>
        </w:trPr>
        <w:tc>
          <w:tcPr>
            <w:tcW w:w="3200" w:type="dxa"/>
            <w:tcBorders>
              <w:top w:val="single" w:sz="1" w:space="0" w:color="1E6B4A"/>
              <w:left w:val="single" w:sz="1" w:space="0" w:color="1E6B4A"/>
              <w:bottom w:val="single" w:sz="1" w:space="0" w:color="1E6B4A"/>
              <w:right w:val="single" w:sz="1" w:space="0" w:color="1E6B4A"/>
            </w:tcBorders>
            <w:shd w:val="clear" w:color="auto" w:fill="1E6B4A"/>
            <w:tcMar>
              <w:top w:w="100" w:type="dxa"/>
              <w:left w:w="150" w:type="dxa"/>
              <w:bottom w:w="100" w:type="dxa"/>
              <w:right w:w="150" w:type="dxa"/>
            </w:tcMar>
            <w:vAlign w:val="center"/>
          </w:tcPr>
          <w:p w14:paraId="08D69C2B" w14:textId="77777777" w:rsidR="00953FD2" w:rsidRDefault="00000000">
            <w:pPr>
              <w:jc w:val="center"/>
            </w:pPr>
            <w:r>
              <w:rPr>
                <w:b/>
                <w:bCs/>
                <w:color w:val="FFFFFF"/>
                <w:sz w:val="20"/>
                <w:szCs w:val="20"/>
              </w:rPr>
              <w:t>Model</w:t>
            </w:r>
          </w:p>
        </w:tc>
        <w:tc>
          <w:tcPr>
            <w:tcW w:w="2000" w:type="dxa"/>
            <w:tcBorders>
              <w:top w:val="single" w:sz="1" w:space="0" w:color="1E6B4A"/>
              <w:left w:val="single" w:sz="1" w:space="0" w:color="1E6B4A"/>
              <w:bottom w:val="single" w:sz="1" w:space="0" w:color="1E6B4A"/>
              <w:right w:val="single" w:sz="1" w:space="0" w:color="1E6B4A"/>
            </w:tcBorders>
            <w:shd w:val="clear" w:color="auto" w:fill="1E6B4A"/>
            <w:tcMar>
              <w:top w:w="100" w:type="dxa"/>
              <w:left w:w="150" w:type="dxa"/>
              <w:bottom w:w="100" w:type="dxa"/>
              <w:right w:w="150" w:type="dxa"/>
            </w:tcMar>
            <w:vAlign w:val="center"/>
          </w:tcPr>
          <w:p w14:paraId="2C31C46F" w14:textId="77777777" w:rsidR="00953FD2" w:rsidRDefault="00000000">
            <w:pPr>
              <w:jc w:val="center"/>
            </w:pPr>
            <w:r>
              <w:rPr>
                <w:b/>
                <w:bCs/>
                <w:color w:val="FFFFFF"/>
                <w:sz w:val="20"/>
                <w:szCs w:val="20"/>
              </w:rPr>
              <w:t>MAE ($)</w:t>
            </w:r>
          </w:p>
        </w:tc>
        <w:tc>
          <w:tcPr>
            <w:tcW w:w="2000" w:type="dxa"/>
            <w:tcBorders>
              <w:top w:val="single" w:sz="1" w:space="0" w:color="1E6B4A"/>
              <w:left w:val="single" w:sz="1" w:space="0" w:color="1E6B4A"/>
              <w:bottom w:val="single" w:sz="1" w:space="0" w:color="1E6B4A"/>
              <w:right w:val="single" w:sz="1" w:space="0" w:color="1E6B4A"/>
            </w:tcBorders>
            <w:shd w:val="clear" w:color="auto" w:fill="1E6B4A"/>
            <w:tcMar>
              <w:top w:w="100" w:type="dxa"/>
              <w:left w:w="150" w:type="dxa"/>
              <w:bottom w:w="100" w:type="dxa"/>
              <w:right w:w="150" w:type="dxa"/>
            </w:tcMar>
            <w:vAlign w:val="center"/>
          </w:tcPr>
          <w:p w14:paraId="0C49B39D" w14:textId="77777777" w:rsidR="00953FD2" w:rsidRDefault="00000000">
            <w:pPr>
              <w:jc w:val="center"/>
            </w:pPr>
            <w:r>
              <w:rPr>
                <w:b/>
                <w:bCs/>
                <w:color w:val="FFFFFF"/>
                <w:sz w:val="20"/>
                <w:szCs w:val="20"/>
              </w:rPr>
              <w:t>RMSE ($)</w:t>
            </w:r>
          </w:p>
        </w:tc>
        <w:tc>
          <w:tcPr>
            <w:tcW w:w="2160" w:type="dxa"/>
            <w:tcBorders>
              <w:top w:val="single" w:sz="1" w:space="0" w:color="1E6B4A"/>
              <w:left w:val="single" w:sz="1" w:space="0" w:color="1E6B4A"/>
              <w:bottom w:val="single" w:sz="1" w:space="0" w:color="1E6B4A"/>
              <w:right w:val="single" w:sz="1" w:space="0" w:color="1E6B4A"/>
            </w:tcBorders>
            <w:shd w:val="clear" w:color="auto" w:fill="1E6B4A"/>
            <w:tcMar>
              <w:top w:w="100" w:type="dxa"/>
              <w:left w:w="150" w:type="dxa"/>
              <w:bottom w:w="100" w:type="dxa"/>
              <w:right w:w="150" w:type="dxa"/>
            </w:tcMar>
            <w:vAlign w:val="center"/>
          </w:tcPr>
          <w:p w14:paraId="027C46FC" w14:textId="77777777" w:rsidR="00953FD2" w:rsidRDefault="00000000">
            <w:pPr>
              <w:jc w:val="center"/>
            </w:pPr>
            <w:r>
              <w:rPr>
                <w:b/>
                <w:bCs/>
                <w:color w:val="FFFFFF"/>
                <w:sz w:val="20"/>
                <w:szCs w:val="20"/>
              </w:rPr>
              <w:t>MAPE (%)</w:t>
            </w:r>
          </w:p>
        </w:tc>
      </w:tr>
      <w:tr w:rsidR="00953FD2" w14:paraId="5CFA27C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792E5BF" w14:textId="77777777" w:rsidR="00953FD2" w:rsidRDefault="00000000">
            <w:r>
              <w:rPr>
                <w:b/>
                <w:bCs/>
                <w:sz w:val="20"/>
                <w:szCs w:val="20"/>
              </w:rPr>
              <w:t>Linear Regression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984D10B" w14:textId="77777777" w:rsidR="00953FD2" w:rsidRDefault="00000000">
            <w:pPr>
              <w:jc w:val="center"/>
            </w:pPr>
            <w:r>
              <w:rPr>
                <w:b/>
                <w:bCs/>
                <w:sz w:val="20"/>
                <w:szCs w:val="20"/>
              </w:rPr>
              <w:t>$1.78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75441C0" w14:textId="77777777" w:rsidR="00953FD2" w:rsidRDefault="00000000">
            <w:pPr>
              <w:jc w:val="center"/>
            </w:pPr>
            <w:r>
              <w:rPr>
                <w:b/>
                <w:bCs/>
                <w:sz w:val="20"/>
                <w:szCs w:val="20"/>
              </w:rPr>
              <w:t>$3.08</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66B49C8" w14:textId="77777777" w:rsidR="00953FD2" w:rsidRDefault="00000000">
            <w:pPr>
              <w:jc w:val="center"/>
            </w:pPr>
            <w:r>
              <w:rPr>
                <w:b/>
                <w:bCs/>
                <w:sz w:val="20"/>
                <w:szCs w:val="20"/>
              </w:rPr>
              <w:t>1.272%</w:t>
            </w:r>
          </w:p>
        </w:tc>
      </w:tr>
      <w:tr w:rsidR="00953FD2" w14:paraId="5A3DBE2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4EE"/>
            <w:tcMar>
              <w:top w:w="100" w:type="dxa"/>
              <w:left w:w="150" w:type="dxa"/>
              <w:bottom w:w="100" w:type="dxa"/>
              <w:right w:w="150" w:type="dxa"/>
            </w:tcMar>
          </w:tcPr>
          <w:p w14:paraId="03D46731" w14:textId="77777777" w:rsidR="00953FD2" w:rsidRDefault="00000000">
            <w:r>
              <w:rPr>
                <w:sz w:val="20"/>
                <w:szCs w:val="20"/>
              </w:rPr>
              <w:t>LSTM Neural Network</w:t>
            </w:r>
          </w:p>
        </w:tc>
        <w:tc>
          <w:tcPr>
            <w:tcW w:w="2000" w:type="dxa"/>
            <w:tcBorders>
              <w:top w:val="single" w:sz="1" w:space="0" w:color="CCCCCC"/>
              <w:left w:val="single" w:sz="1" w:space="0" w:color="CCCCCC"/>
              <w:bottom w:val="single" w:sz="1" w:space="0" w:color="CCCCCC"/>
              <w:right w:val="single" w:sz="1" w:space="0" w:color="CCCCCC"/>
            </w:tcBorders>
            <w:shd w:val="clear" w:color="auto" w:fill="EAF4EE"/>
            <w:tcMar>
              <w:top w:w="100" w:type="dxa"/>
              <w:left w:w="150" w:type="dxa"/>
              <w:bottom w:w="100" w:type="dxa"/>
              <w:right w:w="150" w:type="dxa"/>
            </w:tcMar>
          </w:tcPr>
          <w:p w14:paraId="0687863D" w14:textId="77777777" w:rsidR="00953FD2" w:rsidRDefault="00000000">
            <w:pPr>
              <w:jc w:val="center"/>
            </w:pPr>
            <w:r>
              <w:rPr>
                <w:sz w:val="20"/>
                <w:szCs w:val="20"/>
              </w:rPr>
              <w:t>$54.56</w:t>
            </w:r>
          </w:p>
        </w:tc>
        <w:tc>
          <w:tcPr>
            <w:tcW w:w="2000" w:type="dxa"/>
            <w:tcBorders>
              <w:top w:val="single" w:sz="1" w:space="0" w:color="CCCCCC"/>
              <w:left w:val="single" w:sz="1" w:space="0" w:color="CCCCCC"/>
              <w:bottom w:val="single" w:sz="1" w:space="0" w:color="CCCCCC"/>
              <w:right w:val="single" w:sz="1" w:space="0" w:color="CCCCCC"/>
            </w:tcBorders>
            <w:shd w:val="clear" w:color="auto" w:fill="EAF4EE"/>
            <w:tcMar>
              <w:top w:w="100" w:type="dxa"/>
              <w:left w:w="150" w:type="dxa"/>
              <w:bottom w:w="100" w:type="dxa"/>
              <w:right w:w="150" w:type="dxa"/>
            </w:tcMar>
          </w:tcPr>
          <w:p w14:paraId="183597EC" w14:textId="77777777" w:rsidR="00953FD2" w:rsidRDefault="00000000">
            <w:pPr>
              <w:jc w:val="center"/>
            </w:pPr>
            <w:r>
              <w:rPr>
                <w:sz w:val="20"/>
                <w:szCs w:val="20"/>
              </w:rPr>
              <w:t>$69.03</w:t>
            </w:r>
          </w:p>
        </w:tc>
        <w:tc>
          <w:tcPr>
            <w:tcW w:w="2160" w:type="dxa"/>
            <w:tcBorders>
              <w:top w:val="single" w:sz="1" w:space="0" w:color="CCCCCC"/>
              <w:left w:val="single" w:sz="1" w:space="0" w:color="CCCCCC"/>
              <w:bottom w:val="single" w:sz="1" w:space="0" w:color="CCCCCC"/>
              <w:right w:val="single" w:sz="1" w:space="0" w:color="CCCCCC"/>
            </w:tcBorders>
            <w:shd w:val="clear" w:color="auto" w:fill="EAF4EE"/>
            <w:tcMar>
              <w:top w:w="100" w:type="dxa"/>
              <w:left w:w="150" w:type="dxa"/>
              <w:bottom w:w="100" w:type="dxa"/>
              <w:right w:w="150" w:type="dxa"/>
            </w:tcMar>
          </w:tcPr>
          <w:p w14:paraId="5B11F054" w14:textId="77777777" w:rsidR="00953FD2" w:rsidRDefault="00000000">
            <w:pPr>
              <w:jc w:val="center"/>
            </w:pPr>
            <w:r>
              <w:rPr>
                <w:sz w:val="20"/>
                <w:szCs w:val="20"/>
              </w:rPr>
              <w:t>35.098%</w:t>
            </w:r>
          </w:p>
        </w:tc>
      </w:tr>
    </w:tbl>
    <w:p w14:paraId="0DB5A143" w14:textId="77777777" w:rsidR="00953FD2" w:rsidRDefault="00953FD2"/>
    <w:p w14:paraId="0BF843CF" w14:textId="77777777" w:rsidR="00953FD2" w:rsidRDefault="00000000">
      <w:pPr>
        <w:spacing w:before="80" w:after="80"/>
      </w:pPr>
      <w:r>
        <w:t>Linear Regression significantly outperformed the LSTM on all three metrics. This is an unexpected but important result that requires careful analysis — see Section 9 (Observations) for a full explanation.</w:t>
      </w:r>
    </w:p>
    <w:p w14:paraId="4E4E2614" w14:textId="77777777" w:rsidR="00953FD2" w:rsidRDefault="00953FD2">
      <w:pPr>
        <w:pBdr>
          <w:bottom w:val="single" w:sz="4" w:space="1" w:color="CCCCCC"/>
        </w:pBdr>
        <w:spacing w:before="120" w:after="120"/>
      </w:pPr>
    </w:p>
    <w:p w14:paraId="2717AADA" w14:textId="77777777" w:rsidR="00953FD2" w:rsidRDefault="00000000">
      <w:pPr>
        <w:pStyle w:val="Heading1"/>
      </w:pPr>
      <w:r>
        <w:t>9. Observations</w:t>
      </w:r>
    </w:p>
    <w:p w14:paraId="52024203" w14:textId="77777777" w:rsidR="00953FD2" w:rsidRDefault="00000000">
      <w:pPr>
        <w:pStyle w:val="Heading2"/>
      </w:pPr>
      <w:r>
        <w:t>Observation 1: Linear Regression vs. LSTM Performance Gap</w:t>
      </w:r>
    </w:p>
    <w:p w14:paraId="3BAB5E9B" w14:textId="77777777" w:rsidR="00953FD2" w:rsidRDefault="00000000">
      <w:pPr>
        <w:spacing w:before="80" w:after="80"/>
      </w:pPr>
      <w:r>
        <w:t>Linear Regression achieved a MAE of $1.78 and MAPE of 1.272%, while LSTM achieved a MAE of $54.56 and MAPE of 35.098% — meaning Linear Regression outperformed LSTM by approximately 96.7% on MAE and 96.4% on MAPE.</w:t>
      </w:r>
    </w:p>
    <w:p w14:paraId="38594144" w14:textId="77777777" w:rsidR="00953FD2" w:rsidRDefault="00953FD2"/>
    <w:p w14:paraId="5329A931" w14:textId="77777777" w:rsidR="00953FD2" w:rsidRDefault="00000000">
      <w:pPr>
        <w:spacing w:before="80" w:after="80"/>
      </w:pPr>
      <w:r>
        <w:t>This result is counterintuitive because LSTM is theoretically better suited for sequential time-series data. However, the large gap strongly suggests that the LSTM model suffered from a configuration or scaling issue rather than being fundamentally inferior for this task. The most likely cause is that the inverse scaling of LSTM predictions introduced amplified errors — the scaler was fitted on training data prices, and small errors in the scaled [0,1] space can translate to large dollar errors when inverse-transformed back to USD, especially if the scaler was not perfectly calibrated.</w:t>
      </w:r>
    </w:p>
    <w:p w14:paraId="004C8E54" w14:textId="77777777" w:rsidR="00953FD2" w:rsidRDefault="00953FD2"/>
    <w:p w14:paraId="13FCD19C" w14:textId="77777777" w:rsidR="00953FD2" w:rsidRDefault="00000000">
      <w:pPr>
        <w:spacing w:before="80" w:after="80"/>
      </w:pPr>
      <w:r>
        <w:t>Additionally, LSTM models require substantially more data and careful hyperparameter tuning to outperform linear models. With only ~1,000 training samples and default hyperparameters, the LSTM may not have had enough data to fully learn the sequential patterns across a 60-day lookback window. Linear Regression, being a simpler model, generalised better with the available data volume.</w:t>
      </w:r>
    </w:p>
    <w:p w14:paraId="6501FDC6" w14:textId="77777777" w:rsidR="00953FD2" w:rsidRDefault="00953FD2"/>
    <w:p w14:paraId="187194AB" w14:textId="77777777" w:rsidR="00953FD2" w:rsidRDefault="00000000">
      <w:pPr>
        <w:pStyle w:val="Heading2"/>
      </w:pPr>
      <w:r>
        <w:t>Observation 2: LSTM Loss Curve &amp; Overfitting Analysis</w:t>
      </w:r>
    </w:p>
    <w:p w14:paraId="586113D9" w14:textId="77777777" w:rsidR="00953FD2" w:rsidRDefault="00000000">
      <w:pPr>
        <w:spacing w:before="80" w:after="80"/>
      </w:pPr>
      <w:r>
        <w:t>Training stopped at epoch 22 out of a maximum of 100. The best validation loss reached 0.000530, which is very low on the scaled [0,1] target space. The early stopping with patience=10 worked as intended — it halted training when validation loss stopped improving for 10 consecutive epochs, preventing the model from continuing to train unnecessarily.</w:t>
      </w:r>
    </w:p>
    <w:p w14:paraId="1F4360B9" w14:textId="77777777" w:rsidR="00953FD2" w:rsidRDefault="00953FD2"/>
    <w:p w14:paraId="76E25A77" w14:textId="77777777" w:rsidR="00953FD2" w:rsidRDefault="00000000">
      <w:pPr>
        <w:spacing w:before="80" w:after="80"/>
      </w:pPr>
      <w:r>
        <w:t xml:space="preserve">The </w:t>
      </w:r>
      <w:proofErr w:type="spellStart"/>
      <w:r>
        <w:t>restore_best_weights</w:t>
      </w:r>
      <w:proofErr w:type="spellEnd"/>
      <w:r>
        <w:t>=True parameter ensured the final model used the weights from the best epoch rather than the last epoch, which is critical when validation loss temporarily worsens before improving again. The training stopping at epoch 22 (well before the 100-epoch maximum) indicates the model learned quickly but did not need many iterations to converge, which is consistent with a relatively small dataset.</w:t>
      </w:r>
    </w:p>
    <w:p w14:paraId="64B58F73" w14:textId="77777777" w:rsidR="00953FD2" w:rsidRDefault="00953FD2"/>
    <w:p w14:paraId="244D114F" w14:textId="77777777" w:rsidR="00953FD2" w:rsidRDefault="00000000">
      <w:pPr>
        <w:spacing w:before="80" w:after="80"/>
      </w:pPr>
      <w:r>
        <w:t>The gap between training loss and validation loss indicates the degree of overfitting. A small gap suggests the model generalised well in the scaled space, but this did not translate to good USD predictions due to the inverse scaling amplification described in Observation 1.</w:t>
      </w:r>
    </w:p>
    <w:p w14:paraId="3B9DD812" w14:textId="77777777" w:rsidR="00953FD2" w:rsidRDefault="00953FD2">
      <w:pPr>
        <w:pBdr>
          <w:bottom w:val="single" w:sz="4" w:space="1" w:color="CCCCCC"/>
        </w:pBdr>
        <w:spacing w:before="120" w:after="120"/>
      </w:pPr>
    </w:p>
    <w:p w14:paraId="75D651BD" w14:textId="3472C0A3" w:rsidR="00953FD2" w:rsidRDefault="00000000" w:rsidP="00BE6714">
      <w:pPr>
        <w:pStyle w:val="Heading1"/>
      </w:pPr>
      <w:r>
        <w:t>10. Errors Encountered &amp; How They Were Fixed</w:t>
      </w:r>
    </w:p>
    <w:p w14:paraId="3A0ABF30" w14:textId="24B4C481" w:rsidR="00953FD2" w:rsidRDefault="00000000">
      <w:pPr>
        <w:spacing w:before="200" w:after="100"/>
      </w:pPr>
      <w:r>
        <w:rPr>
          <w:b/>
          <w:bCs/>
          <w:color w:val="404040"/>
          <w:sz w:val="24"/>
          <w:szCs w:val="24"/>
        </w:rPr>
        <w:t xml:space="preserve">Error </w:t>
      </w:r>
      <w:r w:rsidR="00BE6714">
        <w:rPr>
          <w:b/>
          <w:bCs/>
          <w:color w:val="404040"/>
          <w:sz w:val="24"/>
          <w:szCs w:val="24"/>
        </w:rPr>
        <w:t>1</w:t>
      </w:r>
      <w:r>
        <w:rPr>
          <w:b/>
          <w:bCs/>
          <w:color w:val="404040"/>
          <w:sz w:val="24"/>
          <w:szCs w:val="24"/>
        </w:rPr>
        <w:t xml:space="preserve">: </w:t>
      </w:r>
      <w:proofErr w:type="spellStart"/>
      <w:r>
        <w:rPr>
          <w:b/>
          <w:bCs/>
          <w:color w:val="404040"/>
          <w:sz w:val="24"/>
          <w:szCs w:val="24"/>
        </w:rPr>
        <w:t>ModuleNotFoundError</w:t>
      </w:r>
      <w:proofErr w:type="spellEnd"/>
      <w:r>
        <w:rPr>
          <w:b/>
          <w:bCs/>
          <w:color w:val="404040"/>
          <w:sz w:val="24"/>
          <w:szCs w:val="24"/>
        </w:rPr>
        <w:t xml:space="preserve"> — No module named '</w:t>
      </w:r>
      <w:proofErr w:type="spellStart"/>
      <w:r>
        <w:rPr>
          <w:b/>
          <w:bCs/>
          <w:color w:val="404040"/>
          <w:sz w:val="24"/>
          <w:szCs w:val="24"/>
        </w:rPr>
        <w:t>tensorflow</w:t>
      </w:r>
      <w:proofErr w:type="spellEnd"/>
      <w:r>
        <w:rPr>
          <w:b/>
          <w:bCs/>
          <w:color w:val="404040"/>
          <w:sz w:val="24"/>
          <w:szCs w:val="24"/>
        </w:rPr>
        <w:t>'</w:t>
      </w:r>
    </w:p>
    <w:p w14:paraId="49557445" w14:textId="77777777" w:rsidR="00953FD2" w:rsidRDefault="00000000">
      <w:pPr>
        <w:spacing w:before="80" w:after="80"/>
      </w:pPr>
      <w:r>
        <w:t xml:space="preserve">Cause: TensorFlow was installed in the Anaconda base environment but </w:t>
      </w:r>
      <w:proofErr w:type="spellStart"/>
      <w:r>
        <w:t>Jupyter</w:t>
      </w:r>
      <w:proofErr w:type="spellEnd"/>
      <w:r>
        <w:t xml:space="preserve"> was launched from a different Python environment that did not have access to it.</w:t>
      </w:r>
    </w:p>
    <w:p w14:paraId="6E5A611E" w14:textId="77777777" w:rsidR="00953FD2" w:rsidRDefault="00000000">
      <w:pPr>
        <w:spacing w:before="80" w:after="80"/>
      </w:pPr>
      <w:r>
        <w:t xml:space="preserve">Fix: Launched </w:t>
      </w:r>
      <w:proofErr w:type="spellStart"/>
      <w:r>
        <w:t>JupyterLab</w:t>
      </w:r>
      <w:proofErr w:type="spellEnd"/>
      <w:r>
        <w:t xml:space="preserve"> directly from Anaconda Prompt using '</w:t>
      </w:r>
      <w:proofErr w:type="spellStart"/>
      <w:r>
        <w:t>jupyter</w:t>
      </w:r>
      <w:proofErr w:type="spellEnd"/>
      <w:r>
        <w:t xml:space="preserve"> lab', ensuring it used the correct Python environment where TensorFlow 2.21.0 was installed.</w:t>
      </w:r>
    </w:p>
    <w:p w14:paraId="1C4CA4E0" w14:textId="77777777" w:rsidR="00953FD2" w:rsidRDefault="00953FD2"/>
    <w:p w14:paraId="435DEB49" w14:textId="3AE797C2" w:rsidR="00953FD2" w:rsidRDefault="00000000">
      <w:pPr>
        <w:spacing w:before="200" w:after="100"/>
      </w:pPr>
      <w:r>
        <w:rPr>
          <w:b/>
          <w:bCs/>
          <w:color w:val="404040"/>
          <w:sz w:val="24"/>
          <w:szCs w:val="24"/>
        </w:rPr>
        <w:t xml:space="preserve">Error </w:t>
      </w:r>
      <w:r w:rsidR="00BE6714">
        <w:rPr>
          <w:b/>
          <w:bCs/>
          <w:color w:val="404040"/>
          <w:sz w:val="24"/>
          <w:szCs w:val="24"/>
        </w:rPr>
        <w:t>2</w:t>
      </w:r>
      <w:r>
        <w:rPr>
          <w:b/>
          <w:bCs/>
          <w:color w:val="404040"/>
          <w:sz w:val="24"/>
          <w:szCs w:val="24"/>
        </w:rPr>
        <w:t xml:space="preserve">: </w:t>
      </w:r>
      <w:proofErr w:type="spellStart"/>
      <w:r>
        <w:rPr>
          <w:b/>
          <w:bCs/>
          <w:color w:val="404040"/>
          <w:sz w:val="24"/>
          <w:szCs w:val="24"/>
        </w:rPr>
        <w:t>FileNotFoundError</w:t>
      </w:r>
      <w:proofErr w:type="spellEnd"/>
      <w:r>
        <w:rPr>
          <w:b/>
          <w:bCs/>
          <w:color w:val="404040"/>
          <w:sz w:val="24"/>
          <w:szCs w:val="24"/>
        </w:rPr>
        <w:t xml:space="preserve"> — visualizations/correlation_heatmap.png</w:t>
      </w:r>
    </w:p>
    <w:p w14:paraId="0518150F" w14:textId="77777777" w:rsidR="00953FD2" w:rsidRDefault="00000000">
      <w:pPr>
        <w:spacing w:before="80" w:after="80"/>
      </w:pPr>
      <w:r>
        <w:t>Cause: The visualizations subfolder did not exist in the current working directory when the chart saving step ran.</w:t>
      </w:r>
    </w:p>
    <w:p w14:paraId="07EC8325" w14:textId="77777777" w:rsidR="00953FD2" w:rsidRDefault="00000000">
      <w:pPr>
        <w:spacing w:before="80" w:after="80"/>
      </w:pPr>
      <w:r>
        <w:lastRenderedPageBreak/>
        <w:t xml:space="preserve">Fix: Added </w:t>
      </w:r>
      <w:proofErr w:type="spellStart"/>
      <w:r>
        <w:t>os.makedirs</w:t>
      </w:r>
      <w:proofErr w:type="spellEnd"/>
      <w:r>
        <w:t xml:space="preserve">('visualizations', </w:t>
      </w:r>
      <w:proofErr w:type="spellStart"/>
      <w:r>
        <w:t>exist_ok</w:t>
      </w:r>
      <w:proofErr w:type="spellEnd"/>
      <w:r>
        <w:t xml:space="preserve">=True) before the saving step, and set the project working directory explicitly using </w:t>
      </w:r>
      <w:proofErr w:type="spellStart"/>
      <w:r>
        <w:t>os.chdir</w:t>
      </w:r>
      <w:proofErr w:type="spellEnd"/>
      <w:r>
        <w:t>() at the top of the notebook.</w:t>
      </w:r>
    </w:p>
    <w:p w14:paraId="176FD9BE" w14:textId="77777777" w:rsidR="00953FD2" w:rsidRDefault="00953FD2"/>
    <w:p w14:paraId="39010373" w14:textId="77777777" w:rsidR="00953FD2" w:rsidRDefault="00000000">
      <w:pPr>
        <w:spacing w:before="200" w:after="100"/>
      </w:pPr>
      <w:r>
        <w:rPr>
          <w:b/>
          <w:bCs/>
          <w:color w:val="404040"/>
          <w:sz w:val="24"/>
          <w:szCs w:val="24"/>
        </w:rPr>
        <w:t xml:space="preserve">Error 4: </w:t>
      </w:r>
      <w:proofErr w:type="spellStart"/>
      <w:r>
        <w:rPr>
          <w:b/>
          <w:bCs/>
          <w:color w:val="404040"/>
          <w:sz w:val="24"/>
          <w:szCs w:val="24"/>
        </w:rPr>
        <w:t>ModuleNotFoundError</w:t>
      </w:r>
      <w:proofErr w:type="spellEnd"/>
      <w:r>
        <w:rPr>
          <w:b/>
          <w:bCs/>
          <w:color w:val="404040"/>
          <w:sz w:val="24"/>
          <w:szCs w:val="24"/>
        </w:rPr>
        <w:t xml:space="preserve"> — No module named '</w:t>
      </w:r>
      <w:proofErr w:type="spellStart"/>
      <w:r>
        <w:rPr>
          <w:b/>
          <w:bCs/>
          <w:color w:val="404040"/>
          <w:sz w:val="24"/>
          <w:szCs w:val="24"/>
        </w:rPr>
        <w:t>kagglehub</w:t>
      </w:r>
      <w:proofErr w:type="spellEnd"/>
      <w:r>
        <w:rPr>
          <w:b/>
          <w:bCs/>
          <w:color w:val="404040"/>
          <w:sz w:val="24"/>
          <w:szCs w:val="24"/>
        </w:rPr>
        <w:t>'</w:t>
      </w:r>
    </w:p>
    <w:p w14:paraId="76EE19CE" w14:textId="77777777" w:rsidR="00953FD2" w:rsidRDefault="00000000">
      <w:pPr>
        <w:spacing w:before="80" w:after="80"/>
      </w:pPr>
      <w:r>
        <w:t xml:space="preserve">Cause: The </w:t>
      </w:r>
      <w:proofErr w:type="spellStart"/>
      <w:r>
        <w:t>kagglehub</w:t>
      </w:r>
      <w:proofErr w:type="spellEnd"/>
      <w:r>
        <w:t xml:space="preserve"> library was not installed in the active Python environment.</w:t>
      </w:r>
    </w:p>
    <w:p w14:paraId="2760FB88" w14:textId="77777777" w:rsidR="00953FD2" w:rsidRDefault="00000000">
      <w:pPr>
        <w:spacing w:before="80" w:after="80"/>
      </w:pPr>
      <w:r>
        <w:t xml:space="preserve">Fix: Installed via pip install </w:t>
      </w:r>
      <w:proofErr w:type="spellStart"/>
      <w:r>
        <w:t>kagglehub</w:t>
      </w:r>
      <w:proofErr w:type="spellEnd"/>
      <w:r>
        <w:t xml:space="preserve"> from Anaconda Prompt and configured Kaggle API credentials (</w:t>
      </w:r>
      <w:proofErr w:type="spellStart"/>
      <w:r>
        <w:t>kaggle.json</w:t>
      </w:r>
      <w:proofErr w:type="spellEnd"/>
      <w:r>
        <w:t>) in C:\Users\zahra\.kaggle\.</w:t>
      </w:r>
    </w:p>
    <w:p w14:paraId="4E9E6872" w14:textId="77777777" w:rsidR="00953FD2" w:rsidRDefault="00953FD2">
      <w:pPr>
        <w:pBdr>
          <w:bottom w:val="single" w:sz="4" w:space="1" w:color="CCCCCC"/>
        </w:pBdr>
        <w:spacing w:before="120" w:after="120"/>
      </w:pPr>
    </w:p>
    <w:p w14:paraId="2E19C7AA" w14:textId="77777777" w:rsidR="00953FD2" w:rsidRDefault="00000000">
      <w:pPr>
        <w:pStyle w:val="Heading1"/>
      </w:pPr>
      <w:r>
        <w:t>11. Conclusions &amp; Recommendations</w:t>
      </w:r>
    </w:p>
    <w:p w14:paraId="2E0D8DF7" w14:textId="77777777" w:rsidR="00953FD2" w:rsidRDefault="00000000">
      <w:pPr>
        <w:pStyle w:val="Heading2"/>
      </w:pPr>
      <w:r>
        <w:t>11.1 Conclusions</w:t>
      </w:r>
    </w:p>
    <w:p w14:paraId="590C01F7" w14:textId="77777777" w:rsidR="00953FD2" w:rsidRDefault="00000000">
      <w:pPr>
        <w:pStyle w:val="ListParagraph"/>
        <w:numPr>
          <w:ilvl w:val="0"/>
          <w:numId w:val="2"/>
        </w:numPr>
        <w:spacing w:before="60" w:after="60"/>
      </w:pPr>
      <w:r>
        <w:t>Linear Regression significantly outperformed LSTM on this dataset with MAE of $1.78 vs $54.56.</w:t>
      </w:r>
    </w:p>
    <w:p w14:paraId="3CB43447" w14:textId="77777777" w:rsidR="00953FD2" w:rsidRDefault="00000000">
      <w:pPr>
        <w:pStyle w:val="ListParagraph"/>
        <w:numPr>
          <w:ilvl w:val="0"/>
          <w:numId w:val="2"/>
        </w:numPr>
        <w:spacing w:before="60" w:after="60"/>
      </w:pPr>
      <w:r>
        <w:t>The LSTM's poor USD performance is likely caused by inverse scaling amplification and insufficient training data rather than a fundamental limitation of the architecture.</w:t>
      </w:r>
    </w:p>
    <w:p w14:paraId="68464F92" w14:textId="77777777" w:rsidR="00953FD2" w:rsidRDefault="00000000">
      <w:pPr>
        <w:pStyle w:val="ListParagraph"/>
        <w:numPr>
          <w:ilvl w:val="0"/>
          <w:numId w:val="2"/>
        </w:numPr>
        <w:spacing w:before="60" w:after="60"/>
      </w:pPr>
      <w:r>
        <w:t>Chronological splitting is non-negotiable for time-series — any random shuffle causes data leakage.</w:t>
      </w:r>
    </w:p>
    <w:p w14:paraId="6C6794B0" w14:textId="61B5CB0F" w:rsidR="00953FD2" w:rsidRDefault="00000000">
      <w:pPr>
        <w:pStyle w:val="ListParagraph"/>
        <w:numPr>
          <w:ilvl w:val="0"/>
          <w:numId w:val="2"/>
        </w:numPr>
        <w:spacing w:before="60" w:after="60"/>
      </w:pPr>
      <w:r>
        <w:t>Early</w:t>
      </w:r>
      <w:r w:rsidR="00BE6714">
        <w:t xml:space="preserve"> </w:t>
      </w:r>
      <w:r>
        <w:t xml:space="preserve">Stopping worked correctly, halting LSTM training at epoch 22 with best </w:t>
      </w:r>
      <w:proofErr w:type="spellStart"/>
      <w:r>
        <w:t>val_loss</w:t>
      </w:r>
      <w:proofErr w:type="spellEnd"/>
      <w:r>
        <w:t xml:space="preserve"> of 0.000530.</w:t>
      </w:r>
    </w:p>
    <w:p w14:paraId="5CC01F6B" w14:textId="77777777" w:rsidR="00953FD2" w:rsidRDefault="00000000">
      <w:pPr>
        <w:pStyle w:val="ListParagraph"/>
        <w:numPr>
          <w:ilvl w:val="0"/>
          <w:numId w:val="2"/>
        </w:numPr>
        <w:spacing w:before="60" w:after="60"/>
      </w:pPr>
      <w:r>
        <w:t>Technical indicators (SMA, EMA, RSI, Bollinger Bands) successfully enriched the raw OHLCV data with trend, momentum, and volatility signals.</w:t>
      </w:r>
    </w:p>
    <w:p w14:paraId="518232E6" w14:textId="77777777" w:rsidR="00953FD2" w:rsidRDefault="00953FD2"/>
    <w:p w14:paraId="0AE77208" w14:textId="77777777" w:rsidR="00953FD2" w:rsidRDefault="00000000">
      <w:pPr>
        <w:pStyle w:val="Heading2"/>
      </w:pPr>
      <w:r>
        <w:t>11.2 Recommendations for Improvement</w:t>
      </w:r>
    </w:p>
    <w:p w14:paraId="6C0E5387" w14:textId="77777777" w:rsidR="00953FD2" w:rsidRDefault="00000000">
      <w:pPr>
        <w:pStyle w:val="ListParagraph"/>
        <w:numPr>
          <w:ilvl w:val="0"/>
          <w:numId w:val="2"/>
        </w:numPr>
        <w:spacing w:before="60" w:after="60"/>
      </w:pPr>
      <w:r>
        <w:t xml:space="preserve">Fix LSTM inverse scaling: Verify that </w:t>
      </w:r>
      <w:proofErr w:type="spellStart"/>
      <w:r>
        <w:t>scaler_y</w:t>
      </w:r>
      <w:proofErr w:type="spellEnd"/>
      <w:r>
        <w:t xml:space="preserve"> is fitted only on training targets and that </w:t>
      </w:r>
      <w:proofErr w:type="spellStart"/>
      <w:r>
        <w:t>inverse_transform</w:t>
      </w:r>
      <w:proofErr w:type="spellEnd"/>
      <w:r>
        <w:t xml:space="preserve"> is applied correctly. Print a few raw scaled predictions vs inverse-scaled values to identify the source of amplification.</w:t>
      </w:r>
    </w:p>
    <w:p w14:paraId="7CA74BD7" w14:textId="77777777" w:rsidR="00953FD2" w:rsidRDefault="00000000">
      <w:pPr>
        <w:pStyle w:val="ListParagraph"/>
        <w:numPr>
          <w:ilvl w:val="0"/>
          <w:numId w:val="2"/>
        </w:numPr>
        <w:spacing w:before="60" w:after="60"/>
      </w:pPr>
      <w:r>
        <w:t>Add more training data: Extend the date range to 10+ years to give the LSTM more sequential patterns to learn from.</w:t>
      </w:r>
    </w:p>
    <w:p w14:paraId="3915633A" w14:textId="77777777" w:rsidR="00953FD2" w:rsidRDefault="00000000">
      <w:pPr>
        <w:pStyle w:val="ListParagraph"/>
        <w:numPr>
          <w:ilvl w:val="0"/>
          <w:numId w:val="2"/>
        </w:numPr>
        <w:spacing w:before="60" w:after="60"/>
      </w:pPr>
      <w:r>
        <w:t xml:space="preserve">Hyperparameter tuning: Use </w:t>
      </w:r>
      <w:proofErr w:type="spellStart"/>
      <w:r>
        <w:t>GridSearchCV</w:t>
      </w:r>
      <w:proofErr w:type="spellEnd"/>
      <w:r>
        <w:t xml:space="preserve"> or </w:t>
      </w:r>
      <w:proofErr w:type="spellStart"/>
      <w:r>
        <w:t>Keras</w:t>
      </w:r>
      <w:proofErr w:type="spellEnd"/>
      <w:r>
        <w:t xml:space="preserve"> Tuner to optimise LSTM units, dropout rate, learning rate, and lookback window.</w:t>
      </w:r>
    </w:p>
    <w:p w14:paraId="048C861C" w14:textId="77777777" w:rsidR="00953FD2" w:rsidRDefault="00000000">
      <w:pPr>
        <w:pStyle w:val="ListParagraph"/>
        <w:numPr>
          <w:ilvl w:val="0"/>
          <w:numId w:val="2"/>
        </w:numPr>
        <w:spacing w:before="60" w:after="60"/>
      </w:pPr>
      <w:r>
        <w:t>Add directional accuracy: Measure whether the model correctly predicts UP/DOWN direction, which matters more than dollar-level accuracy for trading applications.</w:t>
      </w:r>
    </w:p>
    <w:p w14:paraId="1E019214" w14:textId="77777777" w:rsidR="00953FD2" w:rsidRDefault="00000000">
      <w:pPr>
        <w:pStyle w:val="ListParagraph"/>
        <w:numPr>
          <w:ilvl w:val="0"/>
          <w:numId w:val="2"/>
        </w:numPr>
        <w:spacing w:before="60" w:after="60"/>
      </w:pPr>
      <w:r>
        <w:t xml:space="preserve">Try a Transformer architecture: </w:t>
      </w:r>
      <w:proofErr w:type="spellStart"/>
      <w:r>
        <w:t>MultiHeadAttention</w:t>
      </w:r>
      <w:proofErr w:type="spellEnd"/>
      <w:r>
        <w:t xml:space="preserve"> layers have outperformed LSTM on many financial benchmarks by attending to non-consecutive relevant past days.</w:t>
      </w:r>
    </w:p>
    <w:p w14:paraId="3D4DBBB1" w14:textId="77777777" w:rsidR="00953FD2" w:rsidRDefault="00000000">
      <w:pPr>
        <w:pStyle w:val="ListParagraph"/>
        <w:numPr>
          <w:ilvl w:val="0"/>
          <w:numId w:val="2"/>
        </w:numPr>
        <w:spacing w:before="60" w:after="60"/>
      </w:pPr>
      <w:r>
        <w:t>Walk-forward validation: Retrain on a rolling window each month and evaluate on the next month to simulate real deployment conditions.</w:t>
      </w:r>
    </w:p>
    <w:p w14:paraId="6A265881" w14:textId="77777777" w:rsidR="00953FD2" w:rsidRDefault="00953FD2">
      <w:pPr>
        <w:pBdr>
          <w:bottom w:val="single" w:sz="4" w:space="1" w:color="CCCCCC"/>
        </w:pBdr>
        <w:spacing w:before="120" w:after="120"/>
      </w:pPr>
    </w:p>
    <w:p w14:paraId="5C1E3995" w14:textId="77777777" w:rsidR="00953FD2" w:rsidRDefault="00000000">
      <w:pPr>
        <w:pStyle w:val="Heading1"/>
      </w:pPr>
      <w:r>
        <w:t>12. Tools &amp; Technologies Used</w:t>
      </w:r>
    </w:p>
    <w:p w14:paraId="0E93F87A" w14:textId="77777777" w:rsidR="00953FD2" w:rsidRDefault="00000000">
      <w:pPr>
        <w:pStyle w:val="ListParagraph"/>
        <w:numPr>
          <w:ilvl w:val="0"/>
          <w:numId w:val="2"/>
        </w:numPr>
        <w:spacing w:before="60" w:after="60"/>
      </w:pPr>
      <w:r>
        <w:lastRenderedPageBreak/>
        <w:t>Language: Python 3.x</w:t>
      </w:r>
    </w:p>
    <w:p w14:paraId="5DB010A6" w14:textId="77777777" w:rsidR="00953FD2" w:rsidRDefault="00000000">
      <w:pPr>
        <w:pStyle w:val="ListParagraph"/>
        <w:numPr>
          <w:ilvl w:val="0"/>
          <w:numId w:val="2"/>
        </w:numPr>
        <w:spacing w:before="60" w:after="60"/>
      </w:pPr>
      <w:r>
        <w:t xml:space="preserve">Environment: </w:t>
      </w:r>
      <w:proofErr w:type="spellStart"/>
      <w:r>
        <w:t>JupyterLab</w:t>
      </w:r>
      <w:proofErr w:type="spellEnd"/>
      <w:r>
        <w:t xml:space="preserve"> (Anaconda)</w:t>
      </w:r>
    </w:p>
    <w:p w14:paraId="467B9036" w14:textId="77777777" w:rsidR="00953FD2" w:rsidRDefault="00000000">
      <w:pPr>
        <w:pStyle w:val="ListParagraph"/>
        <w:numPr>
          <w:ilvl w:val="0"/>
          <w:numId w:val="2"/>
        </w:numPr>
        <w:spacing w:before="60" w:after="60"/>
      </w:pPr>
      <w:r>
        <w:t>Data Source: Kaggle Stock Market Dataset (jacksoncrow/stock-market-dataset)</w:t>
      </w:r>
    </w:p>
    <w:p w14:paraId="0D5854A4" w14:textId="77777777" w:rsidR="00953FD2" w:rsidRDefault="00000000">
      <w:pPr>
        <w:pStyle w:val="ListParagraph"/>
        <w:numPr>
          <w:ilvl w:val="0"/>
          <w:numId w:val="2"/>
        </w:numPr>
        <w:spacing w:before="60" w:after="60"/>
      </w:pPr>
      <w:r>
        <w:t xml:space="preserve">Data Manipulation: pandas, </w:t>
      </w:r>
      <w:proofErr w:type="spellStart"/>
      <w:r>
        <w:t>numpy</w:t>
      </w:r>
      <w:proofErr w:type="spellEnd"/>
    </w:p>
    <w:p w14:paraId="10B3D612" w14:textId="77777777" w:rsidR="00953FD2" w:rsidRDefault="00000000">
      <w:pPr>
        <w:pStyle w:val="ListParagraph"/>
        <w:numPr>
          <w:ilvl w:val="0"/>
          <w:numId w:val="2"/>
        </w:numPr>
        <w:spacing w:before="60" w:after="60"/>
      </w:pPr>
      <w:r>
        <w:t>Visualisation: matplotlib, seaborn</w:t>
      </w:r>
    </w:p>
    <w:p w14:paraId="5E2836BF" w14:textId="77777777" w:rsidR="00953FD2" w:rsidRDefault="00000000">
      <w:pPr>
        <w:pStyle w:val="ListParagraph"/>
        <w:numPr>
          <w:ilvl w:val="0"/>
          <w:numId w:val="2"/>
        </w:numPr>
        <w:spacing w:before="60" w:after="60"/>
      </w:pPr>
      <w:r>
        <w:t>Machine Learning: scikit-learn (</w:t>
      </w:r>
      <w:proofErr w:type="spellStart"/>
      <w:r>
        <w:t>LinearRegression</w:t>
      </w:r>
      <w:proofErr w:type="spellEnd"/>
      <w:r>
        <w:t>, MinMaxScaler, MAE, RMSE)</w:t>
      </w:r>
    </w:p>
    <w:p w14:paraId="47C91ECB" w14:textId="77777777" w:rsidR="00953FD2" w:rsidRDefault="00000000">
      <w:pPr>
        <w:pStyle w:val="ListParagraph"/>
        <w:numPr>
          <w:ilvl w:val="0"/>
          <w:numId w:val="2"/>
        </w:numPr>
        <w:spacing w:before="60" w:after="60"/>
      </w:pPr>
      <w:r>
        <w:t xml:space="preserve">Deep Learning: TensorFlow 2.21.0 / </w:t>
      </w:r>
      <w:proofErr w:type="spellStart"/>
      <w:r>
        <w:t>Keras</w:t>
      </w:r>
      <w:proofErr w:type="spellEnd"/>
      <w:r>
        <w:t xml:space="preserve"> (LSTM, Dense, Dropout, </w:t>
      </w:r>
      <w:proofErr w:type="spellStart"/>
      <w:r>
        <w:t>EarlyStopping</w:t>
      </w:r>
      <w:proofErr w:type="spellEnd"/>
      <w:r>
        <w:t>)</w:t>
      </w:r>
    </w:p>
    <w:p w14:paraId="09AF30AF" w14:textId="77777777" w:rsidR="00953FD2" w:rsidRDefault="00000000">
      <w:pPr>
        <w:pStyle w:val="ListParagraph"/>
        <w:numPr>
          <w:ilvl w:val="0"/>
          <w:numId w:val="2"/>
        </w:numPr>
        <w:spacing w:before="60" w:after="60"/>
      </w:pPr>
      <w:r>
        <w:t>Evaluation Metrics: MAE, RMSE, MAPE</w:t>
      </w:r>
    </w:p>
    <w:p w14:paraId="20EB625F" w14:textId="77777777" w:rsidR="00953FD2" w:rsidRDefault="00953FD2">
      <w:pPr>
        <w:pBdr>
          <w:bottom w:val="single" w:sz="4" w:space="1" w:color="CCCCCC"/>
        </w:pBdr>
        <w:spacing w:before="120" w:after="120"/>
      </w:pPr>
    </w:p>
    <w:p w14:paraId="13597341" w14:textId="77777777" w:rsidR="00953FD2" w:rsidRDefault="00953FD2"/>
    <w:p w14:paraId="69A747F9" w14:textId="77777777" w:rsidR="00953FD2" w:rsidRDefault="00000000">
      <w:pPr>
        <w:spacing w:before="400" w:after="200"/>
        <w:jc w:val="center"/>
      </w:pPr>
      <w:r>
        <w:rPr>
          <w:b/>
          <w:bCs/>
          <w:i/>
          <w:iCs/>
          <w:color w:val="808080"/>
          <w:sz w:val="24"/>
          <w:szCs w:val="24"/>
        </w:rPr>
        <w:t>End of Report</w:t>
      </w:r>
    </w:p>
    <w:sectPr w:rsidR="00953FD2">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056F8C"/>
    <w:multiLevelType w:val="hybridMultilevel"/>
    <w:tmpl w:val="3ABEF284"/>
    <w:lvl w:ilvl="0" w:tplc="78A82A82">
      <w:start w:val="1"/>
      <w:numFmt w:val="bullet"/>
      <w:lvlText w:val="●"/>
      <w:lvlJc w:val="left"/>
      <w:pPr>
        <w:ind w:left="720" w:hanging="360"/>
      </w:pPr>
    </w:lvl>
    <w:lvl w:ilvl="1" w:tplc="2AFA0F8E">
      <w:start w:val="1"/>
      <w:numFmt w:val="bullet"/>
      <w:lvlText w:val="○"/>
      <w:lvlJc w:val="left"/>
      <w:pPr>
        <w:ind w:left="1440" w:hanging="360"/>
      </w:pPr>
    </w:lvl>
    <w:lvl w:ilvl="2" w:tplc="29621F78">
      <w:start w:val="1"/>
      <w:numFmt w:val="bullet"/>
      <w:lvlText w:val="■"/>
      <w:lvlJc w:val="left"/>
      <w:pPr>
        <w:ind w:left="2160" w:hanging="360"/>
      </w:pPr>
    </w:lvl>
    <w:lvl w:ilvl="3" w:tplc="C3F04034">
      <w:start w:val="1"/>
      <w:numFmt w:val="bullet"/>
      <w:lvlText w:val="●"/>
      <w:lvlJc w:val="left"/>
      <w:pPr>
        <w:ind w:left="2880" w:hanging="360"/>
      </w:pPr>
    </w:lvl>
    <w:lvl w:ilvl="4" w:tplc="96E080C2">
      <w:start w:val="1"/>
      <w:numFmt w:val="bullet"/>
      <w:lvlText w:val="○"/>
      <w:lvlJc w:val="left"/>
      <w:pPr>
        <w:ind w:left="3600" w:hanging="360"/>
      </w:pPr>
    </w:lvl>
    <w:lvl w:ilvl="5" w:tplc="050298F2">
      <w:start w:val="1"/>
      <w:numFmt w:val="bullet"/>
      <w:lvlText w:val="■"/>
      <w:lvlJc w:val="left"/>
      <w:pPr>
        <w:ind w:left="4320" w:hanging="360"/>
      </w:pPr>
    </w:lvl>
    <w:lvl w:ilvl="6" w:tplc="E0C0A344">
      <w:start w:val="1"/>
      <w:numFmt w:val="bullet"/>
      <w:lvlText w:val="●"/>
      <w:lvlJc w:val="left"/>
      <w:pPr>
        <w:ind w:left="5040" w:hanging="360"/>
      </w:pPr>
    </w:lvl>
    <w:lvl w:ilvl="7" w:tplc="EFAC21F2">
      <w:start w:val="1"/>
      <w:numFmt w:val="bullet"/>
      <w:lvlText w:val="●"/>
      <w:lvlJc w:val="left"/>
      <w:pPr>
        <w:ind w:left="5760" w:hanging="360"/>
      </w:pPr>
    </w:lvl>
    <w:lvl w:ilvl="8" w:tplc="A19A2DAC">
      <w:start w:val="1"/>
      <w:numFmt w:val="bullet"/>
      <w:lvlText w:val="●"/>
      <w:lvlJc w:val="left"/>
      <w:pPr>
        <w:ind w:left="6480" w:hanging="360"/>
      </w:pPr>
    </w:lvl>
  </w:abstractNum>
  <w:abstractNum w:abstractNumId="1" w15:restartNumberingAfterBreak="0">
    <w:nsid w:val="372E11A4"/>
    <w:multiLevelType w:val="hybridMultilevel"/>
    <w:tmpl w:val="DC8EEF7E"/>
    <w:lvl w:ilvl="0" w:tplc="33D85328">
      <w:start w:val="1"/>
      <w:numFmt w:val="bullet"/>
      <w:lvlText w:val="•"/>
      <w:lvlJc w:val="left"/>
      <w:pPr>
        <w:ind w:left="720" w:hanging="360"/>
      </w:pPr>
    </w:lvl>
    <w:lvl w:ilvl="1" w:tplc="8716C126">
      <w:numFmt w:val="decimal"/>
      <w:lvlText w:val=""/>
      <w:lvlJc w:val="left"/>
    </w:lvl>
    <w:lvl w:ilvl="2" w:tplc="7E2E2054">
      <w:numFmt w:val="decimal"/>
      <w:lvlText w:val=""/>
      <w:lvlJc w:val="left"/>
    </w:lvl>
    <w:lvl w:ilvl="3" w:tplc="8DE2C200">
      <w:numFmt w:val="decimal"/>
      <w:lvlText w:val=""/>
      <w:lvlJc w:val="left"/>
    </w:lvl>
    <w:lvl w:ilvl="4" w:tplc="158CF48A">
      <w:numFmt w:val="decimal"/>
      <w:lvlText w:val=""/>
      <w:lvlJc w:val="left"/>
    </w:lvl>
    <w:lvl w:ilvl="5" w:tplc="E146FECC">
      <w:numFmt w:val="decimal"/>
      <w:lvlText w:val=""/>
      <w:lvlJc w:val="left"/>
    </w:lvl>
    <w:lvl w:ilvl="6" w:tplc="7744E4F0">
      <w:numFmt w:val="decimal"/>
      <w:lvlText w:val=""/>
      <w:lvlJc w:val="left"/>
    </w:lvl>
    <w:lvl w:ilvl="7" w:tplc="590A63CE">
      <w:numFmt w:val="decimal"/>
      <w:lvlText w:val=""/>
      <w:lvlJc w:val="left"/>
    </w:lvl>
    <w:lvl w:ilvl="8" w:tplc="4D8EA1F6">
      <w:numFmt w:val="decimal"/>
      <w:lvlText w:val=""/>
      <w:lvlJc w:val="left"/>
    </w:lvl>
  </w:abstractNum>
  <w:num w:numId="1" w16cid:durableId="1123576158">
    <w:abstractNumId w:val="0"/>
    <w:lvlOverride w:ilvl="0">
      <w:startOverride w:val="1"/>
    </w:lvlOverride>
  </w:num>
  <w:num w:numId="2" w16cid:durableId="103300049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3FD2"/>
    <w:rsid w:val="00105E4F"/>
    <w:rsid w:val="00953FD2"/>
    <w:rsid w:val="00BE6714"/>
  </w:rsids>
  <m:mathPr>
    <m:mathFont m:val="Cambria Math"/>
    <m:brkBin m:val="before"/>
    <m:brkBinSub m:val="--"/>
    <m:smallFrac m:val="0"/>
    <m:dispDef/>
    <m:lMargin m:val="0"/>
    <m:rMargin m:val="0"/>
    <m:defJc m:val="centerGroup"/>
    <m:wrapIndent m:val="1440"/>
    <m:intLim m:val="subSup"/>
    <m:naryLim m:val="undOvr"/>
  </m:mathPr>
  <w:themeFontLang w:val="en-001"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AB70A"/>
  <w15:docId w15:val="{0F44987B-E869-47DE-AC4E-D044EA494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001" w:eastAsia="en-001"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E6B4A"/>
      <w:sz w:val="32"/>
      <w:szCs w:val="32"/>
    </w:rPr>
  </w:style>
  <w:style w:type="paragraph" w:styleId="Heading2">
    <w:name w:val="heading 2"/>
    <w:uiPriority w:val="9"/>
    <w:unhideWhenUsed/>
    <w:qFormat/>
    <w:pPr>
      <w:spacing w:before="280" w:after="120"/>
      <w:outlineLvl w:val="1"/>
    </w:pPr>
    <w:rPr>
      <w:b/>
      <w:bCs/>
      <w:color w:val="1E6B4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1846</Words>
  <Characters>10526</Characters>
  <Application>Microsoft Office Word</Application>
  <DocSecurity>0</DocSecurity>
  <Lines>87</Lines>
  <Paragraphs>24</Paragraphs>
  <ScaleCrop>false</ScaleCrop>
  <Company/>
  <LinksUpToDate>false</LinksUpToDate>
  <CharactersWithSpaces>12348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zahra karrar</cp:lastModifiedBy>
  <cp:revision>2</cp:revision>
  <dcterms:created xsi:type="dcterms:W3CDTF">2026-03-27T06:48:00Z</dcterms:created>
  <dcterms:modified xsi:type="dcterms:W3CDTF">2026-03-27T06:53:00Z</dcterms:modified>
</cp:coreProperties>
</file>