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CUSTOMER SEGMENTATION</w:t>
      </w:r>
    </w:p>
    <w:p>
      <w:pPr>
        <w:spacing w:after="120"/>
        <w:jc w:val="center"/>
      </w:pPr>
      <w:r>
        <w:rPr>
          <w:rFonts w:ascii="Arial" w:cs="Arial" w:eastAsia="Arial" w:hAnsi="Arial"/>
          <w:color w:val="2E86AB"/>
          <w:sz w:val="32"/>
          <w:szCs w:val="32"/>
        </w:rPr>
        <w:t xml:space="preserve">Behavioural Analysis Using K-Means Clustering</w:t>
      </w:r>
    </w:p>
    <w:p>
      <w:pPr>
        <w:pBdr>
          <w:bottom w:val="single" w:color="2E86AB" w:sz="8" w:space="4"/>
        </w:pBdr>
        <w:spacing w:after="480"/>
        <w:jc w:val="center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Dataset: Synthetic Kaggle-style Customer Data  |  2,000 Records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Algorithm: K-Means (K=5)  |  Silhouette Score: 0.605</w:t>
      </w:r>
    </w:p>
    <w:p>
      <w:pPr>
        <w:spacing w:after="12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Prepared for: Task 3 – Data Science Project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Date: 2025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Project Methodology &amp; Roadmap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Dataset Overview &amp; Preprocessing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Exploratory Data Analysis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Clustering Model – K Selection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Clustering Results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Segment Profiles &amp; Characterisation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Visualisation Insights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Business Recommendations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Limitations &amp; Future Work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Conclusion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a complete customer segmentation analysis conducted on a 2,000-record customer dataset. Using unsupervised machine learning — specifically the K-Means clustering algorithm — we identified five distinct customer segments based on purchasing behaviour.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analysis reveals actionable patterns that can directly inform marketing strategy, resource allocation, and customer lifecycle management. The clustering model achieved a silhouette score of 0.605, indicating strong, well-separated segments.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4495E"/>
          <w:sz w:val="22"/>
          <w:szCs w:val="22"/>
        </w:rPr>
        <w:t xml:space="preserve">Key Findings at a Glance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 distinct customer segments identified, each with a unique behavioural fingerprint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Premium Loyalists (19%) drive the highest revenue — $301 avg order value, 23.4 purchases/year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Browsers (26%) represent the largest group but yield the lowest monetary value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Affluent Inactives (14.5%) — high-income customers who have disengaged — represent the biggest re-activation opportunity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PCA confirms 93.6% of total variance is captured in just 2 dimensions, validating cluster separability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Silhouette Score: 0.605 — well above the 0.5 threshold for strong clustering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Project Methodology &amp; Roadmap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10-step methodology was applied systematically to complete this segmentation project from raw data to business recommendations.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Step-by-Step Roadmap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Problem Definition – Identify business objective: group customers to enable targeted marketing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Acquisition – Use Kaggle-style customer dataset with behavioural and demographic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Exploratory Data Analysis (EDA) – Understand distributions, correlations, and outliers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Data Preprocessing – Handle missing values, encode categoricals, scale numeric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Selection – Choose the 5 most relevant clustering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 Selection – Use Elbow Method and Silhouette Score to determine optimal K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Model Training – Train K-Means (K=5) with n_init=20 for reproducibility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Cluster Analysis – Profile each cluster using aggregated statistics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Visualisation – PCA scatter, radar charts, heatmaps, and boxplots for interpretation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Recommendations – Translate segment profiles into marketing actions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Language: Python 3.12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Libraries: scikit-learn, pandas, numpy, matplotlib, seaborn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Algorithm: K-Means Clustering with PCA for dimensionality reduction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Validation: Silhouette Score, Inertia (Elbow Method)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Dataset Overview &amp; Preprocessing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3.1 Dataset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consists of 2,000 customer records with the following attributes:</w:t>
      </w:r>
    </w:p>
    <w:p>
      <w:pPr>
        <w:spacing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08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CustomerID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Gender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/ Female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Age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age in years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Annual_Income_k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income in thousands of dollars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Spending_Score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Mall-assigned score 1–100 (engagement proxy)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Purchase_Frequency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purchases per year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Avg_Order_Value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dollar value per transaction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Recency_days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5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since last purchase (lower = more recent)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3.2 Data Quality Assessment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Records: </w:t>
      </w:r>
      <w:r>
        <w:rPr>
          <w:rFonts w:ascii="Arial" w:cs="Arial" w:eastAsia="Arial" w:hAnsi="Arial"/>
          <w:sz w:val="22"/>
          <w:szCs w:val="22"/>
        </w:rPr>
        <w:t xml:space="preserve">2,000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Missing Values: </w:t>
      </w:r>
      <w:r>
        <w:rPr>
          <w:rFonts w:ascii="Arial" w:cs="Arial" w:eastAsia="Arial" w:hAnsi="Arial"/>
          <w:sz w:val="22"/>
          <w:szCs w:val="22"/>
        </w:rPr>
        <w:t xml:space="preserve">0 (dataset is complete)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Duplicate Rows: </w:t>
      </w:r>
      <w:r>
        <w:rPr>
          <w:rFonts w:ascii="Arial" w:cs="Arial" w:eastAsia="Arial" w:hAnsi="Arial"/>
          <w:sz w:val="22"/>
          <w:szCs w:val="22"/>
        </w:rPr>
        <w:t xml:space="preserve">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Outlier Treatment: </w:t>
      </w:r>
      <w:r>
        <w:rPr>
          <w:rFonts w:ascii="Arial" w:cs="Arial" w:eastAsia="Arial" w:hAnsi="Arial"/>
          <w:sz w:val="22"/>
          <w:szCs w:val="22"/>
        </w:rPr>
        <w:t xml:space="preserve">Values clipped to realistic domain bounds during generation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3.3 Preprocessing Pipeline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Selection: 5 behavioural features selected (CustomerID, Gender, Age excluded from clustering)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 Scaling: All features normalised to zero mean and unit variance using StandardScaler to prevent any single feature dominating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 on Recency: Higher values indicate longer absence — this negative relationship was accounted for in segment profiling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3.4 Descriptive Statistics (Pre-Scaling)</w:t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300"/>
        <w:gridCol w:w="1300"/>
        <w:gridCol w:w="1300"/>
        <w:gridCol w:w="1300"/>
        <w:gridCol w:w="1280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Std Dev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 Income (k$)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67.2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29.5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130.0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110.0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Spending Score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48.6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25.3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95.8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Frequency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11.9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Order Value ($)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149.6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103.9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436.5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426.5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Recency (days)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77.0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88.7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365</w:t>
            </w:r>
          </w:p>
        </w:tc>
        <w:tc>
          <w:tcPr>
            <w:tcW w:type="dxa" w:w="12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Exploratory Data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applying clustering, we examined feature distributions and inter-feature relationships to validate that the data contains naturally separable groups. The wide standard deviations across income, spending, and recency strongly suggested the presence of sub-populations.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4.1 Key Observations from EDA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Annual Income is bimodal, with peaks around $30–40k and $90–110k, indicating two distinct economic tiers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Spending Score is uniformly spread between 10–90, suggesting a genuine mix of low, mid, and high-engagement customers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Recency is right-skewed: most customers purchased recently, but a notable tail extends to 300+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Avg Order Value correlates positively with Income (r ≈ 0.65), confirming that higher earners spend more per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Frequency is largely independent of Income — suggesting deal-seeking behaviour cuts across income brackets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Clustering Model — K Selection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5.1 Elbow Method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elbow method plots within-cluster sum of squares (inertia) against K. We look for the "elbow" — the point where inertia reduction slows significantly. The plot below clearly shows this inflection point at K=5.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2095500"/>
            <wp:effectExtent t="0" r="0" b="0" l="0"/>
            <wp:docPr id="100" name="Image10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1: Elbow Method (left) and Silhouette Scores (right). Both methods converge on K=5 as optimal.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5.2 Silhouette Score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silhouette score measures how similar each point is to its own cluster vs other clusters (range: −1 to 1). Scores above 0.5 indicate strong clustering.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18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 Value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Silhouette Score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K=3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0.481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Acceptable – oversimplified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K=4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0.529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K=5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0.605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Strong ✓ Selected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K=6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0.571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Good – slight drop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K=7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0.543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Diminishing returns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Decision: </w:t>
      </w:r>
      <w:r>
        <w:rPr>
          <w:rFonts w:ascii="Arial" w:cs="Arial" w:eastAsia="Arial" w:hAnsi="Arial"/>
          <w:sz w:val="22"/>
          <w:szCs w:val="22"/>
        </w:rPr>
        <w:t xml:space="preserve">K=5 was selected based on the highest silhouette score (0.605) and clear elbow at K=5. This also aligns with business intuition — 5 segments are actionable and interpretable.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Clustering Results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6.1 PCA Scatter Plot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Principal Component Analysis (PCA) reduced the 5 features to 2 dimensions for visual validation. PC1 and PC2 together capture 93.6% of total variance — meaning the 2D projection faithfully represents the original data structure.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429000"/>
            <wp:effectExtent t="0" r="0" b="0" l="0"/>
            <wp:docPr id="101" name="Image10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2: 2D PCA scatter plot. Clusters are visually distinct with minimal overlap — confirming strong separation.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6.2 Segment Size Distribution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2857500"/>
            <wp:effectExtent t="0" r="0" b="0" l="0"/>
            <wp:docPr id="102" name="Image10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3: Segment size distribution. Mid-Market Casuals is the largest group; Premium Loyalists are the highest-value.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Segment Profiles &amp; Characterisation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cluster was profiled using mean values across all features, then labelled with a descriptive business name. The consolidated segment summary is presented below.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00"/>
        <w:gridCol w:w="900"/>
        <w:gridCol w:w="900"/>
        <w:gridCol w:w="900"/>
        <w:gridCol w:w="900"/>
        <w:gridCol w:w="900"/>
        <w:gridCol w:w="960"/>
      </w:tblGrid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Income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 Score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Freq/yr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Order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Recency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Loyalists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$99.8k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23.4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$301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🔴 High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Engaged Deal-Seekers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252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$62.8k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18.0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$79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🟠 High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Mid-Market Casuals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$57.6k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52.4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12.6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$129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51d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🟡 Med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Browsers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$32.2k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22.6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$40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🔵 Low</w:t>
            </w:r>
          </w:p>
        </w:tc>
      </w:tr>
      <w:tr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Affluent Inactives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$109.8k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20.4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$250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282d</w:t>
            </w:r>
          </w:p>
        </w:tc>
        <w:tc>
          <w:tcPr>
            <w:tcW w:type="dxa" w:w="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🟣 Re-engage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7.1 Premium Loyalists (n=379 | 19.0%)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highest-value segment. These customers combine high income with high engagement — purchasing frequently at premium price points with very recent activity. They are the brand ambassadors and repeat buyers every business needs.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annual income: $99.8k | Spending Score: 82.5/100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frequency: 23.4 times/year | Avg order: $301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Last purchased: 12 days ago on average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Loyalty programmes, VIP tiers, early product access, personalised service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7.2 Engaged Deal-Seekers (n=252 | 12.6%)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Moderately high spending score despite mid-range income — these customers shop frequently but opt for lower-ticket items. They respond strongly to promotions, bundles, and value offers.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Income: $62.8k | Spending Score: 75.1/100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Frequency: 18.0/year | Avg order: $79 | Recency: 22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Flash sales, bundle deals, referral rewards, loyalty points on volume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7.3 Mid-Market Casuals (n=559 | 28.0%)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largest segment — moderate on every dimension. Consistent but not exceptional buyers with room for both upselling and increased frequency.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Income: $57.6k | Spending Score: 52.4 | Frequency: 12.6/year | Avg Order: $129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Cross-sell campaigns, product discovery emails, seasonal promotions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7.4 Budget Browsers (n=520 | 26.0%)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Price-sensitive customers with modest incomes and low spending scores. They browse frequently but convert at lower rates and spend the least per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Income: $32.2k | Spending Score: 22.6 | Recency: 65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Avg Order: $39.6 — the lowest of all 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Discount thresholds, free shipping offers, clearance sales, value bundles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7.5 Affluent Inactives (n=290 | 14.5%)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most paradoxical segment: the highest incomes in the dataset ($109.8k) but the lowest spending engagement and the longest recency (282 days). These customers have the financial capacity to be top spenders but have disengaged.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Income: $109.8k | Spending Score: 20.4 | Avg Order: $250 | Recency: 282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High purchase value when active — represents significant re-activation upside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Strategy: Win-back campaigns, personalised outreach, premium re-engagement offers, satisfaction surveys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Visualisation Insights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8.1 Feature Heatmap (Normalised Profiles)</w:t>
      </w:r>
    </w:p>
    <w:p>
      <w:pPr>
        <w:spacing w:after="200" w:before="120"/>
        <w:jc w:val="center"/>
      </w:pPr>
      <w:r>
        <w:drawing>
          <wp:inline distT="0" distB="0" distL="0" distR="0">
            <wp:extent cx="5429250" cy="2667000"/>
            <wp:effectExtent t="0" r="0" b="0" l="0"/>
            <wp:docPr id="103" name="Image10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4: Heatmap showing normalised feature scores per segment. Darker = higher relative value.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heatmap clearly distinguishes: Premium Loyalists lead on Income, Spending, Frequency, and Order Value; Affluent Inactives score very high on Income but near-zero on Recency (inverted — worst recency); Budget Browsers show uniformly low scores across all dimensions.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8.2 Income vs Spending Scatter</w:t>
      </w:r>
    </w:p>
    <w:p>
      <w:pPr>
        <w:spacing w:after="200" w:before="120"/>
        <w:jc w:val="center"/>
      </w:pPr>
      <w:r>
        <w:drawing>
          <wp:inline distT="0" distB="0" distL="0" distR="0">
            <wp:extent cx="5334000" cy="3238500"/>
            <wp:effectExtent t="0" r="0" b="0" l="0"/>
            <wp:docPr id="104" name="Image10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5: The classic income vs spending segmentation view. Segments occupy distinct quadrants.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8.3 Radar Chart</w:t>
      </w:r>
    </w:p>
    <w:p>
      <w:pPr>
        <w:spacing w:after="200" w:before="120"/>
        <w:jc w:val="center"/>
      </w:pPr>
      <w:r>
        <w:drawing>
          <wp:inline distT="0" distB="0" distL="0" distR="0">
            <wp:extent cx="4000500" cy="4000500"/>
            <wp:effectExtent t="0" r="0" b="0" l="0"/>
            <wp:docPr id="105" name="Image10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6: Radar chart illustrating the behavioural fingerprint of each segment across all 5 features.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8.4 Feature Distribution Boxplots</w:t>
      </w:r>
    </w:p>
    <w:p>
      <w:pPr>
        <w:spacing w:after="200" w:before="120"/>
        <w:jc w:val="center"/>
      </w:pPr>
      <w:r>
        <w:drawing>
          <wp:inline distT="0" distB="0" distL="0" distR="0">
            <wp:extent cx="5524500" cy="2190750"/>
            <wp:effectExtent t="0" r="0" b="0" l="0"/>
            <wp:docPr id="106" name="Image10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Figure 7: Boxplots confirm that clusters differ significantly across Income, Spending, and Recency.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boxplots validate statistical separation between segments — notably the wide gap in recency between Affluent Inactives (median ~280 days) and Premium Loyalists (median ~12 days), and the clear income stratification between Budget Browsers and the top two segments.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Business Recommendations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targeted strategies are recommended for each segment, aligned with the RFM (Recency–Frequency–Monetary) framework.</w:t>
      </w:r>
    </w:p>
    <w:p>
      <w:pPr>
        <w:spacing w:after="80"/>
      </w:pPr>
      <w:r>
        <w:t xml:space="preserve"/>
      </w:r>
    </w:p>
    <w:tbl>
      <w:tblPr>
        <w:tblW w:type="dxa" w:w="9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00"/>
        <w:gridCol w:w="2200"/>
        <w:gridCol w:w="2380"/>
      </w:tblGrid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Goal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Actions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 to Track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Premium Loyalists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Retain &amp; Upsell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VIP loyalty tier, early access, premium bundles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EA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CLV, NPS, churn rate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Engaged Deal-Seekers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basket size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Bundle deals, cross-sell, referral programme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Order Value, referrals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Mid-Market Casuals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 frequency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Seasonal campaigns, personalisation, subscription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9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frequency, email CTR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Budget Browsers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 conversion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shipping thresholds, clearance, value packs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3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rate, CPA</w:t>
            </w:r>
          </w:p>
        </w:tc>
      </w:tr>
      <w:tr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Affluent Inactives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back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Personalised outreach, satisfaction survey, offer</w:t>
            </w:r>
          </w:p>
        </w:tc>
        <w:tc>
          <w:tcPr>
            <w:tcW w:type="dxa" w:w="23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0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Re-activation rate, Recency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10. Limitations &amp; Future Work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10.1 Current Limitations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Synthetic Dataset: While representative of real-world patterns, results should be validated on actual transactional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K-Means Assumptions: K-Means assumes spherical clusters of similar size — non-convex shapes may be better served by DBSCAN or Gaussian Mixture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Static Segmentation: Clusters are a snapshot; customer behaviour changes over time (solution: re-cluster quarterly)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Feature Scope: Demographic features (age, gender, geography) were excluded — including them may reveal finer sub-segments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RFM Scoring: A formal RFM composite score was not computed — this would strengthen the business interpretation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10.2 Recommended Future Extensions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Apply DBSCAN or Hierarchical Clustering to compare cluster quality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Introduce temporal modelling — track how customers migrate between segments over time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geographic and channel data (online vs in-store) for richer profiles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real-time segmentation pipeline using streaming data (Apache Kafka + scikit-learn)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 a propensity model per segment (e.g., churn probability, upsell likelihood)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11.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successfully applied the K-Means clustering algorithm to a 2,000-record customer dataset, identifying five meaningful and well-separated customer segments. The analysis followed a rigorous 10-step methodology — from data acquisition and preprocessing through to model validation and business recommendations.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five segments — Premium Loyalists, Engaged Deal-Seekers, Mid-Market Casuals, Budget Browsers, and Affluent Inactives — each present distinct behavioural fingerprints that can guide personalised, data-driven marketing strategies.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a silhouette score of 0.605 and 93.6% PCA variance explained, the model demonstrates strong statistical validity. The business recommendations derived from these segments offer concrete, actionable strategies ranging from VIP retention programmes for Premium Loyalists to re-activation campaigns for Affluent Inactives.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Bottom line: </w:t>
      </w:r>
      <w:r>
        <w:rPr>
          <w:rFonts w:ascii="Arial" w:cs="Arial" w:eastAsia="Arial" w:hAnsi="Arial"/>
          <w:sz w:val="22"/>
          <w:szCs w:val="22"/>
        </w:rPr>
        <w:t xml:space="preserve">Customer segmentation transforms raw purchasing data into strategic intelligence. With these five segments clearly defined, marketing spend can be allocated precisely — maximising return on investment and improving customer lifetime value across all groups.</w:t>
      </w:r>
    </w:p>
    <w:p>
      <w:r>
        <w:br w:type="page"/>
      </w:r>
    </w:p>
    <w:p>
      <w:pPr>
        <w:pStyle w:val="Heading1"/>
        <w:pBdr>
          <w:bottom w:val="single" w:color="2E86AB" w:sz="6" w:space="4"/>
        </w:pBdr>
        <w:spacing w:after="160" w:before="3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— Technical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A. Model Parameters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Algorithm: </w:t>
      </w:r>
      <w:r>
        <w:rPr>
          <w:rFonts w:ascii="Arial" w:cs="Arial" w:eastAsia="Arial" w:hAnsi="Arial"/>
          <w:sz w:val="22"/>
          <w:szCs w:val="22"/>
        </w:rPr>
        <w:t xml:space="preserve">K-Means (sklearn.cluster.KMeans)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 (n_clusters): </w:t>
      </w:r>
      <w:r>
        <w:rPr>
          <w:rFonts w:ascii="Arial" w:cs="Arial" w:eastAsia="Arial" w:hAnsi="Arial"/>
          <w:sz w:val="22"/>
          <w:szCs w:val="22"/>
        </w:rPr>
        <w:t xml:space="preserve">5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n_init: </w:t>
      </w:r>
      <w:r>
        <w:rPr>
          <w:rFonts w:ascii="Arial" w:cs="Arial" w:eastAsia="Arial" w:hAnsi="Arial"/>
          <w:sz w:val="22"/>
          <w:szCs w:val="22"/>
        </w:rPr>
        <w:t xml:space="preserve">20 (multiple initialisations for stability)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random_state: </w:t>
      </w:r>
      <w:r>
        <w:rPr>
          <w:rFonts w:ascii="Arial" w:cs="Arial" w:eastAsia="Arial" w:hAnsi="Arial"/>
          <w:sz w:val="22"/>
          <w:szCs w:val="22"/>
        </w:rPr>
        <w:t xml:space="preserve">42 (reproducibility)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Scaling: </w:t>
      </w:r>
      <w:r>
        <w:rPr>
          <w:rFonts w:ascii="Arial" w:cs="Arial" w:eastAsia="Arial" w:hAnsi="Arial"/>
          <w:sz w:val="22"/>
          <w:szCs w:val="22"/>
        </w:rPr>
        <w:t xml:space="preserve">StandardScaler (zero mean, unit variance)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Dimensionality Reduction: </w:t>
      </w:r>
      <w:r>
        <w:rPr>
          <w:rFonts w:ascii="Arial" w:cs="Arial" w:eastAsia="Arial" w:hAnsi="Arial"/>
          <w:sz w:val="22"/>
          <w:szCs w:val="22"/>
        </w:rPr>
        <w:t xml:space="preserve">PCA (2 components, 93.6% variance)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Silhouette Score: </w:t>
      </w:r>
      <w:r>
        <w:rPr>
          <w:rFonts w:ascii="Arial" w:cs="Arial" w:eastAsia="Arial" w:hAnsi="Arial"/>
          <w:sz w:val="22"/>
          <w:szCs w:val="22"/>
        </w:rPr>
        <w:t xml:space="preserve">0.605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B. Python Libraries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 2.x — data manipulation and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numpy — numerical computing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scikit-learn — KMeans, StandardScaler, PCA, silhouette_score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matplotlib — static visualisations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seaborn — statistical plots and heatmaps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4053"/>
          <w:sz w:val="26"/>
          <w:szCs w:val="26"/>
        </w:rPr>
        <w:t xml:space="preserve">C. Clustering Validation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Silhouette Score &gt; 0.5: Achieved (0.605) — clusters are well-defined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Inertia reduction: Confirmed elbow at K=5 with &gt;15% reduction from K=4 to K=5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PCA visual inspection: All 5 clusters visually separable in 2D projection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interpretability: Each cluster has a coherent, distinct, and actionable profile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  <w:tabs>
        <w:tab w:val="right" w:pos="9080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– Data Science Report  |  2025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Customer Segmentation Analysis  |  K-Means Clustering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4495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c913b10297687104040cc3774038637833a64e2.png"/><Relationship Id="rId10" Type="http://schemas.openxmlformats.org/officeDocument/2006/relationships/image" Target="media/da51b2debd847be75e1e54188c2ddf3f4afa4f03.png"/><Relationship Id="rId11" Type="http://schemas.openxmlformats.org/officeDocument/2006/relationships/image" Target="media/d4f0590571116265ee6da440739bee66b443e57f.png"/><Relationship Id="rId12" Type="http://schemas.openxmlformats.org/officeDocument/2006/relationships/image" Target="media/7881e05100fbb2d8edad98f589e5cf9e74a6c141.png"/><Relationship Id="rId13" Type="http://schemas.openxmlformats.org/officeDocument/2006/relationships/image" Target="media/79093c5919308e7d0d9d50ae0dac3870c0328bc4.png"/><Relationship Id="rId14" Type="http://schemas.openxmlformats.org/officeDocument/2006/relationships/image" Target="media/149f3e42262e217cc2e4cc95904426d821acc386.png"/><Relationship Id="rId15" Type="http://schemas.openxmlformats.org/officeDocument/2006/relationships/image" Target="media/34c4c618b45d92574173701de12239b5ec2aae0e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2026-04-28T10:36:37.673Z</dcterms:created>
  <dcterms:modified xsi:type="dcterms:W3CDTF">2026-04-28T10:36:37.674Z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