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950903">
      <w:pPr>
        <w:spacing w:before="2400" w:after="240"/>
        <w:jc w:val="center"/>
        <w:rPr>
          <w:u w:val="single"/>
        </w:rPr>
      </w:pPr>
      <w:r>
        <w:rPr>
          <w:rFonts w:ascii="Segoe UI" w:hAnsi="Segoe UI"/>
          <w:b/>
          <w:color w:val="DF2C2C"/>
          <w:sz w:val="64"/>
          <w:u w:val="single"/>
        </w:rPr>
        <w:t>DATABEL CHURN LENS</w:t>
      </w:r>
    </w:p>
    <w:p w14:paraId="650922FD">
      <w:pPr>
        <w:spacing w:after="3600"/>
        <w:jc w:val="center"/>
      </w:pPr>
      <w:r>
        <w:rPr>
          <w:rFonts w:ascii="Segoe UI" w:hAnsi="Segoe UI"/>
          <w:color w:val="666666"/>
          <w:sz w:val="28"/>
        </w:rPr>
        <w:t>Comprehensive Power BI Dashboard Implementation &amp; Analytics Guide</w:t>
      </w:r>
    </w:p>
    <w:p w14:paraId="66A4726F">
      <w:pPr>
        <w:jc w:val="center"/>
      </w:pPr>
      <w:r>
        <w:rPr>
          <w:rFonts w:ascii="Segoe UI" w:hAnsi="Segoe UI"/>
          <w:b/>
          <w:sz w:val="22"/>
        </w:rPr>
        <w:t>Author: Hassan Wahba</w:t>
      </w:r>
      <w:r>
        <w:rPr>
          <w:rFonts w:ascii="Segoe UI" w:hAnsi="Segoe UI"/>
          <w:b/>
          <w:sz w:val="22"/>
        </w:rPr>
        <w:br w:type="textWrapping"/>
      </w:r>
      <w:r>
        <w:rPr>
          <w:rFonts w:ascii="Segoe UI" w:hAnsi="Segoe UI"/>
          <w:b/>
          <w:sz w:val="22"/>
        </w:rPr>
        <w:t>Date: September 2026</w:t>
      </w:r>
    </w:p>
    <w:p w14:paraId="6AC55860">
      <w:r>
        <w:br w:type="page"/>
      </w:r>
    </w:p>
    <w:p w14:paraId="686D5C48">
      <w:pPr>
        <w:pStyle w:val="2"/>
        <w:keepNext/>
        <w:spacing w:before="240" w:after="120"/>
      </w:pPr>
      <w:r>
        <w:rPr>
          <w:rFonts w:ascii="Segoe UI" w:hAnsi="Segoe UI"/>
          <w:b/>
          <w:color w:val="DF2C2C"/>
          <w:sz w:val="36"/>
        </w:rPr>
        <w:t>1. Executive Summary &amp; Dashboard Metrics</w:t>
      </w:r>
    </w:p>
    <w:p w14:paraId="5467B6E6">
      <w:pPr>
        <w:spacing w:after="120" w:line="276" w:lineRule="auto"/>
      </w:pPr>
      <w:r>
        <w:rPr>
          <w:rFonts w:ascii="Segoe UI" w:hAnsi="Segoe UI"/>
          <w:color w:val="222222"/>
          <w:sz w:val="22"/>
        </w:rPr>
        <w:t>This document specifies the technical configurations and layout maps for the 'Databel Churn Lens' Power BI Dashboard. The analytics engine focuses on isolating the precise triggers causing telecom subscriber attrition, providing actionable metrics to enhance long-term retention strategies.</w:t>
      </w:r>
    </w:p>
    <w:tbl>
      <w:tblPr>
        <w:tblStyle w:val="38"/>
        <w:tblW w:w="0" w:type="auto"/>
        <w:tblInd w:w="0" w:type="dxa"/>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120"/>
        <w:gridCol w:w="3120"/>
        <w:gridCol w:w="3120"/>
      </w:tblGrid>
      <w:tr w14:paraId="4AD17E32">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PrEx>
        <w:tc>
          <w:tcPr>
            <w:tcW w:w="3120" w:type="dxa"/>
          </w:tcPr>
          <w:p w14:paraId="705448A1">
            <w:pPr>
              <w:spacing w:after="0" w:line="240" w:lineRule="auto"/>
              <w:rPr>
                <w:color w:val="376092" w:themeColor="accent1" w:themeShade="BF"/>
              </w:rPr>
            </w:pPr>
            <w:r>
              <w:rPr>
                <w:color w:val="376092" w:themeColor="accent1" w:themeShade="BF"/>
              </w:rPr>
              <w:t>KPI Metric Name</w:t>
            </w:r>
          </w:p>
        </w:tc>
        <w:tc>
          <w:tcPr>
            <w:tcW w:w="3120" w:type="dxa"/>
          </w:tcPr>
          <w:p w14:paraId="6292A7EF">
            <w:pPr>
              <w:spacing w:after="0" w:line="240" w:lineRule="auto"/>
              <w:rPr>
                <w:color w:val="376092" w:themeColor="accent1" w:themeShade="BF"/>
              </w:rPr>
            </w:pPr>
            <w:r>
              <w:rPr>
                <w:color w:val="376092" w:themeColor="accent1" w:themeShade="BF"/>
              </w:rPr>
              <w:t>Current Value</w:t>
            </w:r>
          </w:p>
        </w:tc>
        <w:tc>
          <w:tcPr>
            <w:tcW w:w="3120" w:type="dxa"/>
          </w:tcPr>
          <w:p w14:paraId="46D26725">
            <w:pPr>
              <w:spacing w:after="0" w:line="240" w:lineRule="auto"/>
              <w:rPr>
                <w:color w:val="376092" w:themeColor="accent1" w:themeShade="BF"/>
              </w:rPr>
            </w:pPr>
            <w:r>
              <w:rPr>
                <w:color w:val="376092" w:themeColor="accent1" w:themeShade="BF"/>
              </w:rPr>
              <w:t>Operational Significance</w:t>
            </w:r>
          </w:p>
        </w:tc>
      </w:tr>
      <w:tr w14:paraId="69540845">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120" w:type="dxa"/>
          </w:tcPr>
          <w:p w14:paraId="18C5033B">
            <w:pPr>
              <w:spacing w:after="0" w:line="240" w:lineRule="auto"/>
              <w:rPr>
                <w:color w:val="376092" w:themeColor="accent1" w:themeShade="BF"/>
              </w:rPr>
            </w:pPr>
            <w:r>
              <w:rPr>
                <w:color w:val="376092" w:themeColor="accent1" w:themeShade="BF"/>
              </w:rPr>
              <w:t>Total Customers</w:t>
            </w:r>
          </w:p>
        </w:tc>
        <w:tc>
          <w:tcPr>
            <w:tcW w:w="3120" w:type="dxa"/>
          </w:tcPr>
          <w:p w14:paraId="05740B59">
            <w:pPr>
              <w:spacing w:after="0" w:line="240" w:lineRule="auto"/>
              <w:rPr>
                <w:color w:val="376092" w:themeColor="accent1" w:themeShade="BF"/>
              </w:rPr>
            </w:pPr>
            <w:r>
              <w:rPr>
                <w:color w:val="376092" w:themeColor="accent1" w:themeShade="BF"/>
              </w:rPr>
              <w:t>6,687</w:t>
            </w:r>
          </w:p>
        </w:tc>
        <w:tc>
          <w:tcPr>
            <w:tcW w:w="3120" w:type="dxa"/>
          </w:tcPr>
          <w:p w14:paraId="403B3CF6">
            <w:pPr>
              <w:spacing w:after="0" w:line="240" w:lineRule="auto"/>
              <w:rPr>
                <w:color w:val="376092" w:themeColor="accent1" w:themeShade="BF"/>
              </w:rPr>
            </w:pPr>
            <w:r>
              <w:rPr>
                <w:color w:val="376092" w:themeColor="accent1" w:themeShade="BF"/>
              </w:rPr>
              <w:t>Total active and churned customer base ingested into the model.</w:t>
            </w:r>
          </w:p>
        </w:tc>
      </w:tr>
      <w:tr w14:paraId="32E0ECA6">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120" w:type="dxa"/>
          </w:tcPr>
          <w:p w14:paraId="44D8A1A0">
            <w:pPr>
              <w:spacing w:after="0" w:line="240" w:lineRule="auto"/>
              <w:rPr>
                <w:color w:val="376092" w:themeColor="accent1" w:themeShade="BF"/>
              </w:rPr>
            </w:pPr>
            <w:r>
              <w:rPr>
                <w:color w:val="376092" w:themeColor="accent1" w:themeShade="BF"/>
              </w:rPr>
              <w:t>Total Charges</w:t>
            </w:r>
          </w:p>
        </w:tc>
        <w:tc>
          <w:tcPr>
            <w:tcW w:w="3120" w:type="dxa"/>
          </w:tcPr>
          <w:p w14:paraId="1F8FCA4D">
            <w:pPr>
              <w:spacing w:after="0" w:line="240" w:lineRule="auto"/>
              <w:rPr>
                <w:color w:val="376092" w:themeColor="accent1" w:themeShade="BF"/>
              </w:rPr>
            </w:pPr>
            <w:r>
              <w:rPr>
                <w:color w:val="376092" w:themeColor="accent1" w:themeShade="BF"/>
              </w:rPr>
              <w:t>$7M</w:t>
            </w:r>
          </w:p>
        </w:tc>
        <w:tc>
          <w:tcPr>
            <w:tcW w:w="3120" w:type="dxa"/>
          </w:tcPr>
          <w:p w14:paraId="56C5EB86">
            <w:pPr>
              <w:spacing w:after="0" w:line="240" w:lineRule="auto"/>
              <w:rPr>
                <w:color w:val="376092" w:themeColor="accent1" w:themeShade="BF"/>
              </w:rPr>
            </w:pPr>
            <w:r>
              <w:rPr>
                <w:color w:val="376092" w:themeColor="accent1" w:themeShade="BF"/>
              </w:rPr>
              <w:t>Cumulative gross financial billing volume across entire lifecycle.</w:t>
            </w:r>
          </w:p>
        </w:tc>
      </w:tr>
      <w:tr w14:paraId="7E8A434F">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120" w:type="dxa"/>
          </w:tcPr>
          <w:p w14:paraId="2A927177">
            <w:pPr>
              <w:spacing w:after="0" w:line="240" w:lineRule="auto"/>
              <w:rPr>
                <w:color w:val="376092" w:themeColor="accent1" w:themeShade="BF"/>
              </w:rPr>
            </w:pPr>
            <w:r>
              <w:rPr>
                <w:color w:val="376092" w:themeColor="accent1" w:themeShade="BF"/>
              </w:rPr>
              <w:t>Active Customers</w:t>
            </w:r>
          </w:p>
        </w:tc>
        <w:tc>
          <w:tcPr>
            <w:tcW w:w="3120" w:type="dxa"/>
          </w:tcPr>
          <w:p w14:paraId="044FBE03">
            <w:pPr>
              <w:spacing w:after="0" w:line="240" w:lineRule="auto"/>
              <w:rPr>
                <w:color w:val="376092" w:themeColor="accent1" w:themeShade="BF"/>
              </w:rPr>
            </w:pPr>
            <w:r>
              <w:rPr>
                <w:color w:val="376092" w:themeColor="accent1" w:themeShade="BF"/>
              </w:rPr>
              <w:t>4,891</w:t>
            </w:r>
          </w:p>
        </w:tc>
        <w:tc>
          <w:tcPr>
            <w:tcW w:w="3120" w:type="dxa"/>
          </w:tcPr>
          <w:p w14:paraId="055DB9C5">
            <w:pPr>
              <w:spacing w:after="0" w:line="240" w:lineRule="auto"/>
              <w:rPr>
                <w:color w:val="376092" w:themeColor="accent1" w:themeShade="BF"/>
              </w:rPr>
            </w:pPr>
            <w:r>
              <w:rPr>
                <w:color w:val="376092" w:themeColor="accent1" w:themeShade="BF"/>
              </w:rPr>
              <w:t>Currently preserved base yielding active operational recurring revenue.</w:t>
            </w:r>
          </w:p>
        </w:tc>
      </w:tr>
      <w:tr w14:paraId="1B3F81EC">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120" w:type="dxa"/>
          </w:tcPr>
          <w:p w14:paraId="3CAC2619">
            <w:pPr>
              <w:spacing w:after="0" w:line="240" w:lineRule="auto"/>
              <w:rPr>
                <w:color w:val="376092" w:themeColor="accent1" w:themeShade="BF"/>
              </w:rPr>
            </w:pPr>
            <w:r>
              <w:rPr>
                <w:color w:val="376092" w:themeColor="accent1" w:themeShade="BF"/>
              </w:rPr>
              <w:t>Churned Customers</w:t>
            </w:r>
          </w:p>
        </w:tc>
        <w:tc>
          <w:tcPr>
            <w:tcW w:w="3120" w:type="dxa"/>
          </w:tcPr>
          <w:p w14:paraId="350F8421">
            <w:pPr>
              <w:spacing w:after="0" w:line="240" w:lineRule="auto"/>
              <w:rPr>
                <w:color w:val="376092" w:themeColor="accent1" w:themeShade="BF"/>
              </w:rPr>
            </w:pPr>
            <w:r>
              <w:rPr>
                <w:color w:val="376092" w:themeColor="accent1" w:themeShade="BF"/>
              </w:rPr>
              <w:t>1,796</w:t>
            </w:r>
          </w:p>
        </w:tc>
        <w:tc>
          <w:tcPr>
            <w:tcW w:w="3120" w:type="dxa"/>
          </w:tcPr>
          <w:p w14:paraId="3B7C98FE">
            <w:pPr>
              <w:spacing w:after="0" w:line="240" w:lineRule="auto"/>
              <w:rPr>
                <w:color w:val="376092" w:themeColor="accent1" w:themeShade="BF"/>
              </w:rPr>
            </w:pPr>
            <w:r>
              <w:rPr>
                <w:color w:val="376092" w:themeColor="accent1" w:themeShade="BF"/>
              </w:rPr>
              <w:t>Subscribers lost to competitors or churned due to dissatisfaction.</w:t>
            </w:r>
          </w:p>
        </w:tc>
      </w:tr>
    </w:tbl>
    <w:p w14:paraId="19CC3E2C">
      <w:pPr>
        <w:pStyle w:val="2"/>
        <w:keepNext/>
        <w:spacing w:before="240" w:after="120"/>
      </w:pPr>
      <w:r>
        <w:rPr>
          <w:rFonts w:ascii="Segoe UI" w:hAnsi="Segoe UI"/>
          <w:b/>
          <w:color w:val="DF2C2C"/>
          <w:sz w:val="36"/>
        </w:rPr>
        <w:t>2. Data Ingestion &amp; Transformation (Power Query ETL)</w:t>
      </w:r>
    </w:p>
    <w:p w14:paraId="60949E93">
      <w:pPr>
        <w:spacing w:after="120" w:line="276" w:lineRule="auto"/>
      </w:pPr>
      <w:r>
        <w:rPr>
          <w:rFonts w:ascii="Segoe UI" w:hAnsi="Segoe UI"/>
          <w:color w:val="222222"/>
          <w:sz w:val="22"/>
        </w:rPr>
        <w:t>To achieve clean statistical alignment across dynamic canvas elements, the following data cleansing protocols were systematically executed in the Power Query M engine:</w:t>
      </w:r>
    </w:p>
    <w:p w14:paraId="2E25E615">
      <w:pPr>
        <w:spacing w:after="120" w:line="276" w:lineRule="auto"/>
      </w:pPr>
      <w:r>
        <w:rPr>
          <w:rFonts w:ascii="Segoe UI" w:hAnsi="Segoe UI"/>
          <w:b/>
          <w:sz w:val="22"/>
        </w:rPr>
        <w:t>• Handling Null Churn Values:</w:t>
      </w:r>
      <w:r>
        <w:rPr>
          <w:rFonts w:ascii="Segoe UI" w:hAnsi="Segoe UI"/>
          <w:color w:val="222222"/>
          <w:sz w:val="22"/>
        </w:rPr>
        <w:t>Replaces missing strings across deactivated profiles to prevent 'Blank' label anomalies in clustered bar charts. Values transformed to 'Active Customer' where applicable.</w:t>
      </w:r>
    </w:p>
    <w:p w14:paraId="59F08288">
      <w:pPr>
        <w:spacing w:after="120" w:line="276" w:lineRule="auto"/>
      </w:pPr>
      <w:r>
        <w:rPr>
          <w:rFonts w:ascii="Segoe UI" w:hAnsi="Segoe UI"/>
          <w:b/>
          <w:sz w:val="22"/>
        </w:rPr>
        <w:t>• Columns Validation:</w:t>
      </w:r>
      <w:r>
        <w:rPr>
          <w:rFonts w:ascii="Segoe UI" w:hAnsi="Segoe UI"/>
          <w:color w:val="222222"/>
          <w:sz w:val="22"/>
        </w:rPr>
        <w:t>Explicitly forced textual schemas on fields like 'Churn Label' and binary grouping tags to optimize relationship modeling speed.</w:t>
      </w:r>
    </w:p>
    <w:p w14:paraId="3EA6427A">
      <w:pPr>
        <w:pStyle w:val="2"/>
        <w:keepNext/>
        <w:spacing w:before="240" w:after="120"/>
      </w:pPr>
      <w:r>
        <w:rPr>
          <w:rFonts w:ascii="Segoe UI" w:hAnsi="Segoe UI"/>
          <w:b/>
          <w:color w:val="DF2C2C"/>
          <w:sz w:val="36"/>
        </w:rPr>
        <w:t>3. Analytical Engineering &amp; Key DAX Formulations</w:t>
      </w:r>
    </w:p>
    <w:p w14:paraId="4B1423D7">
      <w:pPr>
        <w:spacing w:after="120" w:line="276" w:lineRule="auto"/>
      </w:pPr>
      <w:r>
        <w:rPr>
          <w:rFonts w:ascii="Segoe UI" w:hAnsi="Segoe UI"/>
          <w:color w:val="222222"/>
          <w:sz w:val="22"/>
        </w:rPr>
        <w:t>Dynamic aggregations on the Databel canvas rely on fully scale-optimized measures created within a dedicated metrics table:</w:t>
      </w:r>
    </w:p>
    <w:p w14:paraId="60AB3EDE">
      <w:pPr>
        <w:spacing w:after="120" w:line="276" w:lineRule="auto"/>
      </w:pPr>
      <w:r>
        <w:rPr>
          <w:b/>
        </w:rPr>
        <w:t xml:space="preserve">Measure </w:t>
      </w:r>
      <w:r>
        <w:rPr>
          <w:rFonts w:hint="default"/>
          <w:b/>
          <w:lang w:val="en-US"/>
        </w:rPr>
        <w:t>1</w:t>
      </w:r>
      <w:r>
        <w:rPr>
          <w:b/>
        </w:rPr>
        <w:t xml:space="preserve">: </w:t>
      </w:r>
      <w:r>
        <w:rPr>
          <w:rFonts w:hint="default"/>
          <w:b/>
          <w:lang w:val="en-US"/>
        </w:rPr>
        <w:t xml:space="preserve">Total Customers. </w:t>
      </w:r>
      <w:r>
        <w:rPr>
          <w:rFonts w:hint="default"/>
          <w:b w:val="0"/>
          <w:bCs/>
          <w:lang w:val="en-US"/>
        </w:rPr>
        <w:t>Account</w:t>
      </w:r>
      <w:r>
        <w:rPr>
          <w:b w:val="0"/>
          <w:bCs/>
        </w:rPr>
        <w:t xml:space="preserve"> </w:t>
      </w:r>
      <w:r>
        <w:t>for the total number of customers</w:t>
      </w:r>
    </w:p>
    <w:p w14:paraId="40934750">
      <w:pPr>
        <w:pBdr>
          <w:left w:val="single" w:color="2E75B6" w:sz="24" w:space="8"/>
        </w:pBdr>
        <w:shd w:val="clear" w:fill="F2F2F2"/>
        <w:spacing w:before="80" w:after="80"/>
        <w:ind w:left="576"/>
      </w:pPr>
      <w:r>
        <w:rPr>
          <w:rFonts w:hint="default" w:ascii="Consolas" w:hAnsi="Consolas"/>
          <w:color w:val="404040"/>
          <w:sz w:val="20"/>
          <w:lang w:val="en-US"/>
        </w:rPr>
        <w:t>Total Customers</w:t>
      </w:r>
      <w:r>
        <w:rPr>
          <w:rFonts w:ascii="Consolas" w:hAnsi="Consolas"/>
          <w:color w:val="404040"/>
          <w:sz w:val="20"/>
        </w:rPr>
        <w:t xml:space="preserve"> = COUNT('Databel - Data'[Customer ID])</w:t>
      </w:r>
    </w:p>
    <w:p w14:paraId="19255B87">
      <w:pPr>
        <w:spacing w:after="120" w:line="276" w:lineRule="auto"/>
        <w:rPr>
          <w:rFonts w:hint="default"/>
          <w:lang w:val="en-US"/>
        </w:rPr>
      </w:pPr>
      <w:r>
        <w:rPr>
          <w:b/>
        </w:rPr>
        <w:t xml:space="preserve">Measure </w:t>
      </w:r>
      <w:r>
        <w:rPr>
          <w:rFonts w:hint="default"/>
          <w:b/>
          <w:lang w:val="en-US"/>
        </w:rPr>
        <w:t>2</w:t>
      </w:r>
      <w:r>
        <w:rPr>
          <w:b/>
        </w:rPr>
        <w:t>: Churn</w:t>
      </w:r>
      <w:r>
        <w:rPr>
          <w:rFonts w:hint="default"/>
          <w:b/>
          <w:lang w:val="en-US"/>
        </w:rPr>
        <w:t>ed</w:t>
      </w:r>
      <w:r>
        <w:rPr>
          <w:b/>
        </w:rPr>
        <w:t xml:space="preserve"> </w:t>
      </w:r>
      <w:r>
        <w:rPr>
          <w:rFonts w:hint="default"/>
          <w:b/>
          <w:lang w:val="en-US"/>
        </w:rPr>
        <w:t>.</w:t>
      </w:r>
      <w:r>
        <w:t xml:space="preserve">Account for the total number of customers lost by </w:t>
      </w:r>
      <w:r>
        <w:rPr>
          <w:rFonts w:hint="default"/>
          <w:lang w:val="en-US"/>
        </w:rPr>
        <w:t xml:space="preserve">using Filter Column </w:t>
      </w:r>
      <w:r>
        <w:rPr>
          <w:rFonts w:hint="default"/>
          <w:lang w:val="en-US"/>
        </w:rPr>
        <w:br w:type="textWrapping"/>
      </w:r>
      <w:r>
        <w:rPr>
          <w:rFonts w:hint="default"/>
          <w:lang w:val="en-US"/>
        </w:rPr>
        <w:t>Churn Label=”YES”</w:t>
      </w:r>
    </w:p>
    <w:p w14:paraId="6240732F">
      <w:pPr>
        <w:pBdr>
          <w:left w:val="single" w:color="2E75B6" w:sz="24" w:space="8"/>
        </w:pBdr>
        <w:shd w:val="clear" w:fill="F2F2F2"/>
        <w:spacing w:before="80" w:after="80"/>
        <w:ind w:left="576"/>
        <w:rPr>
          <w:rFonts w:hint="default" w:ascii="Consolas" w:hAnsi="Consolas"/>
          <w:color w:val="404040"/>
          <w:sz w:val="20"/>
          <w:lang w:val="en-US"/>
        </w:rPr>
      </w:pPr>
      <w:r>
        <w:rPr>
          <w:rFonts w:ascii="Consolas" w:hAnsi="Consolas"/>
          <w:color w:val="404040"/>
          <w:sz w:val="20"/>
        </w:rPr>
        <w:t xml:space="preserve">Churned = </w:t>
      </w:r>
      <w:r>
        <w:rPr>
          <w:rFonts w:hint="default" w:ascii="Consolas" w:hAnsi="Consolas" w:eastAsia="Consolas" w:cs="Consolas"/>
          <w:b w:val="0"/>
          <w:bCs w:val="0"/>
          <w:color w:val="333333"/>
          <w:kern w:val="0"/>
          <w:sz w:val="18"/>
          <w:szCs w:val="18"/>
          <w:shd w:val="clear" w:fill="FFFFFF"/>
          <w:lang w:val="en-US" w:eastAsia="zh-CN" w:bidi="ar"/>
        </w:rPr>
        <w:t>CALCULATE([Total Customers]</w:t>
      </w:r>
      <w:r>
        <w:rPr>
          <w:rFonts w:ascii="Consolas" w:hAnsi="Consolas"/>
          <w:color w:val="404040"/>
          <w:sz w:val="20"/>
        </w:rPr>
        <w:t>,</w:t>
      </w:r>
      <w:r>
        <w:rPr>
          <w:rFonts w:hint="default" w:ascii="Consolas" w:hAnsi="Consolas" w:eastAsia="Consolas" w:cs="Consolas"/>
          <w:b w:val="0"/>
          <w:bCs w:val="0"/>
          <w:color w:val="333333"/>
          <w:kern w:val="0"/>
          <w:sz w:val="18"/>
          <w:szCs w:val="18"/>
          <w:shd w:val="clear" w:fill="FFFFFF"/>
          <w:lang w:val="en-US" w:eastAsia="zh-CN" w:bidi="ar"/>
        </w:rPr>
        <w:t>FILTER('Databel - Data','Databel - Data',</w:t>
      </w:r>
      <w:r>
        <w:rPr>
          <w:rFonts w:hint="default" w:ascii="Consolas" w:hAnsi="Consolas" w:eastAsia="Consolas" w:cs="Consolas"/>
          <w:b w:val="0"/>
          <w:bCs w:val="0"/>
          <w:color w:val="333333"/>
          <w:kern w:val="0"/>
          <w:sz w:val="18"/>
          <w:szCs w:val="18"/>
          <w:shd w:val="clear" w:fill="FFFFFF"/>
          <w:lang w:val="en-US" w:eastAsia="zh-CN" w:bidi="ar"/>
        </w:rPr>
        <w:br w:type="textWrapping"/>
      </w:r>
      <w:r>
        <w:rPr>
          <w:rFonts w:hint="default" w:ascii="Consolas" w:hAnsi="Consolas" w:eastAsia="Consolas" w:cs="Consolas"/>
          <w:b w:val="0"/>
          <w:bCs w:val="0"/>
          <w:color w:val="333333"/>
          <w:kern w:val="0"/>
          <w:sz w:val="18"/>
          <w:szCs w:val="18"/>
          <w:shd w:val="clear" w:fill="FFFFFF"/>
          <w:lang w:val="en-US" w:eastAsia="zh-CN" w:bidi="ar"/>
        </w:rPr>
        <w:t>'Databel - Data'[Churn Label]="YES"))</w:t>
      </w:r>
    </w:p>
    <w:p w14:paraId="67318A53">
      <w:pPr>
        <w:spacing w:after="120" w:line="276" w:lineRule="auto"/>
        <w:rPr>
          <w:rFonts w:hint="default"/>
          <w:lang w:val="en-US"/>
        </w:rPr>
      </w:pPr>
    </w:p>
    <w:p w14:paraId="17E93564">
      <w:pPr>
        <w:spacing w:after="120" w:line="276" w:lineRule="auto"/>
        <w:rPr>
          <w:rFonts w:hint="default"/>
          <w:lang w:val="en-US"/>
        </w:rPr>
      </w:pPr>
      <w:r>
        <w:rPr>
          <w:b/>
        </w:rPr>
        <w:t xml:space="preserve">Measure </w:t>
      </w:r>
      <w:r>
        <w:rPr>
          <w:rFonts w:hint="default"/>
          <w:b/>
          <w:lang w:val="en-US"/>
        </w:rPr>
        <w:t>3</w:t>
      </w:r>
      <w:r>
        <w:rPr>
          <w:b/>
        </w:rPr>
        <w:t xml:space="preserve">: </w:t>
      </w:r>
      <w:r>
        <w:rPr>
          <w:rFonts w:hint="default"/>
          <w:b/>
          <w:lang w:val="en-US"/>
        </w:rPr>
        <w:t>Active Customers .</w:t>
      </w:r>
      <w:r>
        <w:t xml:space="preserve">Account for the total number of </w:t>
      </w:r>
      <w:r>
        <w:rPr>
          <w:rFonts w:hint="default"/>
          <w:lang w:val="en-US"/>
        </w:rPr>
        <w:t xml:space="preserve">Active </w:t>
      </w:r>
      <w:r>
        <w:t xml:space="preserve">customers by </w:t>
      </w:r>
      <w:r>
        <w:rPr>
          <w:rFonts w:hint="default"/>
          <w:lang w:val="en-US"/>
        </w:rPr>
        <w:t>using Filter Column Churn Label= “NO”</w:t>
      </w:r>
    </w:p>
    <w:p w14:paraId="2B1E1A69">
      <w:pPr>
        <w:pBdr>
          <w:left w:val="single" w:color="2E75B6" w:sz="24" w:space="8"/>
        </w:pBdr>
        <w:shd w:val="clear" w:fill="F2F2F2"/>
        <w:spacing w:before="80" w:after="80"/>
        <w:ind w:left="576"/>
        <w:rPr>
          <w:rFonts w:hint="default" w:ascii="Consolas" w:hAnsi="Consolas"/>
          <w:color w:val="404040"/>
          <w:sz w:val="20"/>
          <w:lang w:val="en-US"/>
        </w:rPr>
      </w:pPr>
      <w:r>
        <w:rPr>
          <w:rFonts w:hint="default" w:ascii="Consolas" w:hAnsi="Consolas"/>
          <w:color w:val="404040"/>
          <w:sz w:val="20"/>
          <w:lang w:val="en-US"/>
        </w:rPr>
        <w:t>Active Customers</w:t>
      </w:r>
      <w:r>
        <w:rPr>
          <w:rFonts w:ascii="Consolas" w:hAnsi="Consolas"/>
          <w:color w:val="404040"/>
          <w:sz w:val="20"/>
        </w:rPr>
        <w:t xml:space="preserve">= </w:t>
      </w:r>
      <w:r>
        <w:rPr>
          <w:rFonts w:hint="default" w:ascii="Consolas" w:hAnsi="Consolas" w:eastAsia="Consolas" w:cs="Consolas"/>
          <w:b w:val="0"/>
          <w:bCs w:val="0"/>
          <w:color w:val="333333"/>
          <w:kern w:val="0"/>
          <w:sz w:val="18"/>
          <w:szCs w:val="18"/>
          <w:shd w:val="clear" w:fill="FFFFFF"/>
          <w:lang w:val="en-US" w:eastAsia="zh-CN" w:bidi="ar"/>
        </w:rPr>
        <w:t>CALCULATE([Total Customers]</w:t>
      </w:r>
      <w:r>
        <w:rPr>
          <w:rFonts w:ascii="Consolas" w:hAnsi="Consolas"/>
          <w:color w:val="404040"/>
          <w:sz w:val="20"/>
        </w:rPr>
        <w:t>,</w:t>
      </w:r>
      <w:r>
        <w:rPr>
          <w:rFonts w:hint="default" w:ascii="Consolas" w:hAnsi="Consolas" w:eastAsia="Consolas" w:cs="Consolas"/>
          <w:b w:val="0"/>
          <w:bCs w:val="0"/>
          <w:color w:val="333333"/>
          <w:kern w:val="0"/>
          <w:sz w:val="18"/>
          <w:szCs w:val="18"/>
          <w:shd w:val="clear" w:fill="FFFFFF"/>
          <w:lang w:val="en-US" w:eastAsia="zh-CN" w:bidi="ar"/>
        </w:rPr>
        <w:t>FILTER('Databel - Data','Databel - Data',</w:t>
      </w:r>
      <w:r>
        <w:rPr>
          <w:rFonts w:hint="default" w:ascii="Consolas" w:hAnsi="Consolas" w:eastAsia="Consolas" w:cs="Consolas"/>
          <w:b w:val="0"/>
          <w:bCs w:val="0"/>
          <w:color w:val="333333"/>
          <w:kern w:val="0"/>
          <w:sz w:val="18"/>
          <w:szCs w:val="18"/>
          <w:shd w:val="clear" w:fill="FFFFFF"/>
          <w:lang w:val="en-US" w:eastAsia="zh-CN" w:bidi="ar"/>
        </w:rPr>
        <w:br w:type="textWrapping"/>
      </w:r>
      <w:r>
        <w:rPr>
          <w:rFonts w:hint="default" w:ascii="Consolas" w:hAnsi="Consolas" w:eastAsia="Consolas" w:cs="Consolas"/>
          <w:b w:val="0"/>
          <w:bCs w:val="0"/>
          <w:color w:val="333333"/>
          <w:kern w:val="0"/>
          <w:sz w:val="18"/>
          <w:szCs w:val="18"/>
          <w:shd w:val="clear" w:fill="FFFFFF"/>
          <w:lang w:val="en-US" w:eastAsia="zh-CN" w:bidi="ar"/>
        </w:rPr>
        <w:t>'Databel - Data'[Churn Label]="NO"))</w:t>
      </w:r>
    </w:p>
    <w:p w14:paraId="6651A15C">
      <w:pPr>
        <w:spacing w:after="120" w:line="276" w:lineRule="auto"/>
        <w:rPr>
          <w:rFonts w:hint="default"/>
          <w:b/>
          <w:lang w:val="en-US"/>
        </w:rPr>
      </w:pPr>
      <w:r>
        <w:rPr>
          <w:b/>
        </w:rPr>
        <w:t xml:space="preserve">Measure </w:t>
      </w:r>
      <w:r>
        <w:rPr>
          <w:rFonts w:hint="default"/>
          <w:b/>
          <w:lang w:val="en-US"/>
        </w:rPr>
        <w:t>4</w:t>
      </w:r>
      <w:r>
        <w:rPr>
          <w:b/>
        </w:rPr>
        <w:t xml:space="preserve">: </w:t>
      </w:r>
      <w:r>
        <w:rPr>
          <w:rFonts w:hint="default"/>
          <w:b/>
          <w:lang w:val="en-US"/>
        </w:rPr>
        <w:t>Churn Percentage Rate. Determine the general proportional rate of loss against the historical base:</w:t>
      </w:r>
    </w:p>
    <w:p w14:paraId="260255E1">
      <w:pPr>
        <w:pBdr>
          <w:left w:val="single" w:color="2E75B6" w:sz="24" w:space="8"/>
        </w:pBdr>
        <w:shd w:val="clear" w:fill="F2F2F2"/>
        <w:spacing w:before="80" w:after="80"/>
        <w:ind w:left="576" w:firstLine="400" w:firstLineChars="200"/>
        <w:rPr>
          <w:rFonts w:hint="default" w:ascii="Consolas" w:hAnsi="Consolas"/>
          <w:color w:val="404040"/>
          <w:sz w:val="20"/>
          <w:lang w:val="en-US"/>
        </w:rPr>
      </w:pPr>
      <w:r>
        <w:rPr>
          <w:rFonts w:hint="default" w:ascii="Consolas" w:hAnsi="Consolas"/>
          <w:color w:val="404040"/>
          <w:sz w:val="20"/>
          <w:lang w:val="en-US"/>
        </w:rPr>
        <w:t xml:space="preserve">Churn Rate = </w:t>
      </w:r>
    </w:p>
    <w:p w14:paraId="2163168C">
      <w:pPr>
        <w:pBdr>
          <w:left w:val="single" w:color="2E75B6" w:sz="24" w:space="8"/>
        </w:pBdr>
        <w:shd w:val="clear" w:fill="F2F2F2"/>
        <w:spacing w:before="80" w:after="80"/>
        <w:ind w:left="576" w:firstLine="400" w:firstLineChars="200"/>
        <w:rPr>
          <w:rFonts w:hint="default" w:ascii="Consolas" w:hAnsi="Consolas"/>
          <w:color w:val="404040"/>
          <w:sz w:val="20"/>
          <w:lang w:val="en-US"/>
        </w:rPr>
      </w:pPr>
      <w:r>
        <w:rPr>
          <w:rFonts w:hint="default" w:ascii="Consolas" w:hAnsi="Consolas"/>
          <w:color w:val="404040"/>
          <w:sz w:val="20"/>
          <w:lang w:val="en-US"/>
        </w:rPr>
        <w:t>[Churned]/[Total Customers]</w:t>
      </w:r>
    </w:p>
    <w:p w14:paraId="6AD893EA">
      <w:pPr>
        <w:spacing w:after="120" w:line="276" w:lineRule="auto"/>
        <w:rPr>
          <w:rFonts w:hint="default"/>
          <w:b/>
          <w:lang w:val="en-US"/>
        </w:rPr>
      </w:pPr>
      <w:r>
        <w:rPr>
          <w:b/>
        </w:rPr>
        <w:t xml:space="preserve">Measure </w:t>
      </w:r>
      <w:r>
        <w:rPr>
          <w:rFonts w:hint="default"/>
          <w:b/>
          <w:lang w:val="en-US"/>
        </w:rPr>
        <w:t>5</w:t>
      </w:r>
      <w:r>
        <w:rPr>
          <w:b/>
        </w:rPr>
        <w:t xml:space="preserve">: </w:t>
      </w:r>
      <w:r>
        <w:rPr>
          <w:rFonts w:hint="default"/>
          <w:b/>
          <w:lang w:val="en-US"/>
        </w:rPr>
        <w:t>Total Chages. Determine the Total Charges of all Customers.</w:t>
      </w:r>
    </w:p>
    <w:p w14:paraId="126A5F56">
      <w:pPr>
        <w:pBdr>
          <w:left w:val="single" w:color="2E75B6" w:sz="24" w:space="8"/>
        </w:pBdr>
        <w:shd w:val="clear" w:fill="F2F2F2"/>
        <w:spacing w:before="80" w:after="80"/>
        <w:ind w:left="576" w:firstLine="400" w:firstLineChars="200"/>
        <w:rPr>
          <w:rFonts w:hint="default" w:ascii="Consolas" w:hAnsi="Consolas"/>
          <w:color w:val="404040"/>
          <w:sz w:val="20"/>
          <w:lang w:val="en-US"/>
        </w:rPr>
      </w:pPr>
      <w:r>
        <w:rPr>
          <w:rFonts w:hint="default" w:ascii="Consolas" w:hAnsi="Consolas"/>
          <w:color w:val="404040"/>
          <w:sz w:val="20"/>
          <w:lang w:val="en-US"/>
        </w:rPr>
        <w:t xml:space="preserve">Total Charges = </w:t>
      </w:r>
    </w:p>
    <w:p w14:paraId="0519AFBB">
      <w:pPr>
        <w:pBdr>
          <w:left w:val="single" w:color="2E75B6" w:sz="24" w:space="8"/>
        </w:pBdr>
        <w:shd w:val="clear" w:fill="F2F2F2"/>
        <w:spacing w:before="80" w:after="80"/>
        <w:ind w:left="576" w:firstLine="400" w:firstLineChars="200"/>
        <w:rPr>
          <w:rFonts w:ascii="Segoe UI" w:hAnsi="Segoe UI"/>
          <w:b/>
          <w:color w:val="DF2C2C"/>
          <w:sz w:val="36"/>
        </w:rPr>
      </w:pPr>
      <w:r>
        <w:rPr>
          <w:rFonts w:hint="default" w:ascii="Consolas" w:hAnsi="Consolas"/>
          <w:color w:val="404040"/>
          <w:sz w:val="20"/>
          <w:lang w:val="en-US"/>
        </w:rPr>
        <w:t>SUM('Databel - Data'[Total Charges])</w:t>
      </w:r>
      <w:bookmarkStart w:id="0" w:name="_GoBack"/>
      <w:bookmarkEnd w:id="0"/>
    </w:p>
    <w:p w14:paraId="48E99059">
      <w:pPr>
        <w:pStyle w:val="2"/>
        <w:keepNext/>
        <w:spacing w:before="240" w:after="120"/>
      </w:pPr>
      <w:r>
        <w:rPr>
          <w:rFonts w:ascii="Segoe UI" w:hAnsi="Segoe UI"/>
          <w:b/>
          <w:color w:val="DF2C2C"/>
          <w:sz w:val="36"/>
        </w:rPr>
        <w:t>4. Dashboard Canvas Layout Mapping</w:t>
      </w:r>
    </w:p>
    <w:p w14:paraId="12F48FB1">
      <w:pPr>
        <w:spacing w:after="120" w:line="276" w:lineRule="auto"/>
      </w:pPr>
      <w:r>
        <w:rPr>
          <w:rFonts w:ascii="Segoe UI" w:hAnsi="Segoe UI"/>
          <w:color w:val="222222"/>
          <w:sz w:val="22"/>
        </w:rPr>
        <w:t>The front-facing visual interface is architected utilizing a structured dark theme canvas, optimizing data density and prioritizing visual tracking:</w:t>
      </w:r>
    </w:p>
    <w:p w14:paraId="49F6505F">
      <w:pPr>
        <w:pStyle w:val="3"/>
        <w:keepNext/>
        <w:spacing w:before="240" w:after="120"/>
      </w:pPr>
      <w:r>
        <w:rPr>
          <w:rFonts w:ascii="Segoe UI" w:hAnsi="Segoe UI"/>
          <w:b/>
          <w:color w:val="333333"/>
          <w:sz w:val="28"/>
        </w:rPr>
        <w:t>Top Panel: Executive KPI Summary Block</w:t>
      </w:r>
    </w:p>
    <w:p w14:paraId="784BCDAA">
      <w:pPr>
        <w:spacing w:after="120" w:line="276" w:lineRule="auto"/>
      </w:pPr>
      <w:r>
        <w:rPr>
          <w:rFonts w:ascii="Segoe UI" w:hAnsi="Segoe UI"/>
          <w:color w:val="222222"/>
          <w:sz w:val="22"/>
        </w:rPr>
        <w:t>Renders standalone large KPI cards displaying 'Total Customers (6,687)', 'Total Charges ($7M)', 'Active (4,891)', and 'Churned (1,796)' to give an immediate high-level business pulse upon landing.</w:t>
      </w:r>
    </w:p>
    <w:p w14:paraId="5487EFF9">
      <w:pPr>
        <w:pStyle w:val="3"/>
        <w:keepNext/>
        <w:spacing w:before="240" w:after="120"/>
      </w:pPr>
      <w:r>
        <w:rPr>
          <w:rFonts w:ascii="Segoe UI" w:hAnsi="Segoe UI"/>
          <w:b/>
          <w:color w:val="333333"/>
          <w:sz w:val="28"/>
        </w:rPr>
        <w:t>Left Control Panel: Global Slicers</w:t>
      </w:r>
    </w:p>
    <w:p w14:paraId="5E9FCBBA">
      <w:pPr>
        <w:spacing w:after="120" w:line="276" w:lineRule="auto"/>
      </w:pPr>
      <w:r>
        <w:rPr>
          <w:rFonts w:ascii="Segoe UI" w:hAnsi="Segoe UI"/>
          <w:color w:val="222222"/>
          <w:sz w:val="22"/>
        </w:rPr>
        <w:t>Features quick-filter containers mapping across State, Gender, and Customer Group to instantly slice the entire analytical canvas down to localized segments.</w:t>
      </w:r>
    </w:p>
    <w:p w14:paraId="1D238891">
      <w:pPr>
        <w:pStyle w:val="3"/>
        <w:keepNext/>
        <w:spacing w:before="240" w:after="120"/>
      </w:pPr>
      <w:r>
        <w:rPr>
          <w:rFonts w:ascii="Segoe UI" w:hAnsi="Segoe UI"/>
          <w:b/>
          <w:color w:val="333333"/>
          <w:sz w:val="28"/>
        </w:rPr>
        <w:t>Central Analysis Grid: Root Causes &amp; Behavioral Profiling</w:t>
      </w:r>
    </w:p>
    <w:p w14:paraId="3E030A9A">
      <w:pPr>
        <w:spacing w:after="120" w:line="276" w:lineRule="auto"/>
      </w:pPr>
      <w:r>
        <w:rPr>
          <w:rFonts w:ascii="Segoe UI" w:hAnsi="Segoe UI"/>
          <w:color w:val="222222"/>
          <w:sz w:val="22"/>
        </w:rPr>
        <w:t>Provides a side-by-side diagnostic breakdown of why and how customers are leaving:</w:t>
      </w:r>
    </w:p>
    <w:p w14:paraId="71E1E24C">
      <w:pPr>
        <w:spacing w:after="120" w:line="276" w:lineRule="auto"/>
      </w:pPr>
      <w:r>
        <w:rPr>
          <w:rFonts w:ascii="Segoe UI" w:hAnsi="Segoe UI"/>
          <w:b/>
          <w:sz w:val="22"/>
        </w:rPr>
        <w:t>• Top 10 Churn Reason Visual:</w:t>
      </w:r>
      <w:r>
        <w:rPr>
          <w:rFonts w:ascii="Segoe UI" w:hAnsi="Segoe UI"/>
          <w:color w:val="222222"/>
          <w:sz w:val="22"/>
        </w:rPr>
        <w:t>A Horizontal Bar Chart using a Top N Filter (10) to prioritize high-impact issues. It reveals that 'Competitor made better offer' (311 cases) and 'Competitor had better devices' (297 cases) are the primary churn drivers.</w:t>
      </w:r>
    </w:p>
    <w:p w14:paraId="4A078D62">
      <w:pPr>
        <w:spacing w:after="120" w:line="276" w:lineRule="auto"/>
      </w:pPr>
      <w:r>
        <w:rPr>
          <w:rFonts w:ascii="Segoe UI" w:hAnsi="Segoe UI"/>
          <w:b/>
          <w:sz w:val="22"/>
        </w:rPr>
        <w:t>• Churn Rate by Customer Service Calls:</w:t>
      </w:r>
      <w:r>
        <w:rPr>
          <w:rFonts w:ascii="Segoe UI" w:hAnsi="Segoe UI"/>
          <w:color w:val="222222"/>
          <w:sz w:val="22"/>
        </w:rPr>
        <w:t>A Bar-and-Line combo chart showing a sharp upward spike in churn probability for clients interacting with customer support multiple times.</w:t>
      </w:r>
    </w:p>
    <w:p w14:paraId="3F34B96F">
      <w:pPr>
        <w:spacing w:after="120" w:line="276" w:lineRule="auto"/>
      </w:pPr>
      <w:r>
        <w:rPr>
          <w:rFonts w:ascii="Segoe UI" w:hAnsi="Segoe UI"/>
          <w:b/>
          <w:sz w:val="22"/>
        </w:rPr>
        <w:t>• Churn Rate by Contract Type Visual:</w:t>
      </w:r>
      <w:r>
        <w:rPr>
          <w:rFonts w:ascii="Segoe UI" w:hAnsi="Segoe UI"/>
          <w:color w:val="222222"/>
          <w:sz w:val="22"/>
        </w:rPr>
        <w:t>A Horizontal Bar Chart segmenting churn counts across different contractual tiers, indicating that Month-to-Month contracts carry an extremely high churn risk (47%) compared to longer commitments.</w:t>
      </w:r>
    </w:p>
    <w:p w14:paraId="2D80996D">
      <w:pPr>
        <w:spacing w:after="120" w:line="276" w:lineRule="auto"/>
      </w:pPr>
      <w:r>
        <w:rPr>
          <w:rFonts w:ascii="Segoe UI" w:hAnsi="Segoe UI"/>
          <w:b/>
          <w:sz w:val="22"/>
        </w:rPr>
        <w:t>• Churn Rate by State Map:</w:t>
      </w:r>
      <w:r>
        <w:rPr>
          <w:rFonts w:ascii="Segoe UI" w:hAnsi="Segoe UI"/>
          <w:color w:val="222222"/>
          <w:sz w:val="22"/>
        </w:rPr>
        <w:t>An interactive map visual isolating geographic clusters to discover macro-regional service degradation.</w:t>
      </w:r>
    </w:p>
    <w:p w14:paraId="27FD3A57">
      <w:pPr>
        <w:pStyle w:val="2"/>
        <w:keepNext/>
        <w:spacing w:before="240" w:after="120"/>
      </w:pPr>
      <w:r>
        <w:rPr>
          <w:rFonts w:ascii="Segoe UI" w:hAnsi="Segoe UI"/>
          <w:b/>
          <w:color w:val="DF2C2C"/>
          <w:sz w:val="36"/>
        </w:rPr>
        <w:t>5. Business Analytics Checklist</w:t>
      </w:r>
    </w:p>
    <w:p w14:paraId="08AFB670">
      <w:pPr>
        <w:spacing w:after="120" w:line="276" w:lineRule="auto"/>
      </w:pPr>
      <w:r>
        <w:rPr>
          <w:rFonts w:ascii="Segoe UI" w:hAnsi="Segoe UI"/>
          <w:color w:val="222222"/>
          <w:sz w:val="22"/>
        </w:rPr>
        <w:t>Before pushing changes to production or publishing to Power BI Service, complete the following data integrity verification checks:</w:t>
      </w:r>
    </w:p>
    <w:p w14:paraId="70128B00">
      <w:pPr>
        <w:spacing w:after="120" w:line="276" w:lineRule="auto"/>
      </w:pPr>
      <w:r>
        <w:rPr>
          <w:rFonts w:ascii="Segoe UI" w:hAnsi="Segoe UI"/>
          <w:b/>
          <w:sz w:val="22"/>
        </w:rPr>
        <w:t>1.</w:t>
      </w:r>
      <w:r>
        <w:rPr>
          <w:rFonts w:ascii="Segoe UI" w:hAnsi="Segoe UI"/>
          <w:color w:val="222222"/>
          <w:sz w:val="22"/>
        </w:rPr>
        <w:t>Confirm cross-filtering interactions (Edit Interactions) between Churn Category and Top 10 Reasons render accurate synchronized subsets.</w:t>
      </w:r>
    </w:p>
    <w:p w14:paraId="712FB9E0">
      <w:pPr>
        <w:spacing w:after="120" w:line="276" w:lineRule="auto"/>
      </w:pPr>
      <w:r>
        <w:rPr>
          <w:rFonts w:ascii="Segoe UI" w:hAnsi="Segoe UI"/>
          <w:b/>
          <w:sz w:val="22"/>
        </w:rPr>
        <w:t>2.</w:t>
      </w:r>
      <w:r>
        <w:rPr>
          <w:rFonts w:ascii="Segoe UI" w:hAnsi="Segoe UI"/>
          <w:color w:val="222222"/>
          <w:sz w:val="22"/>
        </w:rPr>
        <w:t>Verify that all currency fields map directly to Fixed Decimal numeric data types to eliminate round-off calculation drift.</w:t>
      </w:r>
    </w:p>
    <w:p w14:paraId="0A551E20">
      <w:pPr>
        <w:spacing w:after="120" w:line="276" w:lineRule="auto"/>
        <w:rPr>
          <w:rFonts w:ascii="Segoe UI" w:hAnsi="Segoe UI"/>
          <w:color w:val="222222"/>
          <w:sz w:val="22"/>
        </w:rPr>
      </w:pPr>
      <w:r>
        <w:rPr>
          <w:rFonts w:ascii="Segoe UI" w:hAnsi="Segoe UI"/>
          <w:b/>
          <w:sz w:val="22"/>
        </w:rPr>
        <w:t>3.</w:t>
      </w:r>
      <w:r>
        <w:rPr>
          <w:rFonts w:ascii="Segoe UI" w:hAnsi="Segoe UI"/>
          <w:color w:val="222222"/>
          <w:sz w:val="22"/>
        </w:rPr>
        <w:t>Ensure any added slicer automatically triggers a re-evaluation of the Churn Rate gauge to preserve true dynamic slicing capability.</w:t>
      </w:r>
    </w:p>
    <w:p w14:paraId="0F8C01FA">
      <w:pPr>
        <w:spacing w:after="120" w:line="276" w:lineRule="auto"/>
        <w:rPr>
          <w:rFonts w:hint="default" w:ascii="Segoe UI" w:hAnsi="Segoe UI"/>
          <w:color w:val="222222"/>
          <w:sz w:val="22"/>
          <w:lang w:val="en-US"/>
        </w:rPr>
      </w:pPr>
      <w:r>
        <w:rPr>
          <w:rFonts w:hint="default" w:ascii="Segoe UI" w:hAnsi="Segoe UI"/>
          <w:color w:val="222222"/>
          <w:sz w:val="22"/>
          <w:lang w:val="en-US"/>
        </w:rPr>
        <w:drawing>
          <wp:inline distT="0" distB="0" distL="114300" distR="114300">
            <wp:extent cx="5939790" cy="3672840"/>
            <wp:effectExtent l="0" t="0" r="3810" b="0"/>
            <wp:docPr id="1" name="Picture 1" descr="Databel-Churn-Lens_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atabel-Churn-Lens_HW"/>
                    <pic:cNvPicPr>
                      <a:picLocks noChangeAspect="1"/>
                    </pic:cNvPicPr>
                  </pic:nvPicPr>
                  <pic:blipFill>
                    <a:blip r:embed="rId6"/>
                    <a:stretch>
                      <a:fillRect/>
                    </a:stretch>
                  </pic:blipFill>
                  <pic:spPr>
                    <a:xfrm>
                      <a:off x="0" y="0"/>
                      <a:ext cx="5939790" cy="3672840"/>
                    </a:xfrm>
                    <a:prstGeom prst="rect">
                      <a:avLst/>
                    </a:prstGeom>
                  </pic:spPr>
                </pic:pic>
              </a:graphicData>
            </a:graphic>
          </wp:inline>
        </w:drawing>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6796FCB"/>
    <w:rsid w:val="7E8C0B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652</Words>
  <Characters>4146</Characters>
  <Lines>0</Lines>
  <Paragraphs>0</Paragraphs>
  <TotalTime>1</TotalTime>
  <ScaleCrop>false</ScaleCrop>
  <LinksUpToDate>false</LinksUpToDate>
  <CharactersWithSpaces>4740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حسن وهبه</cp:lastModifiedBy>
  <dcterms:modified xsi:type="dcterms:W3CDTF">2026-09-17T10:30:40Z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eyJoZGlkIjoiODdkZGU2NGUzZWYyYmE1MDQ3ODc4M2M4NWVkMGY1YzIiLCJ1c2VySWQiOiIxNDQzMTA5NjU3MTU0NyJ9</vt:lpwstr>
  </property>
  <property fmtid="{D5CDD505-2E9C-101B-9397-08002B2CF9AE}" pid="3" name="KSOProductBuildVer">
    <vt:lpwstr>1033-12.1.0.28485</vt:lpwstr>
  </property>
  <property fmtid="{D5CDD505-2E9C-101B-9397-08002B2CF9AE}" pid="4" name="ICV">
    <vt:lpwstr>1B5434B948AF4281B9CB8F2F16709B34_12</vt:lpwstr>
  </property>
</Properties>
</file>