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3A3D3">
      <w:pPr>
        <w:spacing w:after="360"/>
        <w:jc w:val="center"/>
      </w:pPr>
      <w:r>
        <w:rPr>
          <w:b/>
          <w:color w:val="1B365D"/>
          <w:sz w:val="52"/>
        </w:rPr>
        <w:t>HR Analytics &amp; Employee Attrition Enterprise Power BI Report</w:t>
      </w:r>
    </w:p>
    <w:p w14:paraId="1F908DDA">
      <w:pPr>
        <w:spacing w:after="480"/>
        <w:jc w:val="center"/>
      </w:pPr>
      <w:r>
        <w:rPr>
          <w:i/>
          <w:color w:val="4A777A"/>
          <w:sz w:val="28"/>
        </w:rPr>
        <w:t>Comprehensive Technical Documentation &amp; System Architecture</w:t>
      </w:r>
    </w:p>
    <w:p w14:paraId="079EA084">
      <w:pPr>
        <w:keepNext/>
        <w:spacing w:before="440" w:after="160"/>
      </w:pPr>
      <w:r>
        <w:rPr>
          <w:b/>
          <w:color w:val="1B365D"/>
          <w:sz w:val="36"/>
        </w:rPr>
        <w:t>1. Executive Summary &amp; Solution Overview</w:t>
      </w:r>
    </w:p>
    <w:p w14:paraId="6B80A3E5">
      <w:pPr>
        <w:spacing w:after="120"/>
      </w:pPr>
      <w:r>
        <w:t>This enterprise-grade, high-precision data analytics solution is engineered and fully developed utilizing Power BI Desktop for Atlas Lab - Analytics &amp; Insights. The dynamic application provides proactive, multi-dimensional exploratory intelligence on workforce health, attrition anomalies, and turnover risk factors (Employee Attrition). It equips executive stakeholders with data-driven strategic retention insights to safeguard human capital and replace arbitrary business forecasting with empirical evidence.</w:t>
      </w:r>
    </w:p>
    <w:p w14:paraId="58D5AE8C">
      <w:pPr>
        <w:spacing w:after="120"/>
        <w:rPr>
          <w:rFonts w:hint="default"/>
          <w:lang w:val="en-US"/>
        </w:rPr>
      </w:pPr>
      <w:r>
        <w:rPr>
          <w:rFonts w:hint="default"/>
          <w:lang w:val="en-US"/>
        </w:rPr>
        <w:drawing>
          <wp:inline distT="0" distB="0" distL="114300" distR="114300">
            <wp:extent cx="5928995" cy="3554730"/>
            <wp:effectExtent l="0" t="0" r="14605" b="11430"/>
            <wp:docPr id="1" name="Picture 1" descr="Attri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ttrition2"/>
                    <pic:cNvPicPr>
                      <a:picLocks noChangeAspect="1"/>
                    </pic:cNvPicPr>
                  </pic:nvPicPr>
                  <pic:blipFill>
                    <a:blip r:embed="rId6"/>
                    <a:stretch>
                      <a:fillRect/>
                    </a:stretch>
                  </pic:blipFill>
                  <pic:spPr>
                    <a:xfrm>
                      <a:off x="0" y="0"/>
                      <a:ext cx="5928995" cy="3554730"/>
                    </a:xfrm>
                    <a:prstGeom prst="rect">
                      <a:avLst/>
                    </a:prstGeom>
                  </pic:spPr>
                </pic:pic>
              </a:graphicData>
            </a:graphic>
          </wp:inline>
        </w:drawing>
      </w:r>
    </w:p>
    <w:p w14:paraId="411C6E05">
      <w:pPr>
        <w:keepNext/>
        <w:spacing w:before="440" w:after="160"/>
      </w:pPr>
      <w:r>
        <w:rPr>
          <w:b/>
          <w:color w:val="1B365D"/>
          <w:sz w:val="36"/>
        </w:rPr>
        <w:t>2. Data Engineering &amp; Project Development Workflow</w:t>
      </w:r>
    </w:p>
    <w:p w14:paraId="7AB589F5">
      <w:pPr>
        <w:spacing w:after="120"/>
      </w:pPr>
      <w:r>
        <w:t>The end-to-end development of this business intelligence platform followed a rigorous, sequential 5-stage data engineering process to guarantee absolute computing performance, data integrity, and cross-filtering consistency:</w:t>
      </w:r>
    </w:p>
    <w:p w14:paraId="217A7B89">
      <w:pPr>
        <w:pStyle w:val="23"/>
        <w:spacing w:after="80"/>
      </w:pPr>
      <w:r>
        <w:rPr>
          <w:b/>
        </w:rPr>
        <w:t xml:space="preserve">Stage 1 - Data Acquisition &amp; Ingestion: </w:t>
      </w:r>
      <w:r>
        <w:t xml:space="preserve"> Extracting and ingesting longitudinal corporate transactional matrices from disparate environments, including the core active employee register and historical panel evaluation logs. Power Query was utilized to validate schema data types, purge null structures, and anchor unique keys.</w:t>
      </w:r>
    </w:p>
    <w:p w14:paraId="72E1F03D">
      <w:pPr>
        <w:pStyle w:val="23"/>
        <w:spacing w:after="80"/>
      </w:pPr>
      <w:r>
        <w:rPr>
          <w:b/>
        </w:rPr>
        <w:t xml:space="preserve">Stage 2 - Time-Intelligence Engineering: </w:t>
      </w:r>
      <w:r>
        <w:t xml:space="preserve"> Programmatically generating an independent time-intelligence table (DimDate) using specialized DAX scripts. This isolates fiscal intervals, tracking calendar dates across precise dimensions (Years, Quarters, Months, Days) to protect longitudinal turnover metrics.</w:t>
      </w:r>
    </w:p>
    <w:p w14:paraId="60CA3A36">
      <w:pPr>
        <w:pStyle w:val="23"/>
        <w:spacing w:after="80"/>
      </w:pPr>
      <w:r>
        <w:rPr>
          <w:b/>
        </w:rPr>
        <w:t xml:space="preserve">Stage 3 - Star Schema Relational Modeling: </w:t>
      </w:r>
      <w:r>
        <w:t xml:space="preserve"> Transforming detached files into a unified relational architecture optimized as a Star Schema. The central transactions table is structured as a centralized Fact Terminal connected to peripheral lookup dimensions via optimized 1:N structural relationships.</w:t>
      </w:r>
    </w:p>
    <w:p w14:paraId="492812BE">
      <w:pPr>
        <w:pStyle w:val="23"/>
        <w:spacing w:after="80"/>
      </w:pPr>
      <w:r>
        <w:rPr>
          <w:b/>
        </w:rPr>
        <w:t xml:space="preserve">Stage 4 - Advanced DAX Calculations: </w:t>
      </w:r>
      <w:r>
        <w:t xml:space="preserve"> Engineering a powerful computational framework using advanced DAX scripting. 12 customized measures were formulated to isolate core headcount statuses, velocities, and sentiment metrics while enforcing programmatic relationship path overrides.</w:t>
      </w:r>
    </w:p>
    <w:p w14:paraId="2163D6CC">
      <w:pPr>
        <w:pStyle w:val="23"/>
        <w:spacing w:after="80"/>
      </w:pPr>
      <w:r>
        <w:rPr>
          <w:b/>
        </w:rPr>
        <w:t xml:space="preserve">Stage 5 - Interactive Dashboard Presentation (UI/UX): </w:t>
      </w:r>
      <w:r>
        <w:t xml:space="preserve"> Converting processed datasets into interactive storytelling dashboards. The layout implements a synchronized left sidebar navigation cockpit that drives multi-layered visuals on the right-hand canvas, customized for immediate corporate auditing.</w:t>
      </w:r>
    </w:p>
    <w:p w14:paraId="0E340670">
      <w:pPr>
        <w:keepNext/>
        <w:spacing w:before="440" w:after="160"/>
      </w:pPr>
      <w:r>
        <w:rPr>
          <w:b/>
          <w:color w:val="1B365D"/>
          <w:sz w:val="36"/>
        </w:rPr>
        <w:t>3. Unified Left Sidebar Master Panel Anatomy</w:t>
      </w:r>
    </w:p>
    <w:p w14:paraId="7CE79E3F">
      <w:pPr>
        <w:spacing w:after="120"/>
      </w:pPr>
      <w:r>
        <w:t>The user interface relies on a strict general layout form featuring a persistent Fixed Left Sidebar Navigation &amp; Filter Control Panel that remains uniform across all four analytical canvases. This workspace layout acts as an isolated, standalone operational control cockpit structured vertically into four dedicated quadrants:</w:t>
      </w:r>
    </w:p>
    <w:p w14:paraId="2B95C163">
      <w:pPr>
        <w:spacing w:after="120"/>
        <w:rPr>
          <w:rFonts w:hint="default"/>
          <w:lang w:val="en-US"/>
        </w:rPr>
      </w:pPr>
      <w:r>
        <w:rPr>
          <w:rFonts w:hint="default"/>
          <w:lang w:val="en-US"/>
        </w:rPr>
        <w:drawing>
          <wp:inline distT="0" distB="0" distL="114300" distR="114300">
            <wp:extent cx="5938520" cy="3487420"/>
            <wp:effectExtent l="0" t="0" r="5080" b="2540"/>
            <wp:docPr id="2" name="Picture 2" descr="The Mai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Main Layout"/>
                    <pic:cNvPicPr>
                      <a:picLocks noChangeAspect="1"/>
                    </pic:cNvPicPr>
                  </pic:nvPicPr>
                  <pic:blipFill>
                    <a:blip r:embed="rId7"/>
                    <a:stretch>
                      <a:fillRect/>
                    </a:stretch>
                  </pic:blipFill>
                  <pic:spPr>
                    <a:xfrm>
                      <a:off x="0" y="0"/>
                      <a:ext cx="5938520" cy="3487420"/>
                    </a:xfrm>
                    <a:prstGeom prst="rect">
                      <a:avLst/>
                    </a:prstGeom>
                  </pic:spPr>
                </pic:pic>
              </a:graphicData>
            </a:graphic>
          </wp:inline>
        </w:drawing>
      </w:r>
    </w:p>
    <w:p w14:paraId="5CAED37E">
      <w:pPr>
        <w:keepNext/>
        <w:spacing w:before="320" w:after="120"/>
      </w:pPr>
      <w:r>
        <w:rPr>
          <w:b/>
          <w:color w:val="4A777A"/>
          <w:sz w:val="28"/>
        </w:rPr>
        <w:t>Quadrant I: Header Node &amp; Corporate Identity</w:t>
      </w:r>
    </w:p>
    <w:p w14:paraId="39F46550">
      <w:pPr>
        <w:pStyle w:val="23"/>
        <w:spacing w:after="80"/>
      </w:pPr>
      <w:r>
        <w:rPr>
          <w:b/>
        </w:rPr>
        <w:t xml:space="preserve">Embedded Asset: </w:t>
      </w:r>
      <w:r>
        <w:t>The official operational emblem configured and registered via internal workspace descriptors under the name 'attrition-icon-trendy-design'.</w:t>
      </w:r>
    </w:p>
    <w:p w14:paraId="6FDF6E0C">
      <w:pPr>
        <w:pStyle w:val="23"/>
        <w:spacing w:after="80"/>
      </w:pPr>
      <w:r>
        <w:rPr>
          <w:b/>
        </w:rPr>
        <w:t xml:space="preserve">UI/UX Visual Purpose: </w:t>
      </w:r>
      <w:r>
        <w:t>Acts as the primary application brand anchor and corporate logo. Positioned at the apex of the left panel to instantly establish an authoritative visual baseline, verifying that all cross-filtered variables are entirely dedicated to evaluating Workforce Turnover Risk with zero outside distortion.</w:t>
      </w:r>
    </w:p>
    <w:p w14:paraId="698DC734">
      <w:pPr>
        <w:keepNext/>
        <w:spacing w:before="320" w:after="120"/>
      </w:pPr>
      <w:r>
        <w:rPr>
          <w:b/>
          <w:color w:val="4A777A"/>
          <w:sz w:val="28"/>
        </w:rPr>
        <w:t>Quadrant II: Dynamic Sheet-less Page Navigation System</w:t>
      </w:r>
    </w:p>
    <w:p w14:paraId="7F20180A">
      <w:pPr>
        <w:pStyle w:val="23"/>
        <w:spacing w:after="80"/>
      </w:pPr>
      <w:r>
        <w:rPr>
          <w:b/>
        </w:rPr>
        <w:t xml:space="preserve">Embedded Asset: </w:t>
      </w:r>
      <w:r>
        <w:t>A matrix row consisting of 4 custom interactive navigation nodes programmatically hardcoded to completely override and hide native Power BI sheet tab arrays.</w:t>
      </w:r>
    </w:p>
    <w:p w14:paraId="0D472508">
      <w:pPr>
        <w:pStyle w:val="23"/>
        <w:spacing w:after="80"/>
      </w:pPr>
      <w:r>
        <w:rPr>
          <w:b/>
        </w:rPr>
        <w:t xml:space="preserve">UI/UX Interactivity Engine: </w:t>
      </w:r>
      <w:r>
        <w:t>Every selector node is linked via workspace triggers to the exact page sequences ordered sequentially as follows: Overview -&gt; Demographics -&gt; Performance Tracker -&gt; Attrition. This engine employs conditional visual states (Active State Configuration), illuminating the active sheet marker in a sharp Neon Lime Hue while damping non-active keys into a muted Charcoal profile to reduce visual distraction.</w:t>
      </w:r>
    </w:p>
    <w:p w14:paraId="7D645EDF">
      <w:pPr>
        <w:keepNext/>
        <w:spacing w:before="320" w:after="120"/>
      </w:pPr>
      <w:r>
        <w:rPr>
          <w:b/>
          <w:color w:val="4A777A"/>
          <w:sz w:val="28"/>
        </w:rPr>
        <w:t>Quadrant III: Integrated Global Filter Grid (Slicers Panel)</w:t>
      </w:r>
    </w:p>
    <w:p w14:paraId="0E988F58">
      <w:pPr>
        <w:pStyle w:val="23"/>
        <w:spacing w:after="80"/>
      </w:pPr>
      <w:r>
        <w:rPr>
          <w:b/>
        </w:rPr>
        <w:t xml:space="preserve">Embedded Asset: </w:t>
      </w:r>
      <w:r>
        <w:t>A dedicated vertical slicer stack housed under the (Filter) node that channels logical expressions and triggers cross-filtering queries across right-hand analytical charts instantly. It contains calibrated parameters:</w:t>
      </w:r>
    </w:p>
    <w:p w14:paraId="0DBFE00A">
      <w:pPr>
        <w:pStyle w:val="23"/>
        <w:spacing w:after="80"/>
      </w:pPr>
      <w:r>
        <w:rPr>
          <w:b/>
        </w:rPr>
        <w:t xml:space="preserve">Temporal Filter (Year Slicer): </w:t>
      </w:r>
      <w:r>
        <w:t>Filters the reporting layer across specific fiscal years to track turnover velocity and volumetric trends across time.</w:t>
      </w:r>
    </w:p>
    <w:p w14:paraId="15029489">
      <w:pPr>
        <w:pStyle w:val="23"/>
        <w:spacing w:after="80"/>
      </w:pPr>
      <w:r>
        <w:rPr>
          <w:b/>
        </w:rPr>
        <w:t xml:space="preserve">Organizational Filter (Department Slicer): </w:t>
      </w:r>
      <w:r>
        <w:t>Restricts data queries to map explicit corporate divisions (e.g., Sales, Technology, Human Resources).</w:t>
      </w:r>
    </w:p>
    <w:p w14:paraId="1F090864">
      <w:pPr>
        <w:pStyle w:val="23"/>
        <w:spacing w:after="80"/>
      </w:pPr>
      <w:r>
        <w:rPr>
          <w:b/>
        </w:rPr>
        <w:t xml:space="preserve">Demographic Filter (Gender Slicer): </w:t>
      </w:r>
      <w:r>
        <w:t>Splits transactional employee records by gender classifications (Male, Female, Non-Binary) to perform gender-balanced retention audits.</w:t>
      </w:r>
    </w:p>
    <w:p w14:paraId="389395C8">
      <w:pPr>
        <w:keepNext/>
        <w:spacing w:before="320" w:after="120"/>
      </w:pPr>
      <w:r>
        <w:rPr>
          <w:b/>
          <w:color w:val="4A777A"/>
          <w:sz w:val="28"/>
        </w:rPr>
        <w:t>Quadrant IV: Master Operations Reset Node (Clear Filters)</w:t>
      </w:r>
    </w:p>
    <w:p w14:paraId="10E5EF01">
      <w:pPr>
        <w:pStyle w:val="23"/>
        <w:spacing w:after="80"/>
      </w:pPr>
      <w:r>
        <w:rPr>
          <w:b/>
        </w:rPr>
        <w:t xml:space="preserve">Embedded Asset: </w:t>
      </w:r>
      <w:r>
        <w:t>The operational clear filter macro icon colored in a crisp Orange and White theme, registered inside layout resource folders as '234-2349519_clear-filter-icon'.</w:t>
      </w:r>
    </w:p>
    <w:p w14:paraId="600EA891">
      <w:pPr>
        <w:pStyle w:val="23"/>
        <w:spacing w:after="80"/>
      </w:pPr>
      <w:r>
        <w:rPr>
          <w:b/>
        </w:rPr>
        <w:t xml:space="preserve">Programmatic Architecture: </w:t>
      </w:r>
      <w:r>
        <w:t>Placed at the base of the panel as a final control node. It is mapped to a macro command (Bookmark Action) that instantly purges all selected criteria inside the Quadrant III filter stack and forces right-hand reporting canvases to refresh back to their baseline un-filtered raw states within milliseconds.</w:t>
      </w:r>
    </w:p>
    <w:p w14:paraId="2D65AD26">
      <w:pPr>
        <w:keepNext/>
        <w:spacing w:before="440" w:after="160"/>
      </w:pPr>
      <w:r>
        <w:rPr>
          <w:b/>
          <w:color w:val="1B365D"/>
          <w:sz w:val="36"/>
        </w:rPr>
        <w:t>4. Dataset Scale, Volumetric Metrics &amp; Scope</w:t>
      </w:r>
    </w:p>
    <w:p w14:paraId="30B068EA">
      <w:pPr>
        <w:spacing w:after="120"/>
      </w:pPr>
      <w:r>
        <w:t>The reporting application is powered by an extensive, high-fidelity relational corporate database detailing the longitudinal professional lifecycles of workforce cohorts across separate tables:</w:t>
      </w:r>
    </w:p>
    <w:p w14:paraId="7AB5B83D">
      <w:pPr>
        <w:pStyle w:val="23"/>
        <w:spacing w:after="80"/>
      </w:pPr>
      <w:r>
        <w:rPr>
          <w:b/>
        </w:rPr>
        <w:t xml:space="preserve">The Employee Registry Dimension (DimEmployee): </w:t>
      </w:r>
      <w:r>
        <w:t>Contains the complete demographic, baseline financial, and contractual operational records of 1,470 distinct employee profiles, mapping 23 unique data attributes per row (including Age, Department, Salary, Job Role, and Hire Date).</w:t>
      </w:r>
    </w:p>
    <w:p w14:paraId="2869F732">
      <w:pPr>
        <w:pStyle w:val="23"/>
        <w:spacing w:after="80"/>
      </w:pPr>
      <w:r>
        <w:rPr>
          <w:b/>
        </w:rPr>
        <w:t xml:space="preserve">The Longitudinal Performance &amp; Morale Ledger (PerformanceRating): </w:t>
      </w:r>
      <w:r>
        <w:t>A high-density transactional ledger compiling thousands of recurring yearly performance reviews (Longitudinal Panel Records) that capture fluctuations in workspace satisfaction, morale scores, and output quality from 2012 to 2022.</w:t>
      </w:r>
    </w:p>
    <w:p w14:paraId="043CF689">
      <w:pPr>
        <w:keepNext/>
        <w:spacing w:before="440" w:after="160"/>
      </w:pPr>
      <w:r>
        <w:rPr>
          <w:b/>
          <w:color w:val="1B365D"/>
          <w:sz w:val="36"/>
        </w:rPr>
        <w:t>5. Data Architecture &amp; Relational Schema Modeling</w:t>
      </w:r>
    </w:p>
    <w:p w14:paraId="31CA902E">
      <w:pPr>
        <w:spacing w:after="120"/>
      </w:pPr>
      <w:r>
        <w:t>The back-end relational architecture is engineered around a clean Snow Schema blueprint to maximize query processing speeds, ensure instantaneous cross-filtering responses, and protect the calculation boundaries of advanced DAX measures. The central fact table is surrounded by isolated lookup tables, communicating through single-directional filters.</w:t>
      </w:r>
    </w:p>
    <w:p w14:paraId="333FF961">
      <w:pPr>
        <w:spacing w:after="120"/>
      </w:pPr>
      <w:r>
        <w:drawing>
          <wp:inline distT="0" distB="0" distL="0" distR="0">
            <wp:extent cx="5943600" cy="3803650"/>
            <wp:effectExtent l="0" t="0" r="0" b="6350"/>
            <wp:docPr id="1597228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804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803650"/>
                    </a:xfrm>
                    <a:prstGeom prst="rect">
                      <a:avLst/>
                    </a:prstGeom>
                    <a:noFill/>
                    <a:ln>
                      <a:noFill/>
                    </a:ln>
                  </pic:spPr>
                </pic:pic>
              </a:graphicData>
            </a:graphic>
          </wp:inline>
        </w:drawing>
      </w:r>
    </w:p>
    <w:p w14:paraId="430A0735">
      <w:pPr>
        <w:keepNext/>
        <w:spacing w:before="320" w:after="120"/>
      </w:pPr>
      <w:r>
        <w:rPr>
          <w:b/>
          <w:color w:val="4A777A"/>
          <w:sz w:val="28"/>
        </w:rPr>
        <w:t>Architectural Breakdown of Schema Relationships:</w:t>
      </w:r>
    </w:p>
    <w:p w14:paraId="72C35591">
      <w:pPr>
        <w:pStyle w:val="23"/>
        <w:spacing w:after="80"/>
      </w:pPr>
      <w:r>
        <w:rPr>
          <w:b/>
        </w:rPr>
        <w:t xml:space="preserve">1. The Core Central Fact Table (PerformanceRating): </w:t>
      </w:r>
      <w:r>
        <w:t>Tracks seasonal employee review transactions. It functions as the absolute star center of the data model schema where metrics for job satisfaction, manager feedback, and peer interactions are computed (e.g., JobSatisfaction, ManagerRating, SelfRating). It connects to surrounding boundary dimension tables via optimized one-to-many (1:N) keys.</w:t>
      </w:r>
    </w:p>
    <w:p w14:paraId="4AB6894C">
      <w:pPr>
        <w:pStyle w:val="23"/>
        <w:spacing w:after="80"/>
      </w:pPr>
      <w:r>
        <w:rPr>
          <w:b/>
        </w:rPr>
        <w:t xml:space="preserve">2. The Hybrid Employee Dimension (DimEmployee): </w:t>
      </w:r>
      <w:r>
        <w:t>Engineered with a dual structural persona; it acts as a dimension table supplying employee properties to the central rating table using EmployeeID across a 1:N relationship, and simultaneously functions as a fact logging terminal for exit events filtered explicitly via the binary attribute (Attrition: YES / NO).</w:t>
      </w:r>
    </w:p>
    <w:p w14:paraId="57BDF88F">
      <w:pPr>
        <w:pStyle w:val="23"/>
        <w:spacing w:after="80"/>
      </w:pPr>
      <w:r>
        <w:rPr>
          <w:b/>
        </w:rPr>
        <w:t xml:space="preserve">3. The Automated Calendar Dimension (DimDate): </w:t>
      </w:r>
      <w:r>
        <w:t>A time-intelligence table generated via DAX scripting based on the historical hire boundaries of the workforce. It maps calendar dates to fiscal periods (Years, Quarters, Months, Days) and connects directly to date keys inside the operational logs to secure clean time-series intelligence.</w:t>
      </w:r>
    </w:p>
    <w:p w14:paraId="2DF55886">
      <w:pPr>
        <w:pStyle w:val="23"/>
        <w:spacing w:after="80"/>
      </w:pPr>
      <w:r>
        <w:rPr>
          <w:b/>
        </w:rPr>
        <w:t xml:space="preserve">4. Structural Reference Lookup Dimensions: </w:t>
      </w:r>
      <w:r>
        <w:t>Direct lookup files normalizing structural records:</w:t>
      </w:r>
    </w:p>
    <w:p w14:paraId="3851C69A">
      <w:pPr>
        <w:pStyle w:val="23"/>
        <w:spacing w:after="80"/>
      </w:pPr>
      <w:r>
        <w:rPr>
          <w:b/>
        </w:rPr>
        <w:t xml:space="preserve">   - DimEducation: </w:t>
      </w:r>
      <w:r>
        <w:t>Maps academic achievements from Index 1 to 5 (Bachelors, Masters, Doctorate, etc.) via the EducationLevelID bridge key.</w:t>
      </w:r>
    </w:p>
    <w:p w14:paraId="343CC515">
      <w:pPr>
        <w:pStyle w:val="23"/>
        <w:spacing w:after="80"/>
      </w:pPr>
      <w:r>
        <w:rPr>
          <w:b/>
        </w:rPr>
        <w:t xml:space="preserve">   - RatingLevel: </w:t>
      </w:r>
      <w:r>
        <w:t>Normalizes operational scale keys to evaluate year-over-year corporate output performance.</w:t>
      </w:r>
    </w:p>
    <w:p w14:paraId="1A6186E1">
      <w:pPr>
        <w:pStyle w:val="23"/>
        <w:spacing w:after="80"/>
      </w:pPr>
      <w:r>
        <w:rPr>
          <w:b/>
        </w:rPr>
        <w:t xml:space="preserve">   - SatisfiedLevel: </w:t>
      </w:r>
      <w:r>
        <w:t>Normalizes indices tracking workspace morale from Index 1 to 5 (Very Dissatisfied up to Very Satisfied) via SatisfactionID.</w:t>
      </w:r>
    </w:p>
    <w:p w14:paraId="2A802DD2">
      <w:pPr>
        <w:keepNext/>
        <w:spacing w:before="440" w:after="160"/>
      </w:pPr>
      <w:r>
        <w:rPr>
          <w:b/>
          <w:color w:val="1B365D"/>
          <w:sz w:val="36"/>
        </w:rPr>
        <w:t>6. Deep-Dive Reporting Architecture (The 4 Dashboards)</w:t>
      </w:r>
    </w:p>
    <w:p w14:paraId="126AA117">
      <w:pPr>
        <w:spacing w:after="120"/>
      </w:pPr>
      <w:r>
        <w:t>The application structures analytical workflows across 4 dedicated, data-dense right-hand presentation canvases arranged in the following verified order:</w:t>
      </w:r>
    </w:p>
    <w:p w14:paraId="1FB2B3FE">
      <w:pPr>
        <w:keepNext/>
        <w:spacing w:before="320" w:after="120"/>
      </w:pPr>
      <w:r>
        <w:rPr>
          <w:b/>
          <w:color w:val="4A777A"/>
          <w:sz w:val="28"/>
        </w:rPr>
        <w:t>Presentation Canvas I: Executive Overview (Overview)</w:t>
      </w:r>
    </w:p>
    <w:p w14:paraId="39643CD0">
      <w:pPr>
        <w:keepNext/>
        <w:spacing w:before="320" w:after="120"/>
        <w:rPr>
          <w:rFonts w:hint="default"/>
          <w:lang w:val="en-US"/>
        </w:rPr>
      </w:pPr>
      <w:r>
        <w:rPr>
          <w:rFonts w:hint="default"/>
          <w:lang w:val="en-US"/>
        </w:rPr>
        <w:drawing>
          <wp:inline distT="0" distB="0" distL="114300" distR="114300">
            <wp:extent cx="5928995" cy="3554730"/>
            <wp:effectExtent l="0" t="0" r="14605" b="11430"/>
            <wp:docPr id="3" name="Picture 3" descr="Over vie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ver view 2"/>
                    <pic:cNvPicPr>
                      <a:picLocks noChangeAspect="1"/>
                    </pic:cNvPicPr>
                  </pic:nvPicPr>
                  <pic:blipFill>
                    <a:blip r:embed="rId9"/>
                    <a:stretch>
                      <a:fillRect/>
                    </a:stretch>
                  </pic:blipFill>
                  <pic:spPr>
                    <a:xfrm>
                      <a:off x="0" y="0"/>
                      <a:ext cx="5928995" cy="3554730"/>
                    </a:xfrm>
                    <a:prstGeom prst="rect">
                      <a:avLst/>
                    </a:prstGeom>
                  </pic:spPr>
                </pic:pic>
              </a:graphicData>
            </a:graphic>
          </wp:inline>
        </w:drawing>
      </w:r>
    </w:p>
    <w:p w14:paraId="51681305">
      <w:pPr>
        <w:pStyle w:val="23"/>
        <w:numPr>
          <w:ilvl w:val="0"/>
          <w:numId w:val="0"/>
        </w:numPr>
        <w:spacing w:after="80"/>
      </w:pPr>
    </w:p>
    <w:p w14:paraId="25AFD970">
      <w:pPr>
        <w:pStyle w:val="23"/>
        <w:spacing w:after="80"/>
      </w:pPr>
      <w:r>
        <w:rPr>
          <w:b/>
        </w:rPr>
        <w:t xml:space="preserve">Analytical Mandate: </w:t>
      </w:r>
      <w:r>
        <w:t>Functions as the primary landing canvas and executive summary page, providing c-suite stakeholders with macro headcount metrics, current active operational capacity, and systemic attrition rates.</w:t>
      </w:r>
    </w:p>
    <w:p w14:paraId="66356012">
      <w:pPr>
        <w:pStyle w:val="23"/>
        <w:spacing w:after="80"/>
      </w:pPr>
      <w:r>
        <w:rPr>
          <w:b/>
        </w:rPr>
        <w:t xml:space="preserve">Macro KPI Card Cluster: </w:t>
      </w:r>
      <w:r>
        <w:t>A multi-row visualization aggregating total operational headcount figures computed from the Total Employee metric, active workers on payroll from Active Employee, cumulative departed personnel from InActive Employee, and the aggregate historical attrition velocity via Attrition Rate.</w:t>
      </w:r>
    </w:p>
    <w:p w14:paraId="28B39032">
      <w:pPr>
        <w:pStyle w:val="23"/>
        <w:spacing w:after="80"/>
      </w:pPr>
      <w:r>
        <w:rPr>
          <w:b/>
        </w:rPr>
        <w:t xml:space="preserve">Total Employee Hiring Trend Chart: </w:t>
      </w:r>
      <w:r>
        <w:t>A Stacked Column Chart plotting structural years (2012 to 2022) on the horizontal X-axis against absolute headcount totals on the vertical Y-axis. Columns are segmented internally using the Attrition state (No / Yes) to isolate historical exit waves in Green against retained personnel in a darker contrast wash.</w:t>
      </w:r>
    </w:p>
    <w:p w14:paraId="0BAF9919">
      <w:pPr>
        <w:pStyle w:val="23"/>
        <w:spacing w:after="80"/>
      </w:pPr>
      <w:r>
        <w:rPr>
          <w:b/>
        </w:rPr>
        <w:t xml:space="preserve">Active Employee Partition Tree (Decomposition Tree): </w:t>
      </w:r>
      <w:r>
        <w:t>A tree visual mapping the granular distribution of active organizational headcount (1,233). It fractures the parent total down by business units (Technology, Sales, Human Resources) and lets users slice further into specific job roles to monitor resource allocation density.</w:t>
      </w:r>
    </w:p>
    <w:p w14:paraId="6A90F9C5">
      <w:pPr>
        <w:keepNext/>
        <w:spacing w:before="320" w:after="120"/>
      </w:pPr>
      <w:r>
        <w:rPr>
          <w:b/>
          <w:color w:val="4A777A"/>
          <w:sz w:val="28"/>
        </w:rPr>
        <w:t>Presentation Canvas II: Demographics (Demographics)</w:t>
      </w:r>
    </w:p>
    <w:p w14:paraId="151D8DDD">
      <w:pPr>
        <w:keepNext/>
        <w:spacing w:before="320" w:after="120"/>
        <w:rPr>
          <w:rFonts w:hint="default"/>
          <w:lang w:val="en-US"/>
        </w:rPr>
      </w:pPr>
      <w:r>
        <w:rPr>
          <w:rFonts w:hint="default"/>
          <w:lang w:val="en-US"/>
        </w:rPr>
        <w:drawing>
          <wp:inline distT="0" distB="0" distL="114300" distR="114300">
            <wp:extent cx="5928995" cy="3554730"/>
            <wp:effectExtent l="0" t="0" r="14605" b="11430"/>
            <wp:docPr id="4" name="Picture 4" descr="Demographic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mographics 2"/>
                    <pic:cNvPicPr>
                      <a:picLocks noChangeAspect="1"/>
                    </pic:cNvPicPr>
                  </pic:nvPicPr>
                  <pic:blipFill>
                    <a:blip r:embed="rId10"/>
                    <a:stretch>
                      <a:fillRect/>
                    </a:stretch>
                  </pic:blipFill>
                  <pic:spPr>
                    <a:xfrm>
                      <a:off x="0" y="0"/>
                      <a:ext cx="5928995" cy="3554730"/>
                    </a:xfrm>
                    <a:prstGeom prst="rect">
                      <a:avLst/>
                    </a:prstGeom>
                  </pic:spPr>
                </pic:pic>
              </a:graphicData>
            </a:graphic>
          </wp:inline>
        </w:drawing>
      </w:r>
    </w:p>
    <w:p w14:paraId="56CAE26A">
      <w:pPr>
        <w:pStyle w:val="23"/>
        <w:spacing w:after="80"/>
      </w:pPr>
      <w:r>
        <w:rPr>
          <w:b/>
        </w:rPr>
        <w:t xml:space="preserve">Analytical Mandate: </w:t>
      </w:r>
      <w:r>
        <w:t>Explores structural workforce diversity and personal background factors, correlating attributes like age buckets, ethnicity groupings, and marital status parameters against the general payroll register.</w:t>
      </w:r>
    </w:p>
    <w:p w14:paraId="405CF345">
      <w:pPr>
        <w:pStyle w:val="23"/>
        <w:spacing w:after="80"/>
      </w:pPr>
      <w:r>
        <w:rPr>
          <w:b/>
        </w:rPr>
        <w:t xml:space="preserve">Boundary Age KPI Monitors: </w:t>
      </w:r>
      <w:r>
        <w:t>Mapped digital counters detailing age milestones across active staff registers; tracking the organization's youngest asset (Youngest Employee: 18) against its senior resource (Oldest Employee: 51).</w:t>
      </w:r>
    </w:p>
    <w:p w14:paraId="48ED7415">
      <w:pPr>
        <w:pStyle w:val="23"/>
        <w:spacing w:after="80"/>
      </w:pPr>
      <w:r>
        <w:rPr>
          <w:b/>
        </w:rPr>
        <w:t xml:space="preserve">Total Employee Diversity Tree (Gender - Age Bins): </w:t>
      </w:r>
      <w:r>
        <w:t>A Decomposition Tree charting the complete employee population base (1,470) across documented gender identities (Female: 675, Male: 651, Non-Binary: 124, Prefer Not To Say: 20) and drilling into localized age buckets (20-29, 30-39, 40-49, &lt;20).</w:t>
      </w:r>
    </w:p>
    <w:p w14:paraId="588B378C">
      <w:pPr>
        <w:pStyle w:val="23"/>
        <w:spacing w:after="80"/>
      </w:pPr>
      <w:r>
        <w:rPr>
          <w:b/>
        </w:rPr>
        <w:t xml:space="preserve">Marital Status Donut Matrix: </w:t>
      </w:r>
      <w:r>
        <w:t>A Donut Chart calculating population percentages by marital status tiers: Married (Married: 624 - 42%), Single (Single: 549 - 37%), and Divorced (Divorced: 297 - 20%).</w:t>
      </w:r>
    </w:p>
    <w:p w14:paraId="6FDEE19B">
      <w:pPr>
        <w:pStyle w:val="23"/>
        <w:spacing w:after="80"/>
      </w:pPr>
      <w:r>
        <w:rPr>
          <w:b/>
        </w:rPr>
        <w:t xml:space="preserve">Total Employee &amp; Wage Equity Grid: </w:t>
      </w:r>
      <w:r>
        <w:t>A Line and Clustered Column Chart tracking workforce ethnicity along the X-axis. Column bars represent absolute headcount density per background category (led by White cohorts at 860 staff), while a high-contrast Neon Lime trend line charts the Average of Salary to verify equity in compensation across diverse demographic groups.</w:t>
      </w:r>
    </w:p>
    <w:p w14:paraId="5481D8CA">
      <w:pPr>
        <w:keepNext/>
        <w:spacing w:before="320" w:after="120"/>
      </w:pPr>
      <w:r>
        <w:rPr>
          <w:b/>
          <w:color w:val="4A777A"/>
          <w:sz w:val="28"/>
        </w:rPr>
        <w:t>Presentation Canvas III: Performance Tracker (Performance Tracker)</w:t>
      </w:r>
    </w:p>
    <w:p w14:paraId="2F456698">
      <w:pPr>
        <w:keepNext/>
        <w:spacing w:before="320" w:after="120"/>
        <w:rPr>
          <w:rFonts w:hint="default"/>
          <w:lang w:val="en-US"/>
        </w:rPr>
      </w:pPr>
      <w:r>
        <w:rPr>
          <w:rFonts w:hint="default"/>
          <w:lang w:val="en-US"/>
        </w:rPr>
        <w:drawing>
          <wp:inline distT="0" distB="0" distL="114300" distR="114300">
            <wp:extent cx="5928995" cy="3554730"/>
            <wp:effectExtent l="0" t="0" r="14605" b="11430"/>
            <wp:docPr id="5" name="Picture 5" descr="Performance Track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erformance Tracker 2"/>
                    <pic:cNvPicPr>
                      <a:picLocks noChangeAspect="1"/>
                    </pic:cNvPicPr>
                  </pic:nvPicPr>
                  <pic:blipFill>
                    <a:blip r:embed="rId11"/>
                    <a:stretch>
                      <a:fillRect/>
                    </a:stretch>
                  </pic:blipFill>
                  <pic:spPr>
                    <a:xfrm>
                      <a:off x="0" y="0"/>
                      <a:ext cx="5928995" cy="3554730"/>
                    </a:xfrm>
                    <a:prstGeom prst="rect">
                      <a:avLst/>
                    </a:prstGeom>
                  </pic:spPr>
                </pic:pic>
              </a:graphicData>
            </a:graphic>
          </wp:inline>
        </w:drawing>
      </w:r>
    </w:p>
    <w:p w14:paraId="1466A35D">
      <w:pPr>
        <w:pStyle w:val="23"/>
        <w:spacing w:after="80"/>
      </w:pPr>
      <w:r>
        <w:rPr>
          <w:b/>
        </w:rPr>
        <w:t xml:space="preserve">Analytical Mandate: </w:t>
      </w:r>
      <w:r>
        <w:t>Acts as an individual employee profile auditing workspace. It allows HR business partners to call up an individual staff record and inspect satisfaction trends, behavioral changes, and assessment metrics over time.</w:t>
      </w:r>
    </w:p>
    <w:p w14:paraId="4095E26E">
      <w:pPr>
        <w:pStyle w:val="23"/>
        <w:spacing w:after="80"/>
      </w:pPr>
      <w:r>
        <w:rPr>
          <w:b/>
        </w:rPr>
        <w:t xml:space="preserve">Individual Profile Selector Slicer (select Employee Slicer): </w:t>
      </w:r>
      <w:r>
        <w:t>A top-anchored dropdown list allowing immediate selection of an individual staff record to overwrite the canvas data layer (pre-set in the report to employee: Adan Fradgley).</w:t>
      </w:r>
    </w:p>
    <w:p w14:paraId="511C5FEA">
      <w:pPr>
        <w:pStyle w:val="23"/>
        <w:spacing w:after="80"/>
      </w:pPr>
      <w:r>
        <w:rPr>
          <w:b/>
        </w:rPr>
        <w:t xml:space="preserve">Employee Milestone Date Monitors: </w:t>
      </w:r>
      <w:r>
        <w:t>Three Orange card monitors reporting individual corporate historical timelines calculated by DAX measures: Start Date, Last Review Date, and the targeted automated Next Review date.</w:t>
      </w:r>
    </w:p>
    <w:p w14:paraId="48987890">
      <w:pPr>
        <w:pStyle w:val="23"/>
        <w:spacing w:after="80"/>
      </w:pPr>
      <w:r>
        <w:rPr>
          <w:b/>
        </w:rPr>
        <w:t xml:space="preserve">The Core Workspace Satisfaction Quadrant (Satisfaction Trends): </w:t>
      </w:r>
      <w:r>
        <w:t>Four independent Line Charts mapping yearly sentiment scores from 2015 to 2021 across four vital workplace metrics: Job Satisfaction, Work-Life Balance, Relationship Satisfaction, and Environment Satisfaction.</w:t>
      </w:r>
    </w:p>
    <w:p w14:paraId="1C55FD03">
      <w:pPr>
        <w:pStyle w:val="23"/>
        <w:spacing w:after="80"/>
      </w:pPr>
      <w:r>
        <w:rPr>
          <w:b/>
        </w:rPr>
        <w:t xml:space="preserve">The Performance Alignment Graph (Rating Trends): </w:t>
      </w:r>
      <w:r>
        <w:t>Dual-line graphs plotting historical evaluations from 2015 to 2021 to compare Manager Rating scores against the employee's Self Rating entries, flag mismatch gaps, and protect employee engagement.</w:t>
      </w:r>
    </w:p>
    <w:p w14:paraId="29D8279F">
      <w:pPr>
        <w:pStyle w:val="23"/>
        <w:spacing w:after="80"/>
      </w:pPr>
      <w:r>
        <w:rPr>
          <w:b/>
        </w:rPr>
        <w:t xml:space="preserve">Score Definition Legends: </w:t>
      </w:r>
      <w:r>
        <w:t>Side-docked lookup maps indexing score fields from 1 to 5 to clearly define qualitative metrics for review ratings and workplace comfort scales.</w:t>
      </w:r>
    </w:p>
    <w:p w14:paraId="6474B5D5">
      <w:pPr>
        <w:keepNext/>
        <w:spacing w:before="320" w:after="120"/>
      </w:pPr>
      <w:r>
        <w:rPr>
          <w:b/>
          <w:color w:val="4A777A"/>
          <w:sz w:val="28"/>
        </w:rPr>
        <w:t>Presentation Canvas IV: Attrition Analytics (Attrition)</w:t>
      </w:r>
    </w:p>
    <w:p w14:paraId="3E8B885F">
      <w:pPr>
        <w:keepNext/>
        <w:spacing w:before="320" w:after="120"/>
        <w:rPr>
          <w:rFonts w:hint="default"/>
        </w:rPr>
      </w:pPr>
      <w:r>
        <w:rPr>
          <w:rFonts w:hint="default"/>
          <w:lang w:val="en-US"/>
        </w:rPr>
        <w:drawing>
          <wp:inline distT="0" distB="0" distL="114300" distR="114300">
            <wp:extent cx="5928995" cy="3554730"/>
            <wp:effectExtent l="0" t="0" r="14605" b="11430"/>
            <wp:docPr id="6" name="Picture 6" descr="Attri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ttrition2"/>
                    <pic:cNvPicPr>
                      <a:picLocks noChangeAspect="1"/>
                    </pic:cNvPicPr>
                  </pic:nvPicPr>
                  <pic:blipFill>
                    <a:blip r:embed="rId6"/>
                    <a:stretch>
                      <a:fillRect/>
                    </a:stretch>
                  </pic:blipFill>
                  <pic:spPr>
                    <a:xfrm>
                      <a:off x="0" y="0"/>
                      <a:ext cx="5928995" cy="3554730"/>
                    </a:xfrm>
                    <a:prstGeom prst="rect">
                      <a:avLst/>
                    </a:prstGeom>
                  </pic:spPr>
                </pic:pic>
              </a:graphicData>
            </a:graphic>
          </wp:inline>
        </w:drawing>
      </w:r>
    </w:p>
    <w:p w14:paraId="3ED02539">
      <w:pPr>
        <w:pStyle w:val="23"/>
        <w:numPr>
          <w:numId w:val="0"/>
        </w:numPr>
        <w:spacing w:after="80"/>
        <w:ind w:leftChars="0"/>
        <w:rPr>
          <w:rFonts w:hint="default"/>
        </w:rPr>
      </w:pPr>
    </w:p>
    <w:p w14:paraId="60F68BDF">
      <w:pPr>
        <w:pStyle w:val="23"/>
        <w:numPr>
          <w:numId w:val="0"/>
        </w:numPr>
        <w:spacing w:after="80"/>
        <w:ind w:leftChars="0"/>
        <w:rPr>
          <w:rFonts w:hint="default"/>
        </w:rPr>
      </w:pPr>
      <w:r>
        <w:rPr>
          <w:rFonts w:hint="default"/>
          <w:b/>
        </w:rPr>
        <w:t>• Overall Attrition Rate:</w:t>
      </w:r>
      <w:r>
        <w:rPr>
          <w:rFonts w:hint="default"/>
        </w:rPr>
        <w:t xml:space="preserve"> Standing at 16%, which serves as the benchmark benchmark to monitor health and retention across the workforce.</w:t>
      </w:r>
    </w:p>
    <w:p w14:paraId="4FC77097">
      <w:pPr>
        <w:pStyle w:val="23"/>
        <w:numPr>
          <w:numId w:val="0"/>
        </w:numPr>
        <w:spacing w:after="80"/>
        <w:ind w:leftChars="0"/>
        <w:rPr>
          <w:rFonts w:hint="default"/>
        </w:rPr>
      </w:pPr>
      <w:r>
        <w:rPr>
          <w:rFonts w:hint="default"/>
          <w:b/>
        </w:rPr>
        <w:t>• Total Attrition Volume:</w:t>
      </w:r>
      <w:r>
        <w:rPr>
          <w:rFonts w:hint="default"/>
        </w:rPr>
        <w:t xml:space="preserve"> A total of 237 employees have left the organization, serving as the sample base for the breakdown analysis.</w:t>
      </w:r>
    </w:p>
    <w:p w14:paraId="1C304DEC">
      <w:pPr>
        <w:pStyle w:val="23"/>
        <w:numPr>
          <w:numId w:val="0"/>
        </w:numPr>
        <w:spacing w:after="80"/>
        <w:ind w:leftChars="0"/>
        <w:rPr>
          <w:rFonts w:hint="default"/>
        </w:rPr>
      </w:pPr>
    </w:p>
    <w:p w14:paraId="485B0B4B">
      <w:pPr>
        <w:pStyle w:val="23"/>
        <w:numPr>
          <w:numId w:val="0"/>
        </w:numPr>
        <w:spacing w:after="80"/>
        <w:ind w:leftChars="0"/>
        <w:rPr>
          <w:rFonts w:hint="default"/>
          <w:b/>
        </w:rPr>
      </w:pPr>
      <w:r>
        <w:rPr>
          <w:rFonts w:hint="default"/>
          <w:b/>
        </w:rPr>
        <w:t>• Attrition by Business Travel:</w:t>
      </w:r>
    </w:p>
    <w:p w14:paraId="78225895">
      <w:pPr>
        <w:pStyle w:val="23"/>
        <w:numPr>
          <w:numId w:val="0"/>
        </w:numPr>
        <w:spacing w:after="80"/>
        <w:ind w:leftChars="0"/>
        <w:rPr>
          <w:rFonts w:hint="default"/>
        </w:rPr>
      </w:pPr>
      <w:r>
        <w:rPr>
          <w:rFonts w:hint="default"/>
        </w:rPr>
        <w:t>Employees who travel frequently show high attrition numbers, with 156 departures from those who do "Some Travel" and 69 from "Frequent Travelers". This suggests that travel frequency significantly influences an employee's decision to leave.</w:t>
      </w:r>
    </w:p>
    <w:p w14:paraId="39DA70C2">
      <w:pPr>
        <w:pStyle w:val="23"/>
        <w:numPr>
          <w:numId w:val="0"/>
        </w:numPr>
        <w:spacing w:after="80"/>
        <w:ind w:leftChars="0"/>
        <w:rPr>
          <w:rFonts w:hint="default"/>
          <w:b/>
        </w:rPr>
      </w:pPr>
      <w:r>
        <w:rPr>
          <w:rFonts w:hint="default"/>
          <w:b/>
        </w:rPr>
        <w:t xml:space="preserve"> Attrition by Distance From Home:</w:t>
      </w:r>
    </w:p>
    <w:p w14:paraId="2CDE9F12">
      <w:pPr>
        <w:pStyle w:val="23"/>
        <w:numPr>
          <w:numId w:val="0"/>
        </w:numPr>
        <w:spacing w:after="80"/>
        <w:ind w:leftChars="0"/>
        <w:rPr>
          <w:rFonts w:hint="default"/>
        </w:rPr>
      </w:pPr>
      <w:r>
        <w:rPr>
          <w:rFonts w:hint="default"/>
        </w:rPr>
        <w:t>A clear upward spike is visible at the furthest distance category (45+ km), hitting an alarming 32% attrition rate. This indicates that lengthy commutes are a major driver of employee turnover.</w:t>
      </w:r>
    </w:p>
    <w:p w14:paraId="58A71021">
      <w:pPr>
        <w:pStyle w:val="23"/>
        <w:numPr>
          <w:numId w:val="0"/>
        </w:numPr>
        <w:spacing w:after="80"/>
        <w:ind w:leftChars="0"/>
        <w:rPr>
          <w:rFonts w:hint="default"/>
          <w:b/>
        </w:rPr>
      </w:pPr>
      <w:r>
        <w:rPr>
          <w:rFonts w:hint="default"/>
          <w:b/>
        </w:rPr>
        <w:t xml:space="preserve"> Workforce Breakdown (Decomposition Tree):</w:t>
      </w:r>
    </w:p>
    <w:p w14:paraId="76957557">
      <w:pPr>
        <w:pStyle w:val="23"/>
        <w:numPr>
          <w:numId w:val="0"/>
        </w:numPr>
        <w:spacing w:after="80"/>
        <w:ind w:leftChars="0"/>
        <w:rPr>
          <w:rFonts w:hint="default"/>
        </w:rPr>
      </w:pPr>
      <w:r>
        <w:rPr>
          <w:rFonts w:hint="default"/>
        </w:rPr>
        <w:t>Out of the 237 inactive employees, the Technology Department accounts for the highest volume with 133 departures. Within Technology, the Data Scientist role is the most affected position, accounting for 62 lost team members.</w:t>
      </w:r>
    </w:p>
    <w:p w14:paraId="5885659C">
      <w:pPr>
        <w:pStyle w:val="23"/>
        <w:numPr>
          <w:numId w:val="0"/>
        </w:numPr>
        <w:spacing w:after="80"/>
        <w:ind w:leftChars="0"/>
        <w:rPr>
          <w:rFonts w:hint="default"/>
          <w:b/>
        </w:rPr>
      </w:pPr>
      <w:r>
        <w:rPr>
          <w:rFonts w:hint="default"/>
          <w:b/>
        </w:rPr>
        <w:t>Attrition by Age Groups:</w:t>
      </w:r>
    </w:p>
    <w:p w14:paraId="0F429A7B">
      <w:pPr>
        <w:pStyle w:val="23"/>
        <w:numPr>
          <w:numId w:val="0"/>
        </w:numPr>
        <w:spacing w:after="80"/>
        <w:ind w:leftChars="0"/>
        <w:rPr>
          <w:rFonts w:hint="default"/>
        </w:rPr>
      </w:pPr>
      <w:r>
        <w:rPr>
          <w:rFonts w:hint="default"/>
        </w:rPr>
        <w:t>The vast majority of employees leaving the company fall into the 30-39 age bracket, making up 77.22% (183 employees) of the total turnover. This signifies a high loss of mid-career talent.</w:t>
      </w:r>
    </w:p>
    <w:p w14:paraId="0614739B">
      <w:pPr>
        <w:pStyle w:val="23"/>
        <w:numPr>
          <w:numId w:val="0"/>
        </w:numPr>
        <w:spacing w:after="80"/>
        <w:ind w:leftChars="0"/>
        <w:rPr>
          <w:rFonts w:hint="default"/>
          <w:b/>
        </w:rPr>
      </w:pPr>
    </w:p>
    <w:p w14:paraId="33E20B9F">
      <w:pPr>
        <w:pStyle w:val="23"/>
        <w:numPr>
          <w:numId w:val="0"/>
        </w:numPr>
        <w:spacing w:after="80"/>
        <w:ind w:leftChars="0"/>
        <w:rPr>
          <w:rFonts w:hint="default"/>
          <w:b/>
        </w:rPr>
      </w:pPr>
      <w:bookmarkStart w:id="0" w:name="_GoBack"/>
      <w:bookmarkEnd w:id="0"/>
    </w:p>
    <w:p w14:paraId="37413385">
      <w:pPr>
        <w:pStyle w:val="23"/>
        <w:numPr>
          <w:numId w:val="0"/>
        </w:numPr>
        <w:spacing w:after="80"/>
        <w:ind w:leftChars="0"/>
        <w:rPr>
          <w:rFonts w:hint="default"/>
          <w:b/>
        </w:rPr>
      </w:pPr>
      <w:r>
        <w:rPr>
          <w:rFonts w:hint="default"/>
          <w:b/>
        </w:rPr>
        <w:t xml:space="preserve"> Geographic Attrition (Map):</w:t>
      </w:r>
    </w:p>
    <w:p w14:paraId="174C239D">
      <w:pPr>
        <w:pStyle w:val="23"/>
        <w:numPr>
          <w:numId w:val="0"/>
        </w:numPr>
        <w:spacing w:after="80"/>
        <w:ind w:leftChars="0"/>
        <w:rPr>
          <w:rFonts w:hint="default"/>
        </w:rPr>
      </w:pPr>
      <w:r>
        <w:rPr>
          <w:rFonts w:hint="default"/>
        </w:rPr>
        <w:t>Visualizes turnover concentrations across the United States, highlighting key regional hotspots such as California (CA), Illinois (IL), and New York (NY).</w:t>
      </w:r>
    </w:p>
    <w:p w14:paraId="341F17E2">
      <w:pPr>
        <w:keepNext/>
        <w:spacing w:before="440" w:after="160"/>
      </w:pPr>
      <w:r>
        <w:rPr>
          <w:b/>
          <w:color w:val="1B365D"/>
          <w:sz w:val="36"/>
        </w:rPr>
        <w:t>7. Core Programmatic Code Repository: DAX Measures</w:t>
      </w:r>
    </w:p>
    <w:p w14:paraId="27E3FBA4">
      <w:pPr>
        <w:spacing w:after="120"/>
      </w:pPr>
      <w:r>
        <w:t>The calculations, filtering constraints, and relational overrides inside your reporting applications are driven by the following optimized DAX Expressions saved within the _Measure container table:</w:t>
      </w:r>
    </w:p>
    <w:p w14:paraId="70398171">
      <w:pPr>
        <w:keepNext/>
        <w:spacing w:before="240" w:after="80"/>
      </w:pPr>
      <w:r>
        <w:rPr>
          <w:b/>
          <w:sz w:val="24"/>
        </w:rPr>
        <w:t>1. Total Employee</w:t>
      </w:r>
    </w:p>
    <w:p w14:paraId="6927B519">
      <w:pPr>
        <w:spacing w:before="80" w:after="120"/>
        <w:ind w:left="360"/>
      </w:pPr>
      <w:r>
        <w:rPr>
          <w:rFonts w:ascii="Consolas" w:hAnsi="Consolas"/>
          <w:color w:val="A31515"/>
          <w:sz w:val="20"/>
        </w:rPr>
        <w:t xml:space="preserve">Total Employee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COUNT(DimEmployee[EmployeeID]),</w:t>
      </w:r>
      <w:r>
        <w:rPr>
          <w:rFonts w:ascii="Consolas" w:hAnsi="Consolas"/>
          <w:color w:val="A31515"/>
          <w:sz w:val="20"/>
        </w:rPr>
        <w:br w:type="textWrapping"/>
      </w:r>
      <w:r>
        <w:rPr>
          <w:rFonts w:ascii="Consolas" w:hAnsi="Consolas"/>
          <w:color w:val="A31515"/>
          <w:sz w:val="20"/>
        </w:rPr>
        <w:t xml:space="preserve">    USERELATIONSHIP(DimEmployee[HireDate],DimDate[Date])</w:t>
      </w:r>
      <w:r>
        <w:rPr>
          <w:rFonts w:ascii="Consolas" w:hAnsi="Consolas"/>
          <w:color w:val="A31515"/>
          <w:sz w:val="20"/>
        </w:rPr>
        <w:br w:type="textWrapping"/>
      </w:r>
      <w:r>
        <w:rPr>
          <w:rFonts w:ascii="Consolas" w:hAnsi="Consolas"/>
          <w:color w:val="A31515"/>
          <w:sz w:val="20"/>
        </w:rPr>
        <w:t>)</w:t>
      </w:r>
    </w:p>
    <w:p w14:paraId="335B7366">
      <w:pPr>
        <w:keepNext/>
        <w:spacing w:before="240" w:after="80"/>
      </w:pPr>
      <w:r>
        <w:rPr>
          <w:b/>
          <w:sz w:val="24"/>
        </w:rPr>
        <w:t>2. Active Employee</w:t>
      </w:r>
    </w:p>
    <w:p w14:paraId="5666D86F">
      <w:pPr>
        <w:spacing w:before="80" w:after="120"/>
        <w:ind w:left="360"/>
      </w:pPr>
      <w:r>
        <w:rPr>
          <w:rFonts w:ascii="Consolas" w:hAnsi="Consolas"/>
          <w:color w:val="A31515"/>
          <w:sz w:val="20"/>
        </w:rPr>
        <w:t xml:space="preserve">Active Employee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[Total Employee],</w:t>
      </w:r>
      <w:r>
        <w:rPr>
          <w:rFonts w:ascii="Consolas" w:hAnsi="Consolas"/>
          <w:color w:val="A31515"/>
          <w:sz w:val="20"/>
        </w:rPr>
        <w:br w:type="textWrapping"/>
      </w:r>
      <w:r>
        <w:rPr>
          <w:rFonts w:ascii="Consolas" w:hAnsi="Consolas"/>
          <w:color w:val="A31515"/>
          <w:sz w:val="20"/>
        </w:rPr>
        <w:t xml:space="preserve">    FILTER(</w:t>
      </w:r>
      <w:r>
        <w:rPr>
          <w:rFonts w:ascii="Consolas" w:hAnsi="Consolas"/>
          <w:color w:val="A31515"/>
          <w:sz w:val="20"/>
        </w:rPr>
        <w:br w:type="textWrapping"/>
      </w:r>
      <w:r>
        <w:rPr>
          <w:rFonts w:ascii="Consolas" w:hAnsi="Consolas"/>
          <w:color w:val="A31515"/>
          <w:sz w:val="20"/>
        </w:rPr>
        <w:t xml:space="preserve">        DimEmployee,</w:t>
      </w:r>
      <w:r>
        <w:rPr>
          <w:rFonts w:ascii="Consolas" w:hAnsi="Consolas"/>
          <w:color w:val="A31515"/>
          <w:sz w:val="20"/>
        </w:rPr>
        <w:br w:type="textWrapping"/>
      </w:r>
      <w:r>
        <w:rPr>
          <w:rFonts w:ascii="Consolas" w:hAnsi="Consolas"/>
          <w:color w:val="A31515"/>
          <w:sz w:val="20"/>
        </w:rPr>
        <w:t xml:space="preserve">        DimEmployee[Attrition]="NO"</w:t>
      </w:r>
      <w:r>
        <w:rPr>
          <w:rFonts w:ascii="Consolas" w:hAnsi="Consolas"/>
          <w:color w:val="A31515"/>
          <w:sz w:val="20"/>
        </w:rPr>
        <w:br w:type="textWrapping"/>
      </w:r>
      <w:r>
        <w:rPr>
          <w:rFonts w:ascii="Consolas" w:hAnsi="Consolas"/>
          <w:color w:val="A31515"/>
          <w:sz w:val="20"/>
        </w:rPr>
        <w:t xml:space="preserve">    ),USERELATIONSHIP(DimEmployee[HireDate],DimDate[Date])</w:t>
      </w:r>
      <w:r>
        <w:rPr>
          <w:rFonts w:ascii="Consolas" w:hAnsi="Consolas"/>
          <w:color w:val="A31515"/>
          <w:sz w:val="20"/>
        </w:rPr>
        <w:br w:type="textWrapping"/>
      </w:r>
      <w:r>
        <w:rPr>
          <w:rFonts w:ascii="Consolas" w:hAnsi="Consolas"/>
          <w:color w:val="A31515"/>
          <w:sz w:val="20"/>
        </w:rPr>
        <w:t>)</w:t>
      </w:r>
    </w:p>
    <w:p w14:paraId="428A05FF">
      <w:pPr>
        <w:keepNext/>
        <w:spacing w:before="240" w:after="80"/>
      </w:pPr>
      <w:r>
        <w:rPr>
          <w:b/>
          <w:sz w:val="24"/>
        </w:rPr>
        <w:t>3. InActive Employee</w:t>
      </w:r>
    </w:p>
    <w:p w14:paraId="4414E226">
      <w:pPr>
        <w:spacing w:before="80" w:after="120"/>
        <w:ind w:left="360"/>
      </w:pPr>
      <w:r>
        <w:rPr>
          <w:rFonts w:ascii="Consolas" w:hAnsi="Consolas"/>
          <w:color w:val="A31515"/>
          <w:sz w:val="20"/>
        </w:rPr>
        <w:t xml:space="preserve">InActive Employee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[Total Employee],</w:t>
      </w:r>
      <w:r>
        <w:rPr>
          <w:rFonts w:ascii="Consolas" w:hAnsi="Consolas"/>
          <w:color w:val="A31515"/>
          <w:sz w:val="20"/>
        </w:rPr>
        <w:br w:type="textWrapping"/>
      </w:r>
      <w:r>
        <w:rPr>
          <w:rFonts w:ascii="Consolas" w:hAnsi="Consolas"/>
          <w:color w:val="A31515"/>
          <w:sz w:val="20"/>
        </w:rPr>
        <w:t xml:space="preserve">    FILTER(</w:t>
      </w:r>
      <w:r>
        <w:rPr>
          <w:rFonts w:ascii="Consolas" w:hAnsi="Consolas"/>
          <w:color w:val="A31515"/>
          <w:sz w:val="20"/>
        </w:rPr>
        <w:br w:type="textWrapping"/>
      </w:r>
      <w:r>
        <w:rPr>
          <w:rFonts w:ascii="Consolas" w:hAnsi="Consolas"/>
          <w:color w:val="A31515"/>
          <w:sz w:val="20"/>
        </w:rPr>
        <w:t xml:space="preserve">        DimEmployee,</w:t>
      </w:r>
      <w:r>
        <w:rPr>
          <w:rFonts w:ascii="Consolas" w:hAnsi="Consolas"/>
          <w:color w:val="A31515"/>
          <w:sz w:val="20"/>
        </w:rPr>
        <w:br w:type="textWrapping"/>
      </w:r>
      <w:r>
        <w:rPr>
          <w:rFonts w:ascii="Consolas" w:hAnsi="Consolas"/>
          <w:color w:val="A31515"/>
          <w:sz w:val="20"/>
        </w:rPr>
        <w:t xml:space="preserve">        DimEmployee[Attrition]="YES"</w:t>
      </w:r>
      <w:r>
        <w:rPr>
          <w:rFonts w:ascii="Consolas" w:hAnsi="Consolas"/>
          <w:color w:val="A31515"/>
          <w:sz w:val="20"/>
        </w:rPr>
        <w:br w:type="textWrapping"/>
      </w:r>
      <w:r>
        <w:rPr>
          <w:rFonts w:ascii="Consolas" w:hAnsi="Consolas"/>
          <w:color w:val="A31515"/>
          <w:sz w:val="20"/>
        </w:rPr>
        <w:t xml:space="preserve">    ),USERELATIONSHIP(DimEmployee[HireDate],DimDate[Date])</w:t>
      </w:r>
      <w:r>
        <w:rPr>
          <w:rFonts w:ascii="Consolas" w:hAnsi="Consolas"/>
          <w:color w:val="A31515"/>
          <w:sz w:val="20"/>
        </w:rPr>
        <w:br w:type="textWrapping"/>
      </w:r>
      <w:r>
        <w:rPr>
          <w:rFonts w:ascii="Consolas" w:hAnsi="Consolas"/>
          <w:color w:val="A31515"/>
          <w:sz w:val="20"/>
        </w:rPr>
        <w:t>)</w:t>
      </w:r>
    </w:p>
    <w:p w14:paraId="7034B5D3">
      <w:pPr>
        <w:keepNext/>
        <w:spacing w:before="240" w:after="80"/>
      </w:pPr>
      <w:r>
        <w:rPr>
          <w:b/>
          <w:sz w:val="24"/>
        </w:rPr>
        <w:t>4. Attrition Rate</w:t>
      </w:r>
    </w:p>
    <w:p w14:paraId="313060AE">
      <w:pPr>
        <w:spacing w:before="80" w:after="120"/>
        <w:ind w:left="360"/>
      </w:pPr>
      <w:r>
        <w:rPr>
          <w:rFonts w:ascii="Consolas" w:hAnsi="Consolas"/>
          <w:color w:val="A31515"/>
          <w:sz w:val="20"/>
        </w:rPr>
        <w:t xml:space="preserve">Attrition Rate = </w:t>
      </w:r>
      <w:r>
        <w:rPr>
          <w:rFonts w:ascii="Consolas" w:hAnsi="Consolas"/>
          <w:color w:val="A31515"/>
          <w:sz w:val="20"/>
        </w:rPr>
        <w:br w:type="textWrapping"/>
      </w:r>
      <w:r>
        <w:rPr>
          <w:rFonts w:ascii="Consolas" w:hAnsi="Consolas"/>
          <w:color w:val="A31515"/>
          <w:sz w:val="20"/>
        </w:rPr>
        <w:t>DIVIDE(</w:t>
      </w:r>
      <w:r>
        <w:rPr>
          <w:rFonts w:ascii="Consolas" w:hAnsi="Consolas"/>
          <w:color w:val="A31515"/>
          <w:sz w:val="20"/>
        </w:rPr>
        <w:br w:type="textWrapping"/>
      </w:r>
      <w:r>
        <w:rPr>
          <w:rFonts w:ascii="Consolas" w:hAnsi="Consolas"/>
          <w:color w:val="A31515"/>
          <w:sz w:val="20"/>
        </w:rPr>
        <w:t xml:space="preserve">    [InActive Employee], </w:t>
      </w:r>
      <w:r>
        <w:rPr>
          <w:rFonts w:ascii="Consolas" w:hAnsi="Consolas"/>
          <w:color w:val="A31515"/>
          <w:sz w:val="20"/>
        </w:rPr>
        <w:br w:type="textWrapping"/>
      </w:r>
      <w:r>
        <w:rPr>
          <w:rFonts w:ascii="Consolas" w:hAnsi="Consolas"/>
          <w:color w:val="A31515"/>
          <w:sz w:val="20"/>
        </w:rPr>
        <w:t xml:space="preserve">    [Total Employee], </w:t>
      </w:r>
      <w:r>
        <w:rPr>
          <w:rFonts w:ascii="Consolas" w:hAnsi="Consolas"/>
          <w:color w:val="A31515"/>
          <w:sz w:val="20"/>
        </w:rPr>
        <w:br w:type="textWrapping"/>
      </w:r>
      <w:r>
        <w:rPr>
          <w:rFonts w:ascii="Consolas" w:hAnsi="Consolas"/>
          <w:color w:val="A31515"/>
          <w:sz w:val="20"/>
        </w:rPr>
        <w:t xml:space="preserve">    0</w:t>
      </w:r>
      <w:r>
        <w:rPr>
          <w:rFonts w:ascii="Consolas" w:hAnsi="Consolas"/>
          <w:color w:val="A31515"/>
          <w:sz w:val="20"/>
        </w:rPr>
        <w:br w:type="textWrapping"/>
      </w:r>
      <w:r>
        <w:rPr>
          <w:rFonts w:ascii="Consolas" w:hAnsi="Consolas"/>
          <w:color w:val="A31515"/>
          <w:sz w:val="20"/>
        </w:rPr>
        <w:t>)</w:t>
      </w:r>
    </w:p>
    <w:p w14:paraId="27F9C4F6">
      <w:pPr>
        <w:keepNext/>
        <w:spacing w:before="240" w:after="80"/>
      </w:pPr>
      <w:r>
        <w:rPr>
          <w:b/>
          <w:sz w:val="24"/>
        </w:rPr>
        <w:t>5. Last Review Date</w:t>
      </w:r>
    </w:p>
    <w:p w14:paraId="3405CB5D">
      <w:pPr>
        <w:spacing w:before="80" w:after="120"/>
        <w:ind w:left="360"/>
      </w:pPr>
      <w:r>
        <w:rPr>
          <w:rFonts w:ascii="Consolas" w:hAnsi="Consolas"/>
          <w:color w:val="A31515"/>
          <w:sz w:val="20"/>
        </w:rPr>
        <w:t xml:space="preserve">Last Review Date = </w:t>
      </w:r>
      <w:r>
        <w:rPr>
          <w:rFonts w:ascii="Consolas" w:hAnsi="Consolas"/>
          <w:color w:val="A31515"/>
          <w:sz w:val="20"/>
        </w:rPr>
        <w:br w:type="textWrapping"/>
      </w:r>
      <w:r>
        <w:rPr>
          <w:rFonts w:ascii="Consolas" w:hAnsi="Consolas"/>
          <w:color w:val="A31515"/>
          <w:sz w:val="20"/>
        </w:rPr>
        <w:t>IF(</w:t>
      </w:r>
      <w:r>
        <w:rPr>
          <w:rFonts w:ascii="Consolas" w:hAnsi="Consolas"/>
          <w:color w:val="A31515"/>
          <w:sz w:val="20"/>
        </w:rPr>
        <w:br w:type="textWrapping"/>
      </w:r>
      <w:r>
        <w:rPr>
          <w:rFonts w:ascii="Consolas" w:hAnsi="Consolas"/>
          <w:color w:val="A31515"/>
          <w:sz w:val="20"/>
        </w:rPr>
        <w:t xml:space="preserve">    ISBLANK(MAX(PerformanceRating[ReviewDate])), </w:t>
      </w:r>
      <w:r>
        <w:rPr>
          <w:rFonts w:ascii="Consolas" w:hAnsi="Consolas"/>
          <w:color w:val="A31515"/>
          <w:sz w:val="20"/>
        </w:rPr>
        <w:br w:type="textWrapping"/>
      </w:r>
      <w:r>
        <w:rPr>
          <w:rFonts w:ascii="Consolas" w:hAnsi="Consolas"/>
          <w:color w:val="A31515"/>
          <w:sz w:val="20"/>
        </w:rPr>
        <w:t xml:space="preserve">    "No review yet", </w:t>
      </w:r>
      <w:r>
        <w:rPr>
          <w:rFonts w:ascii="Consolas" w:hAnsi="Consolas"/>
          <w:color w:val="A31515"/>
          <w:sz w:val="20"/>
        </w:rPr>
        <w:br w:type="textWrapping"/>
      </w:r>
      <w:r>
        <w:rPr>
          <w:rFonts w:ascii="Consolas" w:hAnsi="Consolas"/>
          <w:color w:val="A31515"/>
          <w:sz w:val="20"/>
        </w:rPr>
        <w:t xml:space="preserve">    MAX(PerformanceRating[ReviewDate])</w:t>
      </w:r>
      <w:r>
        <w:rPr>
          <w:rFonts w:ascii="Consolas" w:hAnsi="Consolas"/>
          <w:color w:val="A31515"/>
          <w:sz w:val="20"/>
        </w:rPr>
        <w:br w:type="textWrapping"/>
      </w:r>
      <w:r>
        <w:rPr>
          <w:rFonts w:ascii="Consolas" w:hAnsi="Consolas"/>
          <w:color w:val="A31515"/>
          <w:sz w:val="20"/>
        </w:rPr>
        <w:t>)</w:t>
      </w:r>
    </w:p>
    <w:p w14:paraId="5D5778E3">
      <w:pPr>
        <w:keepNext/>
        <w:spacing w:before="240" w:after="80"/>
      </w:pPr>
      <w:r>
        <w:rPr>
          <w:b/>
          <w:sz w:val="24"/>
        </w:rPr>
        <w:t>6. Next Review Date</w:t>
      </w:r>
    </w:p>
    <w:p w14:paraId="7FC58EF4">
      <w:pPr>
        <w:spacing w:before="80" w:after="120"/>
        <w:ind w:left="360"/>
      </w:pPr>
      <w:r>
        <w:rPr>
          <w:rFonts w:ascii="Consolas" w:hAnsi="Consolas"/>
          <w:color w:val="A31515"/>
          <w:sz w:val="20"/>
        </w:rPr>
        <w:t xml:space="preserve">Next Review = </w:t>
      </w:r>
      <w:r>
        <w:rPr>
          <w:rFonts w:ascii="Consolas" w:hAnsi="Consolas"/>
          <w:color w:val="A31515"/>
          <w:sz w:val="20"/>
        </w:rPr>
        <w:br w:type="textWrapping"/>
      </w:r>
      <w:r>
        <w:rPr>
          <w:rFonts w:ascii="Consolas" w:hAnsi="Consolas"/>
          <w:color w:val="A31515"/>
          <w:sz w:val="20"/>
        </w:rPr>
        <w:t xml:space="preserve">VAR hire_or_review = </w:t>
      </w:r>
      <w:r>
        <w:rPr>
          <w:rFonts w:ascii="Consolas" w:hAnsi="Consolas"/>
          <w:color w:val="A31515"/>
          <w:sz w:val="20"/>
        </w:rPr>
        <w:br w:type="textWrapping"/>
      </w:r>
      <w:r>
        <w:rPr>
          <w:rFonts w:ascii="Consolas" w:hAnsi="Consolas"/>
          <w:color w:val="A31515"/>
          <w:sz w:val="20"/>
        </w:rPr>
        <w:t xml:space="preserve">    IF(</w:t>
      </w:r>
      <w:r>
        <w:rPr>
          <w:rFonts w:ascii="Consolas" w:hAnsi="Consolas"/>
          <w:color w:val="A31515"/>
          <w:sz w:val="20"/>
        </w:rPr>
        <w:br w:type="textWrapping"/>
      </w:r>
      <w:r>
        <w:rPr>
          <w:rFonts w:ascii="Consolas" w:hAnsi="Consolas"/>
          <w:color w:val="A31515"/>
          <w:sz w:val="20"/>
        </w:rPr>
        <w:t xml:space="preserve">        ISBLANK(MAX(PerformanceRating[ReviewDate])), </w:t>
      </w:r>
      <w:r>
        <w:rPr>
          <w:rFonts w:ascii="Consolas" w:hAnsi="Consolas"/>
          <w:color w:val="A31515"/>
          <w:sz w:val="20"/>
        </w:rPr>
        <w:br w:type="textWrapping"/>
      </w:r>
      <w:r>
        <w:rPr>
          <w:rFonts w:ascii="Consolas" w:hAnsi="Consolas"/>
          <w:color w:val="A31515"/>
          <w:sz w:val="20"/>
        </w:rPr>
        <w:t xml:space="preserve">        MAX(DimEmployee[HireDate]), </w:t>
      </w:r>
      <w:r>
        <w:rPr>
          <w:rFonts w:ascii="Consolas" w:hAnsi="Consolas"/>
          <w:color w:val="A31515"/>
          <w:sz w:val="20"/>
        </w:rPr>
        <w:br w:type="textWrapping"/>
      </w:r>
      <w:r>
        <w:rPr>
          <w:rFonts w:ascii="Consolas" w:hAnsi="Consolas"/>
          <w:color w:val="A31515"/>
          <w:sz w:val="20"/>
        </w:rPr>
        <w:t xml:space="preserve">        MAX(PerformanceRating[ReviewDate])</w:t>
      </w:r>
      <w:r>
        <w:rPr>
          <w:rFonts w:ascii="Consolas" w:hAnsi="Consolas"/>
          <w:color w:val="A31515"/>
          <w:sz w:val="20"/>
        </w:rPr>
        <w:br w:type="textWrapping"/>
      </w:r>
      <w:r>
        <w:rPr>
          <w:rFonts w:ascii="Consolas" w:hAnsi="Consolas"/>
          <w:color w:val="A31515"/>
          <w:sz w:val="20"/>
        </w:rPr>
        <w:t xml:space="preserve">    ) </w:t>
      </w:r>
      <w:r>
        <w:rPr>
          <w:rFonts w:ascii="Consolas" w:hAnsi="Consolas"/>
          <w:color w:val="A31515"/>
          <w:sz w:val="20"/>
        </w:rPr>
        <w:br w:type="textWrapping"/>
      </w:r>
      <w:r>
        <w:rPr>
          <w:rFonts w:ascii="Consolas" w:hAnsi="Consolas"/>
          <w:color w:val="A31515"/>
          <w:sz w:val="20"/>
        </w:rPr>
        <w:t xml:space="preserve">RETURN </w:t>
      </w:r>
      <w:r>
        <w:rPr>
          <w:rFonts w:ascii="Consolas" w:hAnsi="Consolas"/>
          <w:color w:val="A31515"/>
          <w:sz w:val="20"/>
        </w:rPr>
        <w:br w:type="textWrapping"/>
      </w:r>
      <w:r>
        <w:rPr>
          <w:rFonts w:ascii="Consolas" w:hAnsi="Consolas"/>
          <w:color w:val="A31515"/>
          <w:sz w:val="20"/>
        </w:rPr>
        <w:t xml:space="preserve">    hire_or_review + 365</w:t>
      </w:r>
    </w:p>
    <w:p w14:paraId="590A1575">
      <w:pPr>
        <w:keepNext/>
        <w:spacing w:before="240" w:after="80"/>
      </w:pPr>
      <w:r>
        <w:rPr>
          <w:b/>
          <w:sz w:val="24"/>
        </w:rPr>
        <w:t>7. Job Satisfaction Index</w:t>
      </w:r>
    </w:p>
    <w:p w14:paraId="72E61C37">
      <w:pPr>
        <w:spacing w:before="80" w:after="120"/>
        <w:ind w:left="360"/>
      </w:pPr>
      <w:r>
        <w:rPr>
          <w:rFonts w:ascii="Consolas" w:hAnsi="Consolas"/>
          <w:color w:val="A31515"/>
          <w:sz w:val="20"/>
        </w:rPr>
        <w:t xml:space="preserve">JobSatisfaction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MAX(PerformanceRating[JobSatisfaction]), </w:t>
      </w:r>
      <w:r>
        <w:rPr>
          <w:rFonts w:ascii="Consolas" w:hAnsi="Consolas"/>
          <w:color w:val="A31515"/>
          <w:sz w:val="20"/>
        </w:rPr>
        <w:br w:type="textWrapping"/>
      </w:r>
      <w:r>
        <w:rPr>
          <w:rFonts w:ascii="Consolas" w:hAnsi="Consolas"/>
          <w:color w:val="A31515"/>
          <w:sz w:val="20"/>
        </w:rPr>
        <w:t xml:space="preserve">    USERELATIONSHIP(PerformanceRating[JobSatisfaction],SatisfiedLevel[SatisfactionID])</w:t>
      </w:r>
      <w:r>
        <w:rPr>
          <w:rFonts w:ascii="Consolas" w:hAnsi="Consolas"/>
          <w:color w:val="A31515"/>
          <w:sz w:val="20"/>
        </w:rPr>
        <w:br w:type="textWrapping"/>
      </w:r>
      <w:r>
        <w:rPr>
          <w:rFonts w:ascii="Consolas" w:hAnsi="Consolas"/>
          <w:color w:val="A31515"/>
          <w:sz w:val="20"/>
        </w:rPr>
        <w:t>)</w:t>
      </w:r>
    </w:p>
    <w:p w14:paraId="00D56DB5">
      <w:pPr>
        <w:keepNext/>
        <w:spacing w:before="240" w:after="80"/>
      </w:pPr>
      <w:r>
        <w:rPr>
          <w:b/>
          <w:sz w:val="24"/>
        </w:rPr>
        <w:t>8. Environment Comfort Index</w:t>
      </w:r>
    </w:p>
    <w:p w14:paraId="16DE78D2">
      <w:pPr>
        <w:spacing w:before="80" w:after="120"/>
        <w:ind w:left="360"/>
      </w:pPr>
      <w:r>
        <w:rPr>
          <w:rFonts w:ascii="Consolas" w:hAnsi="Consolas"/>
          <w:color w:val="A31515"/>
          <w:sz w:val="20"/>
        </w:rPr>
        <w:t xml:space="preserve">EnvironmentSatisfaction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MAX(PerformanceRating[EnvironmentSatisfaction]), </w:t>
      </w:r>
      <w:r>
        <w:rPr>
          <w:rFonts w:ascii="Consolas" w:hAnsi="Consolas"/>
          <w:color w:val="A31515"/>
          <w:sz w:val="20"/>
        </w:rPr>
        <w:br w:type="textWrapping"/>
      </w:r>
      <w:r>
        <w:rPr>
          <w:rFonts w:ascii="Consolas" w:hAnsi="Consolas"/>
          <w:color w:val="A31515"/>
          <w:sz w:val="20"/>
        </w:rPr>
        <w:t xml:space="preserve">    USERELATIONSHIP(PerformanceRating[EnvironmentSatisfaction],SatisfiedLevel[SatisfactionID])</w:t>
      </w:r>
      <w:r>
        <w:rPr>
          <w:rFonts w:ascii="Consolas" w:hAnsi="Consolas"/>
          <w:color w:val="A31515"/>
          <w:sz w:val="20"/>
        </w:rPr>
        <w:br w:type="textWrapping"/>
      </w:r>
      <w:r>
        <w:rPr>
          <w:rFonts w:ascii="Consolas" w:hAnsi="Consolas"/>
          <w:color w:val="A31515"/>
          <w:sz w:val="20"/>
        </w:rPr>
        <w:t>)</w:t>
      </w:r>
    </w:p>
    <w:p w14:paraId="6FCDCF61">
      <w:pPr>
        <w:keepNext/>
        <w:spacing w:before="240" w:after="80"/>
      </w:pPr>
      <w:r>
        <w:rPr>
          <w:b/>
          <w:sz w:val="24"/>
        </w:rPr>
        <w:t>9. Relationship Morale Index</w:t>
      </w:r>
    </w:p>
    <w:p w14:paraId="45999F55">
      <w:pPr>
        <w:spacing w:before="80" w:after="120"/>
        <w:ind w:left="360"/>
      </w:pPr>
      <w:r>
        <w:rPr>
          <w:rFonts w:ascii="Consolas" w:hAnsi="Consolas"/>
          <w:color w:val="A31515"/>
          <w:sz w:val="20"/>
        </w:rPr>
        <w:t xml:space="preserve">RelationshipSatisfaction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MAX(PerformanceRating[RelationshipSatisfaction]), </w:t>
      </w:r>
      <w:r>
        <w:rPr>
          <w:rFonts w:ascii="Consolas" w:hAnsi="Consolas"/>
          <w:color w:val="A31515"/>
          <w:sz w:val="20"/>
        </w:rPr>
        <w:br w:type="textWrapping"/>
      </w:r>
      <w:r>
        <w:rPr>
          <w:rFonts w:ascii="Consolas" w:hAnsi="Consolas"/>
          <w:color w:val="A31515"/>
          <w:sz w:val="20"/>
        </w:rPr>
        <w:t xml:space="preserve">    USERELATIONSHIP(PerformanceRating[RelationshipSatisfaction],SatisfiedLevel[SatisfactionID])</w:t>
      </w:r>
      <w:r>
        <w:rPr>
          <w:rFonts w:ascii="Consolas" w:hAnsi="Consolas"/>
          <w:color w:val="A31515"/>
          <w:sz w:val="20"/>
        </w:rPr>
        <w:br w:type="textWrapping"/>
      </w:r>
      <w:r>
        <w:rPr>
          <w:rFonts w:ascii="Consolas" w:hAnsi="Consolas"/>
          <w:color w:val="A31515"/>
          <w:sz w:val="20"/>
        </w:rPr>
        <w:t>)</w:t>
      </w:r>
    </w:p>
    <w:p w14:paraId="31824F14">
      <w:pPr>
        <w:keepNext/>
        <w:spacing w:before="240" w:after="80"/>
      </w:pPr>
      <w:r>
        <w:rPr>
          <w:b/>
          <w:sz w:val="24"/>
        </w:rPr>
        <w:t>10. Work-Life Balance Index</w:t>
      </w:r>
    </w:p>
    <w:p w14:paraId="6F208BE1">
      <w:pPr>
        <w:spacing w:before="80" w:after="120"/>
        <w:ind w:left="360"/>
      </w:pPr>
      <w:r>
        <w:rPr>
          <w:rFonts w:ascii="Consolas" w:hAnsi="Consolas"/>
          <w:color w:val="A31515"/>
          <w:sz w:val="20"/>
        </w:rPr>
        <w:t xml:space="preserve">WorkLifeBalanceSatisfaction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MAX(PerformanceRating[WorkLifeBalance]), </w:t>
      </w:r>
      <w:r>
        <w:rPr>
          <w:rFonts w:ascii="Consolas" w:hAnsi="Consolas"/>
          <w:color w:val="A31515"/>
          <w:sz w:val="20"/>
        </w:rPr>
        <w:br w:type="textWrapping"/>
      </w:r>
      <w:r>
        <w:rPr>
          <w:rFonts w:ascii="Consolas" w:hAnsi="Consolas"/>
          <w:color w:val="A31515"/>
          <w:sz w:val="20"/>
        </w:rPr>
        <w:t xml:space="preserve">    USERELATIONSHIP(PerformanceRating[WorkLifeBalance],SatisfiedLevel[SatisfactionID])</w:t>
      </w:r>
      <w:r>
        <w:rPr>
          <w:rFonts w:ascii="Consolas" w:hAnsi="Consolas"/>
          <w:color w:val="A31515"/>
          <w:sz w:val="20"/>
        </w:rPr>
        <w:br w:type="textWrapping"/>
      </w:r>
      <w:r>
        <w:rPr>
          <w:rFonts w:ascii="Consolas" w:hAnsi="Consolas"/>
          <w:color w:val="A31515"/>
          <w:sz w:val="20"/>
        </w:rPr>
        <w:t>)</w:t>
      </w:r>
    </w:p>
    <w:p w14:paraId="4EA319DE">
      <w:pPr>
        <w:keepNext/>
        <w:spacing w:before="240" w:after="80"/>
      </w:pPr>
      <w:r>
        <w:rPr>
          <w:b/>
          <w:sz w:val="24"/>
        </w:rPr>
        <w:t>11. Manager Evaluation Score</w:t>
      </w:r>
    </w:p>
    <w:p w14:paraId="62243F79">
      <w:pPr>
        <w:spacing w:before="80" w:after="120"/>
        <w:ind w:left="360"/>
      </w:pPr>
      <w:r>
        <w:rPr>
          <w:rFonts w:ascii="Consolas" w:hAnsi="Consolas"/>
          <w:color w:val="A31515"/>
          <w:sz w:val="20"/>
        </w:rPr>
        <w:t xml:space="preserve">ManagerRating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MAX(PerformanceRating[ManagerRating]), </w:t>
      </w:r>
      <w:r>
        <w:rPr>
          <w:rFonts w:ascii="Consolas" w:hAnsi="Consolas"/>
          <w:color w:val="A31515"/>
          <w:sz w:val="20"/>
        </w:rPr>
        <w:br w:type="textWrapping"/>
      </w:r>
      <w:r>
        <w:rPr>
          <w:rFonts w:ascii="Consolas" w:hAnsi="Consolas"/>
          <w:color w:val="A31515"/>
          <w:sz w:val="20"/>
        </w:rPr>
        <w:t xml:space="preserve">    USERELATIONSHIP(PerformanceRating[ManagerRating],RatingLevel[RatingID])</w:t>
      </w:r>
      <w:r>
        <w:rPr>
          <w:rFonts w:ascii="Consolas" w:hAnsi="Consolas"/>
          <w:color w:val="A31515"/>
          <w:sz w:val="20"/>
        </w:rPr>
        <w:br w:type="textWrapping"/>
      </w:r>
      <w:r>
        <w:rPr>
          <w:rFonts w:ascii="Consolas" w:hAnsi="Consolas"/>
          <w:color w:val="A31515"/>
          <w:sz w:val="20"/>
        </w:rPr>
        <w:t>)</w:t>
      </w:r>
    </w:p>
    <w:p w14:paraId="23A3FF64">
      <w:pPr>
        <w:keepNext/>
        <w:spacing w:before="240" w:after="80"/>
      </w:pPr>
      <w:r>
        <w:rPr>
          <w:b/>
          <w:sz w:val="24"/>
        </w:rPr>
        <w:t>12. Self Evaluation Score</w:t>
      </w:r>
    </w:p>
    <w:p w14:paraId="65897186">
      <w:pPr>
        <w:spacing w:before="80" w:after="120"/>
        <w:ind w:left="360"/>
      </w:pPr>
      <w:r>
        <w:rPr>
          <w:rFonts w:ascii="Consolas" w:hAnsi="Consolas"/>
          <w:color w:val="A31515"/>
          <w:sz w:val="20"/>
        </w:rPr>
        <w:t xml:space="preserve">SelfRating = </w:t>
      </w:r>
      <w:r>
        <w:rPr>
          <w:rFonts w:ascii="Consolas" w:hAnsi="Consolas"/>
          <w:color w:val="A31515"/>
          <w:sz w:val="20"/>
        </w:rPr>
        <w:br w:type="textWrapping"/>
      </w:r>
      <w:r>
        <w:rPr>
          <w:rFonts w:ascii="Consolas" w:hAnsi="Consolas"/>
          <w:color w:val="A31515"/>
          <w:sz w:val="20"/>
        </w:rPr>
        <w:t>CALCULATE(</w:t>
      </w:r>
      <w:r>
        <w:rPr>
          <w:rFonts w:ascii="Consolas" w:hAnsi="Consolas"/>
          <w:color w:val="A31515"/>
          <w:sz w:val="20"/>
        </w:rPr>
        <w:br w:type="textWrapping"/>
      </w:r>
      <w:r>
        <w:rPr>
          <w:rFonts w:ascii="Consolas" w:hAnsi="Consolas"/>
          <w:color w:val="A31515"/>
          <w:sz w:val="20"/>
        </w:rPr>
        <w:t xml:space="preserve">    MAX(PerformanceRating[SelfRating]), </w:t>
      </w:r>
      <w:r>
        <w:rPr>
          <w:rFonts w:ascii="Consolas" w:hAnsi="Consolas"/>
          <w:color w:val="A31515"/>
          <w:sz w:val="20"/>
        </w:rPr>
        <w:br w:type="textWrapping"/>
      </w:r>
      <w:r>
        <w:rPr>
          <w:rFonts w:ascii="Consolas" w:hAnsi="Consolas"/>
          <w:color w:val="A31515"/>
          <w:sz w:val="20"/>
        </w:rPr>
        <w:t xml:space="preserve">    USERELATIONSHIP(PerformanceRating[SelfRating],RatingLevel[RatingID])</w:t>
      </w:r>
      <w:r>
        <w:rPr>
          <w:rFonts w:ascii="Consolas" w:hAnsi="Consolas"/>
          <w:color w:val="A31515"/>
          <w:sz w:val="20"/>
        </w:rPr>
        <w:br w:type="textWrapping"/>
      </w:r>
      <w:r>
        <w:rPr>
          <w:rFonts w:ascii="Consolas" w:hAnsi="Consolas"/>
          <w:color w:val="A31515"/>
          <w:sz w:val="20"/>
        </w:rPr>
        <w:t>)</w:t>
      </w:r>
    </w:p>
    <w:p w14:paraId="64D5057B">
      <w:pPr>
        <w:keepNext/>
        <w:spacing w:before="440" w:after="160"/>
      </w:pPr>
      <w:r>
        <w:rPr>
          <w:b/>
          <w:color w:val="1B365D"/>
          <w:sz w:val="36"/>
        </w:rPr>
        <w:t>8. Execution, Environment Settings &amp; Local Data Mapping</w:t>
      </w:r>
    </w:p>
    <w:p w14:paraId="5B403DC9">
      <w:pPr>
        <w:pStyle w:val="23"/>
        <w:spacing w:after="80"/>
      </w:pPr>
      <w:r>
        <w:rPr>
          <w:b/>
        </w:rPr>
        <w:t xml:space="preserve">1. </w:t>
      </w:r>
      <w:r>
        <w:t>Confirm Microsoft Power BI Desktop (latest stable release) is installed on your local Windows client station.</w:t>
      </w:r>
    </w:p>
    <w:p w14:paraId="4A8F3CC2">
      <w:pPr>
        <w:pStyle w:val="23"/>
        <w:spacing w:after="80"/>
      </w:pPr>
      <w:r>
        <w:rPr>
          <w:b/>
        </w:rPr>
        <w:t xml:space="preserve">2. </w:t>
      </w:r>
      <w:r>
        <w:t>Clone this Git repository or download the source .pbix report file to your local drive.</w:t>
      </w:r>
    </w:p>
    <w:p w14:paraId="741AB82A">
      <w:pPr>
        <w:pStyle w:val="23"/>
        <w:spacing w:after="80"/>
      </w:pPr>
      <w:r>
        <w:rPr>
          <w:b/>
        </w:rPr>
        <w:t xml:space="preserve">3. </w:t>
      </w:r>
      <w:r>
        <w:t>Open the .pbix report asset; the unified layout form, sidebar filters, star schema relationships, and all 12 core DAX measures will initialize instantly.</w:t>
      </w:r>
    </w:p>
    <w:p w14:paraId="40180D5B">
      <w:pPr>
        <w:pStyle w:val="23"/>
        <w:spacing w:after="80"/>
      </w:pPr>
      <w:r>
        <w:rPr>
          <w:b/>
        </w:rPr>
        <w:t xml:space="preserve">4. </w:t>
      </w:r>
      <w:r>
        <w:t>To link local data tables to your network directories, navigate to the upper Ribbon layout, select Transform Data -&gt; Data Source Settings, modify the file directory paths to match your local storage structure, and click Refresh.</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122B"/>
    <w:rsid w:val="0015074B"/>
    <w:rsid w:val="0029639D"/>
    <w:rsid w:val="00326F90"/>
    <w:rsid w:val="007B65F0"/>
    <w:rsid w:val="00AA1D8D"/>
    <w:rsid w:val="00B47730"/>
    <w:rsid w:val="00BC22B2"/>
    <w:rsid w:val="00CB0664"/>
    <w:rsid w:val="00FC693F"/>
    <w:rsid w:val="163B32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2222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Pages>
  <Words>2197</Words>
  <Characters>15121</Characters>
  <Lines>124</Lines>
  <Paragraphs>35</Paragraphs>
  <TotalTime>11</TotalTime>
  <ScaleCrop>false</ScaleCrop>
  <LinksUpToDate>false</LinksUpToDate>
  <CharactersWithSpaces>17371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حسن وهبه</cp:lastModifiedBy>
  <dcterms:modified xsi:type="dcterms:W3CDTF">2026-10-14T22:18:27Z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eyJoZGlkIjoiODdkZGU2NGUzZWYyYmE1MDQ3ODc4M2M4NWVkMGY1YzIiLCJ1c2VySWQiOiIxNDQzMTA5NjU3MTU0NyJ9</vt:lpwstr>
  </property>
  <property fmtid="{D5CDD505-2E9C-101B-9397-08002B2CF9AE}" pid="3" name="KSOProductBuildVer">
    <vt:lpwstr>1033-12.1.0.29162</vt:lpwstr>
  </property>
  <property fmtid="{D5CDD505-2E9C-101B-9397-08002B2CF9AE}" pid="4" name="ICV">
    <vt:lpwstr>55767DD0F030461095C7A1B17F997892_12</vt:lpwstr>
  </property>
</Properties>
</file>