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/>
          <w:b/>
          <w:i w:val="0"/>
          <w:color w:val="1A365D"/>
          <w:sz w:val="48"/>
        </w:rPr>
        <w:t>HASSAN WAHBA</w:t>
      </w:r>
    </w:p>
    <w:p>
      <w:pPr>
        <w:spacing w:after="80" w:before="0" w:line="276" w:lineRule="auto"/>
        <w:jc w:val="center"/>
      </w:pPr>
      <w:r>
        <w:rPr>
          <w:rFonts w:ascii="Calibri" w:hAnsi="Calibri"/>
          <w:b/>
          <w:i/>
          <w:color w:val="4A5568"/>
          <w:sz w:val="24"/>
        </w:rPr>
        <w:t>Senior Electrical Engineer | Data Analyst &amp; BI Developer</w:t>
      </w:r>
    </w:p>
    <w:p>
      <w:pPr>
        <w:spacing w:after="240" w:before="0" w:line="276" w:lineRule="auto"/>
        <w:jc w:val="center"/>
      </w:pPr>
      <w:r>
        <w:rPr>
          <w:rFonts w:ascii="Calibri" w:hAnsi="Calibri"/>
          <w:b w:val="0"/>
          <w:i w:val="0"/>
          <w:color w:val="4A5568"/>
          <w:sz w:val="20"/>
        </w:rPr>
        <w:t>Gesr Elsuez, Cairo, Egypt  |  +201208079351  |  eng_hassanwahba@yahoo.com</w:t>
        <w:br/>
        <w:t>Nationality: Egyptian  |  Military Status: Exempt</w:t>
        <w:br/>
        <w:t>LinkedIn: linkedin.com/in/hassan-wahba-a0777013a  |  GitHub: github.com/enghassanwahba</w:t>
      </w:r>
    </w:p>
    <w:p>
      <w:pPr>
        <w:spacing w:after="80" w:before="240" w:line="276" w:lineRule="auto"/>
        <w:jc w:val="left"/>
        <w:pBdr>
          <w:bottom w:val="single" w:sz="6" w:space="1" w:color="1A365D"/>
        </w:pBdr>
      </w:pPr>
      <w:r>
        <w:rPr>
          <w:rFonts w:ascii="Calibri" w:hAnsi="Calibri"/>
          <w:b/>
          <w:i w:val="0"/>
          <w:color w:val="1A365D"/>
          <w:sz w:val="26"/>
        </w:rPr>
        <w:t>EXECUTIVE SUMMARY</w:t>
      </w:r>
    </w:p>
    <w:p>
      <w:pPr>
        <w:spacing w:after="16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Highly accomplished Senior Electrical Engineer with over 18 years of experience leading electro-mechanical operations for mega, public, and high-security military infrastructures. Transitioning a profound expertise in technical audit, structural system interfacing, and root-cause analysis into the Data Analytics and Business Intelligence ecosystem. Passionate about engineering end-to-end data pipelines, modernizing ETL processes, and building interactive visual stories. Proven ability to clean complex datasets, write optimized SQL architectures, and synthesize robust metrics that drive strategic, executive-level decisions.</w:t>
      </w:r>
    </w:p>
    <w:p>
      <w:pPr>
        <w:spacing w:after="80" w:before="240" w:line="276" w:lineRule="auto"/>
        <w:jc w:val="left"/>
        <w:pBdr>
          <w:bottom w:val="single" w:sz="6" w:space="1" w:color="1A365D"/>
        </w:pBdr>
      </w:pPr>
      <w:r>
        <w:rPr>
          <w:rFonts w:ascii="Calibri" w:hAnsi="Calibri"/>
          <w:b/>
          <w:i w:val="0"/>
          <w:color w:val="1A365D"/>
          <w:sz w:val="26"/>
        </w:rPr>
        <w:t>CORE COMPETENCIES &amp; TECHNICAL SKILLS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/>
          <w:i w:val="0"/>
          <w:sz w:val="22"/>
        </w:rPr>
        <w:t xml:space="preserve">Data Analytics &amp; BI: </w:t>
      </w:r>
      <w:r>
        <w:rPr>
          <w:rFonts w:ascii="Calibri" w:hAnsi="Calibri"/>
          <w:b w:val="0"/>
          <w:i w:val="0"/>
          <w:sz w:val="22"/>
        </w:rPr>
        <w:t>End-to-End Data Pipelines, ETL, Data Warehousing, Customer Churn Analysis, HR Analytics, Interactive Storytelling.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/>
          <w:i w:val="0"/>
          <w:sz w:val="22"/>
        </w:rPr>
        <w:t xml:space="preserve">Technical Stack: </w:t>
      </w:r>
      <w:r>
        <w:rPr>
          <w:rFonts w:ascii="Calibri" w:hAnsi="Calibri"/>
          <w:b w:val="0"/>
          <w:i w:val="0"/>
          <w:sz w:val="22"/>
        </w:rPr>
        <w:t>Python (Pandas, NumPy, Matplotlib, Seaborn), SQL (T-SQL, MySQL, Views, Queries Optimization), Power BI Desktop, Advanced Excel (Power Query, Power Pivot).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/>
          <w:i w:val="0"/>
          <w:sz w:val="22"/>
        </w:rPr>
        <w:t xml:space="preserve">Engineering Operations: </w:t>
      </w:r>
      <w:r>
        <w:rPr>
          <w:rFonts w:ascii="Calibri" w:hAnsi="Calibri"/>
          <w:b w:val="0"/>
          <w:i w:val="0"/>
          <w:sz w:val="22"/>
        </w:rPr>
        <w:t>Site Supervision, QA/QC Protocols, Material Submittals &amp; Inspection (MIR/WIR), Commisioning &amp; Testing, MV/LV Power Distribution, Critical Life Safety Systems.</w:t>
      </w:r>
    </w:p>
    <w:p>
      <w:pPr>
        <w:pStyle w:val="ListBullet"/>
        <w:spacing w:after="160" w:before="0" w:line="276" w:lineRule="auto"/>
        <w:jc w:val="left"/>
      </w:pPr>
      <w:r>
        <w:rPr>
          <w:rFonts w:ascii="Calibri" w:hAnsi="Calibri"/>
          <w:b/>
          <w:i w:val="0"/>
          <w:sz w:val="22"/>
        </w:rPr>
        <w:t xml:space="preserve">Engineering Software: </w:t>
      </w:r>
      <w:r>
        <w:rPr>
          <w:rFonts w:ascii="Calibri" w:hAnsi="Calibri"/>
          <w:b w:val="0"/>
          <w:i w:val="0"/>
          <w:sz w:val="22"/>
        </w:rPr>
        <w:t>Dialux, AutoCAD, MATLAB, Power World.</w:t>
      </w:r>
    </w:p>
    <w:p>
      <w:pPr>
        <w:spacing w:after="80" w:before="240" w:line="276" w:lineRule="auto"/>
        <w:jc w:val="left"/>
        <w:pBdr>
          <w:bottom w:val="single" w:sz="6" w:space="1" w:color="1A365D"/>
        </w:pBdr>
      </w:pPr>
      <w:r>
        <w:rPr>
          <w:rFonts w:ascii="Calibri" w:hAnsi="Calibri"/>
          <w:b/>
          <w:i w:val="0"/>
          <w:color w:val="1A365D"/>
          <w:sz w:val="26"/>
        </w:rPr>
        <w:t>FEATURED DATA PORTFOLIO (GitHub)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/>
          <w:i w:val="0"/>
          <w:color w:val="1A365D"/>
          <w:sz w:val="22"/>
        </w:rPr>
        <w:t xml:space="preserve">Adidas Interactive Sales &amp; Profit Dashboard: </w:t>
      </w:r>
      <w:r>
        <w:rPr>
          <w:rFonts w:ascii="Calibri" w:hAnsi="Calibri"/>
          <w:b w:val="0"/>
          <w:i w:val="0"/>
          <w:sz w:val="22"/>
        </w:rPr>
        <w:t>Built an interactive retail BI dashboard tracking cross-regional performance, total profit ($85,070), and units sold (3,550). Features deep-dive charts into profit margins, sales distribution, and regional revenue drivers across Middle Eastern markets.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/>
          <w:i w:val="0"/>
          <w:color w:val="1A365D"/>
          <w:sz w:val="22"/>
        </w:rPr>
        <w:t xml:space="preserve">PowerQuery Nexus Commercial BI Dashboard: </w:t>
      </w:r>
      <w:r>
        <w:rPr>
          <w:rFonts w:ascii="Calibri" w:hAnsi="Calibri"/>
          <w:b w:val="0"/>
          <w:i w:val="0"/>
          <w:sz w:val="22"/>
        </w:rPr>
        <w:t>Integrated 3 disparate core business datasets (Orders, Customers, Products). Architected robust ETL pipelines within Excel using Power Query for rigorous data transformation, automated data cleaning, schema validation, and dynamic KPI mapping.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/>
          <w:i w:val="0"/>
          <w:color w:val="1A365D"/>
          <w:sz w:val="22"/>
        </w:rPr>
        <w:t xml:space="preserve">Databel Churn-Lens Telecom Report: </w:t>
      </w:r>
      <w:r>
        <w:rPr>
          <w:rFonts w:ascii="Calibri" w:hAnsi="Calibri"/>
          <w:b w:val="0"/>
          <w:i w:val="0"/>
          <w:sz w:val="22"/>
        </w:rPr>
        <w:t>Engineered an enterprise-grade customer retention solution for Databel Telecom utilizing Power BI. Analyzed churn behaviors, isolated major financial risk categories (competitor actions, support tickets), and formulated predictive retention lenses.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/>
          <w:i w:val="0"/>
          <w:color w:val="1A365D"/>
          <w:sz w:val="22"/>
        </w:rPr>
        <w:t xml:space="preserve">Atlas Retain Analytics Solution: </w:t>
      </w:r>
      <w:r>
        <w:rPr>
          <w:rFonts w:ascii="Calibri" w:hAnsi="Calibri"/>
          <w:b w:val="0"/>
          <w:i w:val="0"/>
          <w:sz w:val="22"/>
        </w:rPr>
        <w:t>Designed and deployed a high-precision corporate data analytics tool using Power BI Desktop. Created complex DAX calculations to isolate client attrition rates, providing immediate tracking and visibility into underlying client lifecycle risks.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/>
          <w:i w:val="0"/>
          <w:color w:val="1A365D"/>
          <w:sz w:val="22"/>
        </w:rPr>
        <w:t xml:space="preserve">Pizza Sales End-to-End SQL &amp; Power BI Analytics: </w:t>
      </w:r>
      <w:r>
        <w:rPr>
          <w:rFonts w:ascii="Calibri" w:hAnsi="Calibri"/>
          <w:b w:val="0"/>
          <w:i w:val="0"/>
          <w:sz w:val="22"/>
        </w:rPr>
        <w:t>Transformed thousands of raw unstructured transactional records into a multi-level executive platform. Developed and optimized 17 T-SQL Views to process aggregations efficiently, interfacing them seamlessly with a customized Power BI presentation matrix.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/>
          <w:i w:val="0"/>
          <w:color w:val="1A365D"/>
          <w:sz w:val="22"/>
        </w:rPr>
        <w:t xml:space="preserve">Atlas HR Attrition &amp; Workforce Analysis: </w:t>
      </w:r>
      <w:r>
        <w:rPr>
          <w:rFonts w:ascii="Calibri" w:hAnsi="Calibri"/>
          <w:b w:val="0"/>
          <w:i w:val="0"/>
          <w:sz w:val="22"/>
        </w:rPr>
        <w:t>Constructed a high-fidelity workforce behavioral model using Power BI to study a 16% historical employee attrition rate. Created interactive visualizations dissecting distance-from-work, tenure gaps, and departmental attrition vectors.</w:t>
      </w:r>
    </w:p>
    <w:p>
      <w:pPr>
        <w:spacing w:after="80" w:before="240" w:line="276" w:lineRule="auto"/>
        <w:jc w:val="left"/>
        <w:pBdr>
          <w:bottom w:val="single" w:sz="6" w:space="1" w:color="1A365D"/>
        </w:pBdr>
      </w:pPr>
      <w:r>
        <w:rPr>
          <w:rFonts w:ascii="Calibri" w:hAnsi="Calibri"/>
          <w:b/>
          <w:i w:val="0"/>
          <w:color w:val="1A365D"/>
          <w:sz w:val="26"/>
        </w:rPr>
        <w:t>PROFESSIONAL ENGINEERING EXPERIENCE</w:t>
      </w:r>
    </w:p>
    <w:p>
      <w:pPr>
        <w:spacing w:after="40" w:before="80" w:line="276" w:lineRule="auto"/>
        <w:jc w:val="left"/>
      </w:pPr>
      <w:r>
        <w:rPr>
          <w:rFonts w:ascii="Calibri" w:hAnsi="Calibri"/>
          <w:b/>
          <w:i w:val="0"/>
          <w:sz w:val="22"/>
        </w:rPr>
        <w:t>Automation &amp; Electrical Manager</w:t>
      </w:r>
      <w:r>
        <w:rPr>
          <w:rFonts w:ascii="Calibri" w:hAnsi="Calibri"/>
          <w:b/>
          <w:i w:val="0"/>
          <w:color w:val="4A5568"/>
          <w:sz w:val="20"/>
        </w:rPr>
        <w:tab/>
        <w:tab/>
        <w:tab/>
        <w:tab/>
        <w:t>Sept 2025 – Present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/>
          <w:color w:val="4A5568"/>
          <w:sz w:val="20"/>
        </w:rPr>
        <w:t>Unimix Egypt for Readymix — Cairo, Egypt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Direct automated controls, data loops, and infrastructure modifications for 14 macro industrial production complexes in Egypt.</w:t>
      </w:r>
    </w:p>
    <w:p>
      <w:pPr>
        <w:pStyle w:val="ListBullet"/>
        <w:spacing w:after="8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Audit technical office design schemas for main switchgears and high-load distribution nodes to ensure total systemic redundancy.</w:t>
      </w:r>
    </w:p>
    <w:p>
      <w:pPr>
        <w:spacing w:after="40" w:before="80" w:line="276" w:lineRule="auto"/>
        <w:jc w:val="left"/>
      </w:pPr>
      <w:r>
        <w:rPr>
          <w:rFonts w:ascii="Calibri" w:hAnsi="Calibri"/>
          <w:b/>
          <w:i w:val="0"/>
          <w:sz w:val="22"/>
        </w:rPr>
        <w:t>Director / Executive Director of Electromechanical Works</w:t>
      </w:r>
      <w:r>
        <w:rPr>
          <w:rFonts w:ascii="Calibri" w:hAnsi="Calibri"/>
          <w:b/>
          <w:i w:val="0"/>
          <w:color w:val="4A5568"/>
          <w:sz w:val="20"/>
        </w:rPr>
        <w:tab/>
        <w:tab/>
        <w:t>Feb 2018 – Aug 2025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/>
          <w:color w:val="4A5568"/>
          <w:sz w:val="20"/>
        </w:rPr>
        <w:t>Arab Contractors Company (ACC) — Egypt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Led full electromechanical site supervision and data-driven technical office tracking for the Faculty of Science Mega-Project at Suez University.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Monitored asset handovers, installation compliance, internal/external smart lighting layouts, and main distribution panel testing matrices.</w:t>
      </w:r>
    </w:p>
    <w:p>
      <w:pPr>
        <w:pStyle w:val="ListBullet"/>
        <w:spacing w:after="8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Enforced rigid compliance for integrated Fire Alarm &amp; Voice Evacuation Networks matching National Fire Protection Association (NFPA) criteria.</w:t>
      </w:r>
    </w:p>
    <w:p>
      <w:pPr>
        <w:spacing w:after="40" w:before="80" w:line="276" w:lineRule="auto"/>
        <w:jc w:val="left"/>
      </w:pPr>
      <w:r>
        <w:rPr>
          <w:rFonts w:ascii="Calibri" w:hAnsi="Calibri"/>
          <w:b/>
          <w:i w:val="0"/>
          <w:sz w:val="22"/>
        </w:rPr>
        <w:t>Technical Office &amp; Site Engineer (Electro-mechanical) — International Projects</w:t>
      </w:r>
      <w:r>
        <w:rPr>
          <w:rFonts w:ascii="Calibri" w:hAnsi="Calibri"/>
          <w:b/>
          <w:i w:val="0"/>
          <w:color w:val="4A5568"/>
          <w:sz w:val="20"/>
        </w:rPr>
        <w:tab/>
        <w:t>Aug 2010 – Jan 2018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/>
          <w:color w:val="4A5568"/>
          <w:sz w:val="20"/>
        </w:rPr>
        <w:t>Arab Contractors Company (ACC) — Equatorial Guinea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Deployed internationally to head comprehensive electromechanical construction, central utility plants, and infrastructure loops in a high-security Military Camp.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Supervised high-capacity MV grid cable pooling, containment zoning, trench routing, and safety testing operations under extreme environments.</w:t>
      </w:r>
    </w:p>
    <w:p>
      <w:pPr>
        <w:pStyle w:val="ListBullet"/>
        <w:spacing w:after="8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Validated and signed off on testing, full commissioning protocols, and risk mitigation procedures for critical utility systems prior to state handover.</w:t>
      </w:r>
    </w:p>
    <w:p>
      <w:pPr>
        <w:spacing w:after="40" w:before="80" w:line="276" w:lineRule="auto"/>
        <w:jc w:val="left"/>
      </w:pPr>
      <w:r>
        <w:rPr>
          <w:rFonts w:ascii="Calibri" w:hAnsi="Calibri"/>
          <w:b/>
          <w:i w:val="0"/>
          <w:sz w:val="22"/>
        </w:rPr>
        <w:t>Electrical Site &amp; Maintenance Engineer</w:t>
      </w:r>
      <w:r>
        <w:rPr>
          <w:rFonts w:ascii="Calibri" w:hAnsi="Calibri"/>
          <w:b/>
          <w:i w:val="0"/>
          <w:color w:val="4A5568"/>
          <w:sz w:val="20"/>
        </w:rPr>
        <w:tab/>
        <w:tab/>
        <w:tab/>
        <w:tab/>
        <w:t>Oct 2007 – July 2010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/>
          <w:color w:val="4A5568"/>
          <w:sz w:val="20"/>
        </w:rPr>
        <w:t>Arab Contractors Company &amp; Egyptian-Saudi Co. — Egypt</w:t>
      </w:r>
    </w:p>
    <w:p>
      <w:pPr>
        <w:pStyle w:val="ListBullet"/>
        <w:spacing w:after="8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Supervised field wiring, power factor panels assembly, maintenance schedules, and execution guidelines for localized electrical distribution networks.</w:t>
      </w:r>
    </w:p>
    <w:p>
      <w:pPr>
        <w:spacing w:after="80" w:before="240" w:line="276" w:lineRule="auto"/>
        <w:jc w:val="left"/>
        <w:pBdr>
          <w:bottom w:val="single" w:sz="6" w:space="1" w:color="1A365D"/>
        </w:pBdr>
      </w:pPr>
      <w:r>
        <w:rPr>
          <w:rFonts w:ascii="Calibri" w:hAnsi="Calibri"/>
          <w:b/>
          <w:i w:val="0"/>
          <w:color w:val="1A365D"/>
          <w:sz w:val="26"/>
        </w:rPr>
        <w:t>EDUCATION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2"/>
        </w:rPr>
        <w:t>Bachelor of Science (B.Sc.) in Electrical Power &amp; Electric Machines</w:t>
      </w:r>
      <w:r>
        <w:rPr>
          <w:rFonts w:ascii="Calibri" w:hAnsi="Calibri"/>
          <w:b/>
          <w:i w:val="0"/>
          <w:color w:val="4A5568"/>
          <w:sz w:val="20"/>
        </w:rPr>
        <w:tab/>
        <w:tab/>
        <w:t>Graduation: 2007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/>
          <w:sz w:val="22"/>
        </w:rPr>
        <w:t>Shubra Faculty of Engineering, Benha University — Egypt</w:t>
      </w:r>
    </w:p>
    <w:p>
      <w:pPr>
        <w:pStyle w:val="ListBullet"/>
        <w:spacing w:after="160" w:before="0" w:line="276" w:lineRule="auto"/>
        <w:jc w:val="left"/>
      </w:pPr>
      <w:r>
        <w:rPr>
          <w:rFonts w:ascii="Calibri" w:hAnsi="Calibri"/>
          <w:b/>
          <w:i w:val="0"/>
          <w:sz w:val="22"/>
        </w:rPr>
        <w:t xml:space="preserve">Graduation Project: </w:t>
      </w:r>
      <w:r>
        <w:rPr>
          <w:rFonts w:ascii="Calibri" w:hAnsi="Calibri"/>
          <w:b w:val="0"/>
          <w:i w:val="0"/>
          <w:sz w:val="22"/>
        </w:rPr>
        <w:t>Electrical Interconnection between Countries (Grade: Excellent)</w:t>
      </w:r>
    </w:p>
    <w:p>
      <w:pPr>
        <w:spacing w:after="80" w:before="240" w:line="276" w:lineRule="auto"/>
        <w:jc w:val="left"/>
        <w:pBdr>
          <w:bottom w:val="single" w:sz="6" w:space="1" w:color="1A365D"/>
        </w:pBdr>
      </w:pPr>
      <w:r>
        <w:rPr>
          <w:rFonts w:ascii="Calibri" w:hAnsi="Calibri"/>
          <w:b/>
          <w:i w:val="0"/>
          <w:color w:val="1A365D"/>
          <w:sz w:val="26"/>
        </w:rPr>
        <w:t>CERTIFICATIONS &amp; PROFESSIONAL TRAINING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Data Analytics &amp; BI: Specialized advanced curricula focusing on Python pipelines, SQL architectures, DAX, and Power BI dashboards.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Illumination Design: Advanced Lighting Systems Design Training – Arab Contractors Company.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Automation &amp; Drives: Specialized Technical Industry Training – ABB Automation Co.</w:t>
      </w:r>
    </w:p>
    <w:p>
      <w:pPr>
        <w:pStyle w:val="ListBullet"/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2"/>
        </w:rPr>
        <w:t>Power Systems: Advanced Power Systems Training – Electrical Stations Training Center.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