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8F7A1" w14:textId="19202D4F" w:rsidR="0031676F" w:rsidRPr="001B7BE4" w:rsidRDefault="00CC1926" w:rsidP="00030EA4">
      <w:pPr>
        <w:spacing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  <w:u w:val="single"/>
        </w:rPr>
        <w:t>Slide 2</w:t>
      </w:r>
      <w:r w:rsidR="0008639B" w:rsidRPr="001B7BE4">
        <w:rPr>
          <w:rFonts w:ascii="Arial" w:eastAsia="Times New Roman" w:hAnsi="Arial" w:cs="Arial"/>
          <w:sz w:val="26"/>
          <w:szCs w:val="26"/>
        </w:rPr>
        <w:t>:</w:t>
      </w:r>
      <w:r w:rsidR="00B66990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C217B6" w:rsidRPr="001B7BE4">
        <w:rPr>
          <w:rFonts w:ascii="Arial" w:eastAsia="Times New Roman" w:hAnsi="Arial" w:cs="Arial"/>
          <w:sz w:val="26"/>
          <w:szCs w:val="26"/>
        </w:rPr>
        <w:t>T</w:t>
      </w:r>
      <w:r w:rsidR="00B66990" w:rsidRPr="001B7BE4">
        <w:rPr>
          <w:rFonts w:ascii="Arial" w:eastAsia="Times New Roman" w:hAnsi="Arial" w:cs="Arial"/>
          <w:sz w:val="26"/>
          <w:szCs w:val="26"/>
        </w:rPr>
        <w:t xml:space="preserve">hroughout the world, governments have introduced </w:t>
      </w:r>
      <w:r w:rsidR="00690C7D" w:rsidRPr="001B7BE4">
        <w:rPr>
          <w:rFonts w:ascii="Arial" w:eastAsia="Times New Roman" w:hAnsi="Arial" w:cs="Arial"/>
          <w:sz w:val="26"/>
          <w:szCs w:val="26"/>
        </w:rPr>
        <w:t xml:space="preserve">place-based </w:t>
      </w:r>
      <w:r w:rsidR="00B66990" w:rsidRPr="001B7BE4">
        <w:rPr>
          <w:rFonts w:ascii="Arial" w:eastAsia="Times New Roman" w:hAnsi="Arial" w:cs="Arial"/>
          <w:sz w:val="26"/>
          <w:szCs w:val="26"/>
        </w:rPr>
        <w:t>policies to</w:t>
      </w:r>
      <w:r w:rsidR="00B254D9" w:rsidRPr="001B7BE4">
        <w:rPr>
          <w:rFonts w:ascii="Arial" w:eastAsia="Times New Roman" w:hAnsi="Arial" w:cs="Arial"/>
          <w:sz w:val="26"/>
          <w:szCs w:val="26"/>
        </w:rPr>
        <w:t xml:space="preserve"> mitigate</w:t>
      </w:r>
      <w:r w:rsidR="00D91DFC" w:rsidRPr="001B7BE4">
        <w:rPr>
          <w:rFonts w:ascii="Arial" w:eastAsia="Times New Roman" w:hAnsi="Arial" w:cs="Arial"/>
          <w:sz w:val="26"/>
          <w:szCs w:val="26"/>
        </w:rPr>
        <w:t xml:space="preserve"> inequality that exists</w:t>
      </w:r>
      <w:r w:rsidR="001B7BE4">
        <w:rPr>
          <w:rFonts w:ascii="Arial" w:eastAsia="Times New Roman" w:hAnsi="Arial" w:cs="Arial"/>
          <w:sz w:val="26"/>
          <w:szCs w:val="26"/>
        </w:rPr>
        <w:t xml:space="preserve"> across regions</w:t>
      </w:r>
      <w:r w:rsidR="00D91DFC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607BBB" w:rsidRPr="001B7BE4">
        <w:rPr>
          <w:rFonts w:ascii="Arial" w:eastAsia="Times New Roman" w:hAnsi="Arial" w:cs="Arial"/>
          <w:sz w:val="26"/>
          <w:szCs w:val="26"/>
        </w:rPr>
        <w:t>within their countries</w:t>
      </w:r>
      <w:r w:rsidR="00B66990" w:rsidRPr="001B7BE4">
        <w:rPr>
          <w:rFonts w:ascii="Arial" w:eastAsia="Times New Roman" w:hAnsi="Arial" w:cs="Arial"/>
          <w:sz w:val="26"/>
          <w:szCs w:val="26"/>
        </w:rPr>
        <w:t xml:space="preserve">. This </w:t>
      </w:r>
      <w:r w:rsidR="00782534" w:rsidRPr="001B7BE4">
        <w:rPr>
          <w:rFonts w:ascii="Arial" w:eastAsia="Times New Roman" w:hAnsi="Arial" w:cs="Arial"/>
          <w:sz w:val="26"/>
          <w:szCs w:val="26"/>
        </w:rPr>
        <w:t>presentation discuss</w:t>
      </w:r>
      <w:r w:rsidR="001B7BE4">
        <w:rPr>
          <w:rFonts w:ascii="Arial" w:eastAsia="Times New Roman" w:hAnsi="Arial" w:cs="Arial"/>
          <w:sz w:val="26"/>
          <w:szCs w:val="26"/>
        </w:rPr>
        <w:t>es</w:t>
      </w:r>
      <w:r w:rsidR="00B66990" w:rsidRPr="001B7BE4">
        <w:rPr>
          <w:rFonts w:ascii="Arial" w:eastAsia="Times New Roman" w:hAnsi="Arial" w:cs="Arial"/>
          <w:sz w:val="26"/>
          <w:szCs w:val="26"/>
        </w:rPr>
        <w:t xml:space="preserve"> one such policy, 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introduced in Turkey in 2012. </w:t>
      </w:r>
      <w:r w:rsidR="00C217B6" w:rsidRPr="001B7BE4">
        <w:rPr>
          <w:rFonts w:ascii="Arial" w:eastAsia="Times New Roman" w:hAnsi="Arial" w:cs="Arial"/>
          <w:sz w:val="26"/>
          <w:szCs w:val="26"/>
        </w:rPr>
        <w:t>It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involved a </w:t>
      </w:r>
      <w:r w:rsidR="00B66990" w:rsidRPr="001B7BE4">
        <w:rPr>
          <w:rFonts w:ascii="Arial" w:eastAsia="Times New Roman" w:hAnsi="Arial" w:cs="Arial"/>
          <w:sz w:val="26"/>
          <w:szCs w:val="26"/>
        </w:rPr>
        <w:t>mix</w:t>
      </w:r>
      <w:r w:rsidR="00795A71" w:rsidRPr="001B7BE4">
        <w:rPr>
          <w:rFonts w:ascii="Arial" w:eastAsia="Times New Roman" w:hAnsi="Arial" w:cs="Arial"/>
          <w:sz w:val="26"/>
          <w:szCs w:val="26"/>
        </w:rPr>
        <w:t xml:space="preserve"> of </w:t>
      </w:r>
      <w:r w:rsidR="00C217B6" w:rsidRPr="001B7BE4">
        <w:rPr>
          <w:rFonts w:ascii="Arial" w:eastAsia="Times New Roman" w:hAnsi="Arial" w:cs="Arial"/>
          <w:sz w:val="26"/>
          <w:szCs w:val="26"/>
        </w:rPr>
        <w:t xml:space="preserve">different </w:t>
      </w:r>
      <w:r w:rsidR="00795A71" w:rsidRPr="001B7BE4">
        <w:rPr>
          <w:rFonts w:ascii="Arial" w:eastAsia="Times New Roman" w:hAnsi="Arial" w:cs="Arial"/>
          <w:sz w:val="26"/>
          <w:szCs w:val="26"/>
        </w:rPr>
        <w:t>subsidies to firms:</w:t>
      </w:r>
      <w:r w:rsidR="00B66990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08639B" w:rsidRPr="001B7BE4">
        <w:rPr>
          <w:rFonts w:ascii="Arial" w:eastAsia="Times New Roman" w:hAnsi="Arial" w:cs="Arial"/>
          <w:sz w:val="26"/>
          <w:szCs w:val="26"/>
        </w:rPr>
        <w:t>rebates on mandatory social security contributions, investment subsidies,</w:t>
      </w:r>
      <w:r w:rsidR="00C059DD" w:rsidRPr="001B7BE4">
        <w:rPr>
          <w:rFonts w:ascii="Arial" w:eastAsia="Times New Roman" w:hAnsi="Arial" w:cs="Arial"/>
          <w:sz w:val="26"/>
          <w:szCs w:val="26"/>
        </w:rPr>
        <w:t xml:space="preserve"> along with other incentives,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with greater generosity in certain provinces, mainly in the poorer eastern part of the country, and with </w:t>
      </w:r>
      <w:r w:rsidR="00795A71" w:rsidRPr="001B7BE4">
        <w:rPr>
          <w:rFonts w:ascii="Arial" w:eastAsia="Times New Roman" w:hAnsi="Arial" w:cs="Arial"/>
          <w:sz w:val="26"/>
          <w:szCs w:val="26"/>
        </w:rPr>
        <w:t xml:space="preserve">firms </w:t>
      </w:r>
      <w:r w:rsidR="00CA7D08" w:rsidRPr="001B7BE4">
        <w:rPr>
          <w:rFonts w:ascii="Arial" w:eastAsia="Times New Roman" w:hAnsi="Arial" w:cs="Arial"/>
          <w:sz w:val="26"/>
          <w:szCs w:val="26"/>
        </w:rPr>
        <w:t xml:space="preserve">only </w:t>
      </w:r>
      <w:r w:rsidR="00795A71" w:rsidRPr="001B7BE4">
        <w:rPr>
          <w:rFonts w:ascii="Arial" w:eastAsia="Times New Roman" w:hAnsi="Arial" w:cs="Arial"/>
          <w:sz w:val="26"/>
          <w:szCs w:val="26"/>
        </w:rPr>
        <w:t>in certain industries</w:t>
      </w:r>
      <w:r w:rsidR="00CA7D08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B66990" w:rsidRPr="001B7BE4">
        <w:rPr>
          <w:rFonts w:ascii="Arial" w:eastAsia="Times New Roman" w:hAnsi="Arial" w:cs="Arial"/>
          <w:sz w:val="26"/>
          <w:szCs w:val="26"/>
        </w:rPr>
        <w:t xml:space="preserve">able to </w:t>
      </w:r>
      <w:r w:rsidR="00795A71" w:rsidRPr="001B7BE4">
        <w:rPr>
          <w:rFonts w:ascii="Arial" w:eastAsia="Times New Roman" w:hAnsi="Arial" w:cs="Arial"/>
          <w:sz w:val="26"/>
          <w:szCs w:val="26"/>
        </w:rPr>
        <w:t>apply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. </w:t>
      </w:r>
      <w:r w:rsidR="006F3062" w:rsidRPr="001B7BE4">
        <w:rPr>
          <w:rFonts w:ascii="Arial" w:eastAsia="Times New Roman" w:hAnsi="Arial" w:cs="Arial"/>
          <w:sz w:val="26"/>
          <w:szCs w:val="26"/>
        </w:rPr>
        <w:t>A</w:t>
      </w:r>
      <w:r w:rsidR="000C5026" w:rsidRPr="001B7BE4">
        <w:rPr>
          <w:rFonts w:ascii="Arial" w:eastAsia="Times New Roman" w:hAnsi="Arial" w:cs="Arial"/>
          <w:sz w:val="26"/>
          <w:szCs w:val="26"/>
        </w:rPr>
        <w:t xml:space="preserve"> main stated goal</w:t>
      </w:r>
      <w:r w:rsidR="00455614" w:rsidRPr="001B7BE4">
        <w:rPr>
          <w:rFonts w:ascii="Arial" w:eastAsia="Times New Roman" w:hAnsi="Arial" w:cs="Arial"/>
          <w:sz w:val="26"/>
          <w:szCs w:val="26"/>
        </w:rPr>
        <w:t xml:space="preserve"> of the policy was to reduce income inequality between the poorer a</w:t>
      </w:r>
      <w:r w:rsidR="00B5583C" w:rsidRPr="001B7BE4">
        <w:rPr>
          <w:rFonts w:ascii="Arial" w:eastAsia="Times New Roman" w:hAnsi="Arial" w:cs="Arial"/>
          <w:sz w:val="26"/>
          <w:szCs w:val="26"/>
        </w:rPr>
        <w:t>nd richer</w:t>
      </w:r>
      <w:r w:rsidR="00455614" w:rsidRPr="001B7BE4">
        <w:rPr>
          <w:rFonts w:ascii="Arial" w:eastAsia="Times New Roman" w:hAnsi="Arial" w:cs="Arial"/>
          <w:sz w:val="26"/>
          <w:szCs w:val="26"/>
        </w:rPr>
        <w:t xml:space="preserve"> parts of the country. </w:t>
      </w:r>
    </w:p>
    <w:p w14:paraId="6A67308C" w14:textId="14A03471" w:rsidR="0008639B" w:rsidRPr="001B7BE4" w:rsidRDefault="0008639B" w:rsidP="00030EA4">
      <w:pPr>
        <w:spacing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</w:rPr>
        <w:t>In the “micro” part of our talk,</w:t>
      </w:r>
      <w:r w:rsidR="00455614" w:rsidRPr="001B7BE4">
        <w:rPr>
          <w:rFonts w:ascii="Arial" w:eastAsia="Times New Roman" w:hAnsi="Arial" w:cs="Arial"/>
          <w:sz w:val="26"/>
          <w:szCs w:val="26"/>
        </w:rPr>
        <w:t xml:space="preserve"> following much of the literature on place-based policies,</w:t>
      </w:r>
      <w:r w:rsidRPr="001B7BE4">
        <w:rPr>
          <w:rFonts w:ascii="Arial" w:eastAsia="Times New Roman" w:hAnsi="Arial" w:cs="Arial"/>
          <w:sz w:val="26"/>
          <w:szCs w:val="26"/>
        </w:rPr>
        <w:t xml:space="preserve"> we </w:t>
      </w:r>
      <w:r w:rsidR="000C5026" w:rsidRPr="001B7BE4">
        <w:rPr>
          <w:rFonts w:ascii="Arial" w:eastAsia="Times New Roman" w:hAnsi="Arial" w:cs="Arial"/>
          <w:sz w:val="26"/>
          <w:szCs w:val="26"/>
        </w:rPr>
        <w:t>examine</w:t>
      </w:r>
      <w:r w:rsidRPr="001B7BE4">
        <w:rPr>
          <w:rFonts w:ascii="Arial" w:eastAsia="Times New Roman" w:hAnsi="Arial" w:cs="Arial"/>
          <w:sz w:val="26"/>
          <w:szCs w:val="26"/>
        </w:rPr>
        <w:t xml:space="preserve"> the direct impacts of the </w:t>
      </w:r>
      <w:r w:rsidR="00116347" w:rsidRPr="001B7BE4">
        <w:rPr>
          <w:rFonts w:ascii="Arial" w:eastAsia="Times New Roman" w:hAnsi="Arial" w:cs="Arial"/>
          <w:sz w:val="26"/>
          <w:szCs w:val="26"/>
        </w:rPr>
        <w:t>policy</w:t>
      </w:r>
      <w:r w:rsidRPr="001B7BE4">
        <w:rPr>
          <w:rFonts w:ascii="Arial" w:eastAsia="Times New Roman" w:hAnsi="Arial" w:cs="Arial"/>
          <w:sz w:val="26"/>
          <w:szCs w:val="26"/>
        </w:rPr>
        <w:t xml:space="preserve">, </w:t>
      </w:r>
      <w:r w:rsidR="000C5026" w:rsidRPr="001B7BE4">
        <w:rPr>
          <w:rFonts w:ascii="Arial" w:eastAsia="Times New Roman" w:hAnsi="Arial" w:cs="Arial"/>
          <w:sz w:val="26"/>
          <w:szCs w:val="26"/>
        </w:rPr>
        <w:t xml:space="preserve">identifying the impact of additional subsidies on </w:t>
      </w:r>
      <w:r w:rsidR="003F2130" w:rsidRPr="001B7BE4">
        <w:rPr>
          <w:rFonts w:ascii="Arial" w:eastAsia="Times New Roman" w:hAnsi="Arial" w:cs="Arial"/>
          <w:sz w:val="26"/>
          <w:szCs w:val="26"/>
        </w:rPr>
        <w:t>firm</w:t>
      </w:r>
      <w:r w:rsidR="00C217B6" w:rsidRPr="001B7BE4">
        <w:rPr>
          <w:rFonts w:ascii="Arial" w:eastAsia="Times New Roman" w:hAnsi="Arial" w:cs="Arial"/>
          <w:sz w:val="26"/>
          <w:szCs w:val="26"/>
        </w:rPr>
        <w:t>s’</w:t>
      </w:r>
      <w:r w:rsidR="003F2130" w:rsidRPr="001B7BE4">
        <w:rPr>
          <w:rFonts w:ascii="Arial" w:eastAsia="Times New Roman" w:hAnsi="Arial" w:cs="Arial"/>
          <w:sz w:val="26"/>
          <w:szCs w:val="26"/>
        </w:rPr>
        <w:t xml:space="preserve"> economic activity</w:t>
      </w:r>
      <w:r w:rsidRPr="001B7BE4">
        <w:rPr>
          <w:rFonts w:ascii="Arial" w:eastAsia="Times New Roman" w:hAnsi="Arial" w:cs="Arial"/>
          <w:sz w:val="26"/>
          <w:szCs w:val="26"/>
        </w:rPr>
        <w:t xml:space="preserve">. Unique relative to the existing literature, we have excellent data on buyer-supplier relationships in Turkey, meaning we can trace out the impact of the subsidies to suppliers or customers of subsidized firms. In the “macro” part of the talk, we apply a dynamic general equilibrium model to assess whether the </w:t>
      </w:r>
      <w:r w:rsidR="00116347" w:rsidRPr="001B7BE4">
        <w:rPr>
          <w:rFonts w:ascii="Arial" w:eastAsia="Times New Roman" w:hAnsi="Arial" w:cs="Arial"/>
          <w:sz w:val="26"/>
          <w:szCs w:val="26"/>
        </w:rPr>
        <w:t>policy</w:t>
      </w:r>
      <w:r w:rsidRPr="001B7BE4">
        <w:rPr>
          <w:rFonts w:ascii="Arial" w:eastAsia="Times New Roman" w:hAnsi="Arial" w:cs="Arial"/>
          <w:sz w:val="26"/>
          <w:szCs w:val="26"/>
        </w:rPr>
        <w:t xml:space="preserve"> reduce</w:t>
      </w:r>
      <w:r w:rsidR="00BE1B41" w:rsidRPr="001B7BE4">
        <w:rPr>
          <w:rFonts w:ascii="Arial" w:eastAsia="Times New Roman" w:hAnsi="Arial" w:cs="Arial"/>
          <w:sz w:val="26"/>
          <w:szCs w:val="26"/>
        </w:rPr>
        <w:t>d wage inequality within Turkey</w:t>
      </w:r>
      <w:r w:rsidR="00262A8F" w:rsidRPr="001B7BE4">
        <w:rPr>
          <w:rFonts w:ascii="Arial" w:eastAsia="Times New Roman" w:hAnsi="Arial" w:cs="Arial"/>
          <w:sz w:val="26"/>
          <w:szCs w:val="26"/>
        </w:rPr>
        <w:t xml:space="preserve">. The model is useful in that it allows us to gauge </w:t>
      </w:r>
      <w:r w:rsidR="00BE1B41" w:rsidRPr="001B7BE4">
        <w:rPr>
          <w:rFonts w:ascii="Arial" w:eastAsia="Times New Roman" w:hAnsi="Arial" w:cs="Arial"/>
          <w:sz w:val="26"/>
          <w:szCs w:val="26"/>
        </w:rPr>
        <w:t>the channels through which subsidies in regio</w:t>
      </w:r>
      <w:r w:rsidR="00262A8F" w:rsidRPr="001B7BE4">
        <w:rPr>
          <w:rFonts w:ascii="Arial" w:eastAsia="Times New Roman" w:hAnsi="Arial" w:cs="Arial"/>
          <w:sz w:val="26"/>
          <w:szCs w:val="26"/>
        </w:rPr>
        <w:t>ns the government target</w:t>
      </w:r>
      <w:r w:rsidR="00795A71" w:rsidRPr="001B7BE4">
        <w:rPr>
          <w:rFonts w:ascii="Arial" w:eastAsia="Times New Roman" w:hAnsi="Arial" w:cs="Arial"/>
          <w:sz w:val="26"/>
          <w:szCs w:val="26"/>
        </w:rPr>
        <w:t>ed</w:t>
      </w:r>
      <w:r w:rsidR="00BE1B41" w:rsidRPr="001B7BE4">
        <w:rPr>
          <w:rFonts w:ascii="Arial" w:eastAsia="Times New Roman" w:hAnsi="Arial" w:cs="Arial"/>
          <w:sz w:val="26"/>
          <w:szCs w:val="26"/>
        </w:rPr>
        <w:t xml:space="preserve"> spill over to part</w:t>
      </w:r>
      <w:r w:rsidR="00690C7D" w:rsidRPr="001B7BE4">
        <w:rPr>
          <w:rFonts w:ascii="Arial" w:eastAsia="Times New Roman" w:hAnsi="Arial" w:cs="Arial"/>
          <w:sz w:val="26"/>
          <w:szCs w:val="26"/>
        </w:rPr>
        <w:t>s of the country it</w:t>
      </w:r>
      <w:r w:rsidR="00BE1B41" w:rsidRPr="001B7BE4">
        <w:rPr>
          <w:rFonts w:ascii="Arial" w:eastAsia="Times New Roman" w:hAnsi="Arial" w:cs="Arial"/>
          <w:sz w:val="26"/>
          <w:szCs w:val="26"/>
        </w:rPr>
        <w:t xml:space="preserve"> didn’t. </w:t>
      </w:r>
    </w:p>
    <w:p w14:paraId="13BE576F" w14:textId="18204654" w:rsidR="0008639B" w:rsidRPr="001B7BE4" w:rsidRDefault="0008639B" w:rsidP="00030EA4">
      <w:pPr>
        <w:spacing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  <w:u w:val="single"/>
        </w:rPr>
        <w:t>S</w:t>
      </w:r>
      <w:r w:rsidR="00CC1926" w:rsidRPr="001B7BE4">
        <w:rPr>
          <w:rFonts w:ascii="Arial" w:eastAsia="Times New Roman" w:hAnsi="Arial" w:cs="Arial"/>
          <w:sz w:val="26"/>
          <w:szCs w:val="26"/>
          <w:u w:val="single"/>
        </w:rPr>
        <w:t>lide 3</w:t>
      </w:r>
      <w:r w:rsidRPr="001B7BE4">
        <w:rPr>
          <w:rFonts w:ascii="Arial" w:eastAsia="Times New Roman" w:hAnsi="Arial" w:cs="Arial"/>
          <w:sz w:val="26"/>
          <w:szCs w:val="26"/>
        </w:rPr>
        <w:t xml:space="preserve">: We have three main research questions. First, narrowly did the </w:t>
      </w:r>
      <w:r w:rsidR="00116347" w:rsidRPr="001B7BE4">
        <w:rPr>
          <w:rFonts w:ascii="Arial" w:eastAsia="Times New Roman" w:hAnsi="Arial" w:cs="Arial"/>
          <w:sz w:val="26"/>
          <w:szCs w:val="26"/>
        </w:rPr>
        <w:t>policy</w:t>
      </w:r>
      <w:r w:rsidRPr="001B7BE4">
        <w:rPr>
          <w:rFonts w:ascii="Arial" w:eastAsia="Times New Roman" w:hAnsi="Arial" w:cs="Arial"/>
          <w:sz w:val="26"/>
          <w:szCs w:val="26"/>
        </w:rPr>
        <w:t xml:space="preserve"> increase </w:t>
      </w:r>
      <w:r w:rsidR="0028431B" w:rsidRPr="001B7BE4">
        <w:rPr>
          <w:rFonts w:ascii="Arial" w:eastAsia="Times New Roman" w:hAnsi="Arial" w:cs="Arial"/>
          <w:sz w:val="26"/>
          <w:szCs w:val="26"/>
        </w:rPr>
        <w:t>economic activity</w:t>
      </w:r>
      <w:r w:rsidRPr="001B7BE4">
        <w:rPr>
          <w:rFonts w:ascii="Arial" w:eastAsia="Times New Roman" w:hAnsi="Arial" w:cs="Arial"/>
          <w:sz w:val="26"/>
          <w:szCs w:val="26"/>
        </w:rPr>
        <w:t xml:space="preserve"> for firms that were eligible to receive the subsidy? Second, did the subsidies spill over </w:t>
      </w:r>
      <w:r w:rsidR="00C217B6" w:rsidRPr="001B7BE4">
        <w:rPr>
          <w:rFonts w:ascii="Arial" w:eastAsia="Times New Roman" w:hAnsi="Arial" w:cs="Arial"/>
          <w:sz w:val="26"/>
          <w:szCs w:val="26"/>
        </w:rPr>
        <w:t>with</w:t>
      </w:r>
      <w:r w:rsidRPr="001B7BE4">
        <w:rPr>
          <w:rFonts w:ascii="Arial" w:eastAsia="Times New Roman" w:hAnsi="Arial" w:cs="Arial"/>
          <w:sz w:val="26"/>
          <w:szCs w:val="26"/>
        </w:rPr>
        <w:t>in the production network</w:t>
      </w:r>
      <w:r w:rsidR="0048099C" w:rsidRPr="001B7BE4">
        <w:rPr>
          <w:rFonts w:ascii="Arial" w:eastAsia="Times New Roman" w:hAnsi="Arial" w:cs="Arial"/>
          <w:sz w:val="26"/>
          <w:szCs w:val="26"/>
        </w:rPr>
        <w:t>?</w:t>
      </w:r>
      <w:r w:rsidRPr="001B7BE4">
        <w:rPr>
          <w:rFonts w:ascii="Arial" w:eastAsia="Times New Roman" w:hAnsi="Arial" w:cs="Arial"/>
          <w:sz w:val="26"/>
          <w:szCs w:val="26"/>
        </w:rPr>
        <w:t xml:space="preserve"> And, third, to what extent did the </w:t>
      </w:r>
      <w:r w:rsidR="00116347" w:rsidRPr="001B7BE4">
        <w:rPr>
          <w:rFonts w:ascii="Arial" w:eastAsia="Times New Roman" w:hAnsi="Arial" w:cs="Arial"/>
          <w:sz w:val="26"/>
          <w:szCs w:val="26"/>
        </w:rPr>
        <w:t>new policy</w:t>
      </w:r>
      <w:r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48099C" w:rsidRPr="001B7BE4">
        <w:rPr>
          <w:rFonts w:ascii="Arial" w:eastAsia="Times New Roman" w:hAnsi="Arial" w:cs="Arial"/>
          <w:sz w:val="26"/>
          <w:szCs w:val="26"/>
        </w:rPr>
        <w:t>reduce regional wage inequality</w:t>
      </w:r>
      <w:r w:rsidR="0077674F" w:rsidRPr="001B7BE4">
        <w:rPr>
          <w:rFonts w:ascii="Arial" w:eastAsia="Times New Roman" w:hAnsi="Arial" w:cs="Arial"/>
          <w:sz w:val="26"/>
          <w:szCs w:val="26"/>
        </w:rPr>
        <w:t>?</w:t>
      </w:r>
    </w:p>
    <w:p w14:paraId="082CF85F" w14:textId="566807C6" w:rsidR="0008639B" w:rsidRPr="001B7BE4" w:rsidRDefault="00CC1926" w:rsidP="00030EA4">
      <w:pPr>
        <w:spacing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  <w:u w:val="single"/>
        </w:rPr>
        <w:t>Slide 4-5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: </w:t>
      </w:r>
      <w:r w:rsidR="00D66FE3" w:rsidRPr="001B7BE4">
        <w:rPr>
          <w:rFonts w:ascii="Arial" w:eastAsia="Times New Roman" w:hAnsi="Arial" w:cs="Arial"/>
          <w:sz w:val="26"/>
          <w:szCs w:val="26"/>
        </w:rPr>
        <w:t>Looking at direct effects, w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e find that </w:t>
      </w:r>
      <w:r w:rsidR="00D66FE3" w:rsidRPr="001B7BE4">
        <w:rPr>
          <w:rFonts w:ascii="Arial" w:eastAsia="Times New Roman" w:hAnsi="Arial" w:cs="Arial"/>
          <w:sz w:val="26"/>
          <w:szCs w:val="26"/>
        </w:rPr>
        <w:t>that</w:t>
      </w:r>
      <w:r w:rsidR="00256E34" w:rsidRPr="001B7BE4">
        <w:rPr>
          <w:rFonts w:ascii="Arial" w:eastAsia="Times New Roman" w:hAnsi="Arial" w:cs="Arial"/>
          <w:sz w:val="26"/>
          <w:szCs w:val="26"/>
        </w:rPr>
        <w:t xml:space="preserve"> subsidized</w:t>
      </w:r>
      <w:r w:rsidR="00D66FE3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521B04" w:rsidRPr="001B7BE4">
        <w:rPr>
          <w:rFonts w:ascii="Arial" w:eastAsia="Times New Roman" w:hAnsi="Arial" w:cs="Arial"/>
          <w:sz w:val="26"/>
          <w:szCs w:val="26"/>
        </w:rPr>
        <w:t>firm</w:t>
      </w:r>
      <w:r w:rsidR="00521B04" w:rsidRPr="001B7BE4">
        <w:rPr>
          <w:rFonts w:ascii="Arial" w:eastAsia="Times New Roman" w:hAnsi="Arial" w:cs="Arial"/>
          <w:sz w:val="26"/>
          <w:szCs w:val="26"/>
        </w:rPr>
        <w:t>s’</w:t>
      </w:r>
      <w:r w:rsidR="00521B04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D86EF3" w:rsidRPr="001B7BE4">
        <w:rPr>
          <w:rFonts w:ascii="Arial" w:eastAsia="Times New Roman" w:hAnsi="Arial" w:cs="Arial"/>
          <w:sz w:val="26"/>
          <w:szCs w:val="26"/>
        </w:rPr>
        <w:t>activ</w:t>
      </w:r>
      <w:r w:rsidR="00A55547" w:rsidRPr="001B7BE4">
        <w:rPr>
          <w:rFonts w:ascii="Arial" w:eastAsia="Times New Roman" w:hAnsi="Arial" w:cs="Arial"/>
          <w:sz w:val="26"/>
          <w:szCs w:val="26"/>
        </w:rPr>
        <w:t xml:space="preserve">ity </w:t>
      </w:r>
      <w:r w:rsidR="00795A71" w:rsidRPr="001B7BE4">
        <w:rPr>
          <w:rFonts w:ascii="Arial" w:eastAsia="Times New Roman" w:hAnsi="Arial" w:cs="Arial"/>
          <w:sz w:val="26"/>
          <w:szCs w:val="26"/>
        </w:rPr>
        <w:t xml:space="preserve">increased </w:t>
      </w:r>
      <w:r w:rsidR="00A55547" w:rsidRPr="001B7BE4">
        <w:rPr>
          <w:rFonts w:ascii="Arial" w:eastAsia="Times New Roman" w:hAnsi="Arial" w:cs="Arial"/>
          <w:sz w:val="26"/>
          <w:szCs w:val="26"/>
        </w:rPr>
        <w:t xml:space="preserve">along multiple dimensions: </w:t>
      </w:r>
      <w:r w:rsidR="00383FCC" w:rsidRPr="001B7BE4">
        <w:rPr>
          <w:rFonts w:ascii="Arial" w:eastAsia="Times New Roman" w:hAnsi="Arial" w:cs="Arial"/>
          <w:sz w:val="26"/>
          <w:szCs w:val="26"/>
        </w:rPr>
        <w:t>higher</w:t>
      </w:r>
      <w:r w:rsidR="00D86EF3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08639B" w:rsidRPr="001B7BE4">
        <w:rPr>
          <w:rFonts w:ascii="Arial" w:eastAsia="Times New Roman" w:hAnsi="Arial" w:cs="Arial"/>
          <w:sz w:val="26"/>
          <w:szCs w:val="26"/>
        </w:rPr>
        <w:t>revenues, employment, and measured total factor productivity</w:t>
      </w:r>
      <w:r w:rsidR="00D86EF3" w:rsidRPr="001B7BE4">
        <w:rPr>
          <w:rFonts w:ascii="Arial" w:eastAsia="Times New Roman" w:hAnsi="Arial" w:cs="Arial"/>
          <w:sz w:val="26"/>
          <w:szCs w:val="26"/>
        </w:rPr>
        <w:t>, with pretty large effects</w:t>
      </w:r>
      <w:r w:rsidR="00A010EA" w:rsidRPr="001B7BE4">
        <w:rPr>
          <w:rFonts w:ascii="Arial" w:eastAsia="Times New Roman" w:hAnsi="Arial" w:cs="Arial"/>
          <w:sz w:val="26"/>
          <w:szCs w:val="26"/>
        </w:rPr>
        <w:t>.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Second</w:t>
      </w:r>
      <w:r w:rsidR="00486B8A" w:rsidRPr="001B7BE4">
        <w:rPr>
          <w:rFonts w:ascii="Arial" w:eastAsia="Times New Roman" w:hAnsi="Arial" w:cs="Arial"/>
          <w:sz w:val="26"/>
          <w:szCs w:val="26"/>
        </w:rPr>
        <w:t>, we observe</w:t>
      </w:r>
      <w:r w:rsidR="0048099C" w:rsidRPr="001B7BE4">
        <w:rPr>
          <w:rFonts w:ascii="Arial" w:eastAsia="Times New Roman" w:hAnsi="Arial" w:cs="Arial"/>
          <w:sz w:val="26"/>
          <w:szCs w:val="26"/>
        </w:rPr>
        <w:t xml:space="preserve"> meaningful spillovers from subsidized firms to their suppliers and customers.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486B8A" w:rsidRPr="001B7BE4">
        <w:rPr>
          <w:rFonts w:ascii="Arial" w:eastAsia="Times New Roman" w:hAnsi="Arial" w:cs="Arial"/>
          <w:sz w:val="26"/>
          <w:szCs w:val="26"/>
        </w:rPr>
        <w:t>Finally, however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, </w:t>
      </w:r>
      <w:r w:rsidR="00455614" w:rsidRPr="001B7BE4">
        <w:rPr>
          <w:rFonts w:ascii="Arial" w:eastAsia="Times New Roman" w:hAnsi="Arial" w:cs="Arial"/>
          <w:sz w:val="26"/>
          <w:szCs w:val="26"/>
        </w:rPr>
        <w:t xml:space="preserve">the policy 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only </w:t>
      </w:r>
      <w:r w:rsidR="002C23D2" w:rsidRPr="001B7BE4">
        <w:rPr>
          <w:rFonts w:ascii="Arial" w:eastAsia="Times New Roman" w:hAnsi="Arial" w:cs="Arial"/>
          <w:sz w:val="26"/>
          <w:szCs w:val="26"/>
        </w:rPr>
        <w:t>has a modest impact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on reducing real wage inequality between the richer western part and the poorer eastern part of the country. Ther</w:t>
      </w:r>
      <w:r w:rsidR="00FA047B" w:rsidRPr="001B7BE4">
        <w:rPr>
          <w:rFonts w:ascii="Arial" w:eastAsia="Times New Roman" w:hAnsi="Arial" w:cs="Arial"/>
          <w:sz w:val="26"/>
          <w:szCs w:val="26"/>
        </w:rPr>
        <w:t>e are two reasons for this modest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impact. First, many of the suppliers or customers of heavily subsidized firms are </w:t>
      </w:r>
      <w:r w:rsidR="00795A71" w:rsidRPr="001B7BE4">
        <w:rPr>
          <w:rFonts w:ascii="Arial" w:eastAsia="Times New Roman" w:hAnsi="Arial" w:cs="Arial"/>
          <w:sz w:val="26"/>
          <w:szCs w:val="26"/>
        </w:rPr>
        <w:t>in regions the government did not target</w:t>
      </w:r>
      <w:r w:rsidR="00AB0C72">
        <w:rPr>
          <w:rFonts w:ascii="Arial" w:eastAsia="Times New Roman" w:hAnsi="Arial" w:cs="Arial"/>
          <w:sz w:val="26"/>
          <w:szCs w:val="26"/>
        </w:rPr>
        <w:t>, and some of the benefits spill over to them</w:t>
      </w:r>
      <w:r w:rsidR="0008639B" w:rsidRPr="001B7BE4">
        <w:rPr>
          <w:rFonts w:ascii="Arial" w:eastAsia="Times New Roman" w:hAnsi="Arial" w:cs="Arial"/>
          <w:sz w:val="26"/>
          <w:szCs w:val="26"/>
        </w:rPr>
        <w:t>. Second, especially in the long run, the</w:t>
      </w:r>
      <w:r w:rsidR="00116347" w:rsidRPr="001B7BE4">
        <w:rPr>
          <w:rFonts w:ascii="Arial" w:eastAsia="Times New Roman" w:hAnsi="Arial" w:cs="Arial"/>
          <w:sz w:val="26"/>
          <w:szCs w:val="26"/>
        </w:rPr>
        <w:t xml:space="preserve"> new subsidies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induce</w:t>
      </w:r>
      <w:r w:rsidR="00116347" w:rsidRPr="001B7BE4">
        <w:rPr>
          <w:rFonts w:ascii="Arial" w:eastAsia="Times New Roman" w:hAnsi="Arial" w:cs="Arial"/>
          <w:sz w:val="26"/>
          <w:szCs w:val="26"/>
        </w:rPr>
        <w:t>d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migration towards the subsi</w:t>
      </w:r>
      <w:r w:rsidR="00FA047B" w:rsidRPr="001B7BE4">
        <w:rPr>
          <w:rFonts w:ascii="Arial" w:eastAsia="Times New Roman" w:hAnsi="Arial" w:cs="Arial"/>
          <w:sz w:val="26"/>
          <w:szCs w:val="26"/>
        </w:rPr>
        <w:t>di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zed regions. This increase in labor supply in the poorer parts of the country mitigate the inequality-reducing direct effects of the subsidy </w:t>
      </w:r>
      <w:r w:rsidR="00116347" w:rsidRPr="001B7BE4">
        <w:rPr>
          <w:rFonts w:ascii="Arial" w:eastAsia="Times New Roman" w:hAnsi="Arial" w:cs="Arial"/>
          <w:sz w:val="26"/>
          <w:szCs w:val="26"/>
        </w:rPr>
        <w:t>policy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. </w:t>
      </w:r>
    </w:p>
    <w:p w14:paraId="40410D15" w14:textId="0FBDD674" w:rsidR="0008639B" w:rsidRPr="001B7BE4" w:rsidRDefault="001B11D1" w:rsidP="00030EA4">
      <w:pPr>
        <w:spacing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  <w:u w:val="single"/>
        </w:rPr>
        <w:t>Slide 6</w:t>
      </w:r>
      <w:r w:rsidR="002804F2" w:rsidRPr="001B7BE4">
        <w:rPr>
          <w:rFonts w:ascii="Arial" w:eastAsia="Times New Roman" w:hAnsi="Arial" w:cs="Arial"/>
          <w:sz w:val="26"/>
          <w:szCs w:val="26"/>
        </w:rPr>
        <w:t>: In this paper, we synthesize three separate literatures listed here. We examine spillovers</w:t>
      </w:r>
      <w:r w:rsidR="00B93BC2" w:rsidRPr="001B7BE4">
        <w:rPr>
          <w:rFonts w:ascii="Arial" w:eastAsia="Times New Roman" w:hAnsi="Arial" w:cs="Arial"/>
          <w:sz w:val="26"/>
          <w:szCs w:val="26"/>
        </w:rPr>
        <w:t xml:space="preserve"> of subsidies</w:t>
      </w:r>
      <w:r w:rsidR="002804F2" w:rsidRPr="001B7BE4">
        <w:rPr>
          <w:rFonts w:ascii="Arial" w:eastAsia="Times New Roman" w:hAnsi="Arial" w:cs="Arial"/>
          <w:sz w:val="26"/>
          <w:szCs w:val="26"/>
        </w:rPr>
        <w:t xml:space="preserve"> among customers and suppliers, and apply existing dynamic multi-region, multi-industry </w:t>
      </w:r>
      <w:proofErr w:type="spellStart"/>
      <w:r w:rsidR="00B93BC2" w:rsidRPr="001B7BE4">
        <w:rPr>
          <w:rFonts w:ascii="Arial" w:eastAsia="Times New Roman" w:hAnsi="Arial" w:cs="Arial"/>
          <w:sz w:val="26"/>
          <w:szCs w:val="26"/>
        </w:rPr>
        <w:t>g.e</w:t>
      </w:r>
      <w:proofErr w:type="spellEnd"/>
      <w:r w:rsidR="00B93BC2" w:rsidRPr="001B7BE4">
        <w:rPr>
          <w:rFonts w:ascii="Arial" w:eastAsia="Times New Roman" w:hAnsi="Arial" w:cs="Arial"/>
          <w:sz w:val="26"/>
          <w:szCs w:val="26"/>
        </w:rPr>
        <w:t>. models</w:t>
      </w:r>
      <w:r w:rsidR="00476D33" w:rsidRPr="001B7BE4">
        <w:rPr>
          <w:rFonts w:ascii="Arial" w:eastAsia="Times New Roman" w:hAnsi="Arial" w:cs="Arial"/>
          <w:sz w:val="26"/>
          <w:szCs w:val="26"/>
        </w:rPr>
        <w:t>,</w:t>
      </w:r>
      <w:r w:rsidR="002804F2" w:rsidRPr="001B7BE4">
        <w:rPr>
          <w:rFonts w:ascii="Arial" w:eastAsia="Times New Roman" w:hAnsi="Arial" w:cs="Arial"/>
          <w:sz w:val="26"/>
          <w:szCs w:val="26"/>
        </w:rPr>
        <w:t xml:space="preserve"> to understand how place-based policies may impact</w:t>
      </w:r>
      <w:r w:rsidR="00256E34" w:rsidRPr="001B7BE4">
        <w:rPr>
          <w:rFonts w:ascii="Arial" w:eastAsia="Times New Roman" w:hAnsi="Arial" w:cs="Arial"/>
          <w:sz w:val="26"/>
          <w:szCs w:val="26"/>
        </w:rPr>
        <w:t xml:space="preserve"> both targeted and</w:t>
      </w:r>
      <w:r w:rsidR="002804F2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614618" w:rsidRPr="001B7BE4">
        <w:rPr>
          <w:rFonts w:ascii="Arial" w:eastAsia="Times New Roman" w:hAnsi="Arial" w:cs="Arial"/>
          <w:sz w:val="26"/>
          <w:szCs w:val="26"/>
        </w:rPr>
        <w:t>untargeted areas.</w:t>
      </w:r>
    </w:p>
    <w:p w14:paraId="1A9FBDCA" w14:textId="20CF6A22" w:rsidR="0008639B" w:rsidRPr="001B7BE4" w:rsidRDefault="0008639B" w:rsidP="00030EA4">
      <w:pPr>
        <w:spacing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  <w:u w:val="single"/>
        </w:rPr>
        <w:t xml:space="preserve">Slide </w:t>
      </w:r>
      <w:r w:rsidR="001B11D1" w:rsidRPr="001B7BE4">
        <w:rPr>
          <w:rFonts w:ascii="Arial" w:eastAsia="Times New Roman" w:hAnsi="Arial" w:cs="Arial"/>
          <w:sz w:val="26"/>
          <w:szCs w:val="26"/>
          <w:u w:val="single"/>
        </w:rPr>
        <w:t>7-8</w:t>
      </w:r>
      <w:r w:rsidR="00383FCC" w:rsidRPr="001B7BE4">
        <w:rPr>
          <w:rFonts w:ascii="Arial" w:eastAsia="Times New Roman" w:hAnsi="Arial" w:cs="Arial"/>
          <w:sz w:val="26"/>
          <w:szCs w:val="26"/>
        </w:rPr>
        <w:t xml:space="preserve">: </w:t>
      </w:r>
      <w:r w:rsidR="00D1788A" w:rsidRPr="001B7BE4">
        <w:rPr>
          <w:rFonts w:ascii="Arial" w:eastAsia="Times New Roman" w:hAnsi="Arial" w:cs="Arial"/>
          <w:sz w:val="26"/>
          <w:szCs w:val="26"/>
        </w:rPr>
        <w:t>Here is an outline for the remaining parts of the talk.</w:t>
      </w:r>
    </w:p>
    <w:p w14:paraId="6D1352D9" w14:textId="1A63D701" w:rsidR="00101CE2" w:rsidRPr="001B7BE4" w:rsidRDefault="001B11D1" w:rsidP="00030EA4">
      <w:pPr>
        <w:spacing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  <w:u w:val="single"/>
        </w:rPr>
        <w:t>Slide 9</w:t>
      </w:r>
      <w:r w:rsidR="0008639B" w:rsidRPr="001B7BE4">
        <w:rPr>
          <w:rFonts w:ascii="Arial" w:eastAsia="Times New Roman" w:hAnsi="Arial" w:cs="Arial"/>
          <w:sz w:val="26"/>
          <w:szCs w:val="26"/>
          <w:u w:val="single"/>
        </w:rPr>
        <w:t>: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In 2012, the Turkish government introduced a set of place-based subsidies, with the aim of increasing aggregate investment and reducing regional inequality. The country was</w:t>
      </w:r>
      <w:r w:rsidR="00101CE2" w:rsidRPr="001B7BE4">
        <w:rPr>
          <w:rFonts w:ascii="Arial" w:eastAsia="Times New Roman" w:hAnsi="Arial" w:cs="Arial"/>
          <w:sz w:val="26"/>
          <w:szCs w:val="26"/>
        </w:rPr>
        <w:t xml:space="preserve"> split into six subsidy regions. Here is </w:t>
      </w:r>
      <w:r w:rsidR="00795A71" w:rsidRPr="001B7BE4">
        <w:rPr>
          <w:rFonts w:ascii="Arial" w:eastAsia="Times New Roman" w:hAnsi="Arial" w:cs="Arial"/>
          <w:sz w:val="26"/>
          <w:szCs w:val="26"/>
        </w:rPr>
        <w:t>a map</w:t>
      </w:r>
      <w:r w:rsidR="00EE3AFB" w:rsidRPr="001B7BE4">
        <w:rPr>
          <w:rFonts w:ascii="Arial" w:eastAsia="Times New Roman" w:hAnsi="Arial" w:cs="Arial"/>
          <w:sz w:val="26"/>
          <w:szCs w:val="26"/>
        </w:rPr>
        <w:t>. Region 1 includes</w:t>
      </w:r>
      <w:r w:rsidR="00101CE2" w:rsidRPr="001B7BE4">
        <w:rPr>
          <w:rFonts w:ascii="Arial" w:eastAsia="Times New Roman" w:hAnsi="Arial" w:cs="Arial"/>
          <w:sz w:val="26"/>
          <w:szCs w:val="26"/>
        </w:rPr>
        <w:t xml:space="preserve"> the largest </w:t>
      </w:r>
      <w:r w:rsidR="00E302EF" w:rsidRPr="001B7BE4">
        <w:rPr>
          <w:rFonts w:ascii="Arial" w:eastAsia="Times New Roman" w:hAnsi="Arial" w:cs="Arial"/>
          <w:sz w:val="26"/>
          <w:szCs w:val="26"/>
        </w:rPr>
        <w:t xml:space="preserve">and richest </w:t>
      </w:r>
      <w:r w:rsidR="00101CE2" w:rsidRPr="001B7BE4">
        <w:rPr>
          <w:rFonts w:ascii="Arial" w:eastAsia="Times New Roman" w:hAnsi="Arial" w:cs="Arial"/>
          <w:sz w:val="26"/>
          <w:szCs w:val="26"/>
        </w:rPr>
        <w:t>cities</w:t>
      </w:r>
      <w:r w:rsidR="00E302EF" w:rsidRPr="001B7BE4">
        <w:rPr>
          <w:rFonts w:ascii="Arial" w:eastAsia="Times New Roman" w:hAnsi="Arial" w:cs="Arial"/>
          <w:sz w:val="26"/>
          <w:szCs w:val="26"/>
        </w:rPr>
        <w:t>,</w:t>
      </w:r>
      <w:r w:rsidR="00101CE2" w:rsidRPr="001B7BE4">
        <w:rPr>
          <w:rFonts w:ascii="Arial" w:eastAsia="Times New Roman" w:hAnsi="Arial" w:cs="Arial"/>
          <w:sz w:val="26"/>
          <w:szCs w:val="26"/>
        </w:rPr>
        <w:t xml:space="preserve"> in the west</w:t>
      </w:r>
      <w:r w:rsidR="00E302EF" w:rsidRPr="001B7BE4">
        <w:rPr>
          <w:rFonts w:ascii="Arial" w:eastAsia="Times New Roman" w:hAnsi="Arial" w:cs="Arial"/>
          <w:sz w:val="26"/>
          <w:szCs w:val="26"/>
        </w:rPr>
        <w:t>,</w:t>
      </w:r>
      <w:r w:rsidR="00EE3AFB" w:rsidRPr="001B7BE4">
        <w:rPr>
          <w:rFonts w:ascii="Arial" w:eastAsia="Times New Roman" w:hAnsi="Arial" w:cs="Arial"/>
          <w:sz w:val="26"/>
          <w:szCs w:val="26"/>
        </w:rPr>
        <w:t xml:space="preserve"> and region 6 includes</w:t>
      </w:r>
      <w:r w:rsidR="00101CE2" w:rsidRPr="001B7BE4">
        <w:rPr>
          <w:rFonts w:ascii="Arial" w:eastAsia="Times New Roman" w:hAnsi="Arial" w:cs="Arial"/>
          <w:sz w:val="26"/>
          <w:szCs w:val="26"/>
        </w:rPr>
        <w:t xml:space="preserve"> the southeastern part of the country, bordering Iran and Iraq. </w:t>
      </w:r>
    </w:p>
    <w:p w14:paraId="7D40BC14" w14:textId="508D8964" w:rsidR="00D93270" w:rsidRPr="001B7BE4" w:rsidRDefault="00101CE2" w:rsidP="00030EA4">
      <w:pPr>
        <w:spacing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  <w:u w:val="single"/>
        </w:rPr>
        <w:lastRenderedPageBreak/>
        <w:t>Slide 1</w:t>
      </w:r>
      <w:r w:rsidR="001B11D1" w:rsidRPr="001B7BE4">
        <w:rPr>
          <w:rFonts w:ascii="Arial" w:eastAsia="Times New Roman" w:hAnsi="Arial" w:cs="Arial"/>
          <w:sz w:val="26"/>
          <w:szCs w:val="26"/>
          <w:u w:val="single"/>
        </w:rPr>
        <w:t>0</w:t>
      </w:r>
      <w:r w:rsidRPr="001B7BE4">
        <w:rPr>
          <w:rFonts w:ascii="Arial" w:eastAsia="Times New Roman" w:hAnsi="Arial" w:cs="Arial"/>
          <w:sz w:val="26"/>
          <w:szCs w:val="26"/>
          <w:u w:val="single"/>
        </w:rPr>
        <w:t xml:space="preserve">: </w:t>
      </w:r>
      <w:r w:rsidRPr="001B7BE4">
        <w:rPr>
          <w:rFonts w:ascii="Arial" w:eastAsia="Times New Roman" w:hAnsi="Arial" w:cs="Arial"/>
          <w:sz w:val="26"/>
          <w:szCs w:val="26"/>
        </w:rPr>
        <w:t>According to the policy, only certain industries were eligible to receive subsidies</w:t>
      </w:r>
      <w:r w:rsidR="004E1770" w:rsidRPr="001B7BE4">
        <w:rPr>
          <w:rFonts w:ascii="Arial" w:eastAsia="Times New Roman" w:hAnsi="Arial" w:cs="Arial"/>
          <w:sz w:val="26"/>
          <w:szCs w:val="26"/>
        </w:rPr>
        <w:t>, mainly within the</w:t>
      </w:r>
      <w:r w:rsidR="00E0716E" w:rsidRPr="001B7BE4">
        <w:rPr>
          <w:rFonts w:ascii="Arial" w:eastAsia="Times New Roman" w:hAnsi="Arial" w:cs="Arial"/>
          <w:sz w:val="26"/>
          <w:szCs w:val="26"/>
        </w:rPr>
        <w:t xml:space="preserve"> primary and manufacturing </w:t>
      </w:r>
      <w:r w:rsidR="004E1770" w:rsidRPr="001B7BE4">
        <w:rPr>
          <w:rFonts w:ascii="Arial" w:eastAsia="Times New Roman" w:hAnsi="Arial" w:cs="Arial"/>
          <w:sz w:val="26"/>
          <w:szCs w:val="26"/>
        </w:rPr>
        <w:t>sectors</w:t>
      </w:r>
      <w:r w:rsidRPr="001B7BE4">
        <w:rPr>
          <w:rFonts w:ascii="Arial" w:eastAsia="Times New Roman" w:hAnsi="Arial" w:cs="Arial"/>
          <w:sz w:val="26"/>
          <w:szCs w:val="26"/>
        </w:rPr>
        <w:t>.</w:t>
      </w:r>
      <w:r w:rsidR="008B0AE8">
        <w:rPr>
          <w:rFonts w:ascii="Arial" w:eastAsia="Times New Roman" w:hAnsi="Arial" w:cs="Arial"/>
          <w:sz w:val="26"/>
          <w:szCs w:val="26"/>
        </w:rPr>
        <w:t xml:space="preserve"> Higher numbered regions received more generous support.</w:t>
      </w:r>
      <w:r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The </w:t>
      </w:r>
      <w:r w:rsidR="00116347" w:rsidRPr="001B7BE4">
        <w:rPr>
          <w:rFonts w:ascii="Arial" w:eastAsia="Times New Roman" w:hAnsi="Arial" w:cs="Arial"/>
          <w:sz w:val="26"/>
          <w:szCs w:val="26"/>
        </w:rPr>
        <w:t>policy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involved a mix of tax reductions, interest rate supports, and rebates on mandatory social security </w:t>
      </w:r>
      <w:r w:rsidR="003F2130" w:rsidRPr="001B7BE4">
        <w:rPr>
          <w:rFonts w:ascii="Arial" w:eastAsia="Times New Roman" w:hAnsi="Arial" w:cs="Arial"/>
          <w:sz w:val="26"/>
          <w:szCs w:val="26"/>
        </w:rPr>
        <w:t>contributions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. </w:t>
      </w:r>
    </w:p>
    <w:p w14:paraId="377C5955" w14:textId="0B13B852" w:rsidR="0008639B" w:rsidRPr="001B7BE4" w:rsidRDefault="00D93270" w:rsidP="00030EA4">
      <w:pPr>
        <w:spacing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  <w:u w:val="single"/>
        </w:rPr>
        <w:t>Slide 1</w:t>
      </w:r>
      <w:r w:rsidR="001B11D1" w:rsidRPr="001B7BE4">
        <w:rPr>
          <w:rFonts w:ascii="Arial" w:eastAsia="Times New Roman" w:hAnsi="Arial" w:cs="Arial"/>
          <w:sz w:val="26"/>
          <w:szCs w:val="26"/>
          <w:u w:val="single"/>
        </w:rPr>
        <w:t>1</w:t>
      </w:r>
      <w:r w:rsidRPr="001B7BE4">
        <w:rPr>
          <w:rFonts w:ascii="Arial" w:eastAsia="Times New Roman" w:hAnsi="Arial" w:cs="Arial"/>
          <w:sz w:val="26"/>
          <w:szCs w:val="26"/>
          <w:u w:val="single"/>
        </w:rPr>
        <w:t>:</w:t>
      </w:r>
      <w:r w:rsidRPr="001B7BE4">
        <w:rPr>
          <w:rFonts w:ascii="Arial" w:eastAsia="Times New Roman" w:hAnsi="Arial" w:cs="Arial"/>
          <w:sz w:val="26"/>
          <w:szCs w:val="26"/>
        </w:rPr>
        <w:t xml:space="preserve"> While there are multiple types of subsidies that firms may receive, in practice these </w:t>
      </w:r>
      <w:r w:rsidR="00795A71" w:rsidRPr="001B7BE4">
        <w:rPr>
          <w:rFonts w:ascii="Arial" w:eastAsia="Times New Roman" w:hAnsi="Arial" w:cs="Arial"/>
          <w:sz w:val="26"/>
          <w:szCs w:val="26"/>
        </w:rPr>
        <w:t>were</w:t>
      </w:r>
      <w:r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1642A2" w:rsidRPr="001B7BE4">
        <w:rPr>
          <w:rFonts w:ascii="Arial" w:eastAsia="Times New Roman" w:hAnsi="Arial" w:cs="Arial"/>
          <w:sz w:val="26"/>
          <w:szCs w:val="26"/>
        </w:rPr>
        <w:t>bundled with one another.</w:t>
      </w:r>
      <w:r w:rsidR="00E302EF" w:rsidRPr="001B7BE4">
        <w:rPr>
          <w:rFonts w:ascii="Arial" w:eastAsia="Times New Roman" w:hAnsi="Arial" w:cs="Arial"/>
          <w:sz w:val="26"/>
          <w:szCs w:val="26"/>
        </w:rPr>
        <w:t xml:space="preserve"> Ideally, we would have a firm-specific index of these measures that completely characterizes firms’ exposure to subsidization. </w:t>
      </w:r>
      <w:r w:rsidR="00E0716E" w:rsidRPr="001B7BE4">
        <w:rPr>
          <w:rFonts w:ascii="Arial" w:eastAsia="Times New Roman" w:hAnsi="Arial" w:cs="Arial"/>
          <w:sz w:val="26"/>
          <w:szCs w:val="26"/>
        </w:rPr>
        <w:t>Not quite able to do that</w:t>
      </w:r>
      <w:r w:rsidR="00E302EF" w:rsidRPr="001B7BE4">
        <w:rPr>
          <w:rFonts w:ascii="Arial" w:eastAsia="Times New Roman" w:hAnsi="Arial" w:cs="Arial"/>
          <w:sz w:val="26"/>
          <w:szCs w:val="26"/>
        </w:rPr>
        <w:t>, we</w:t>
      </w:r>
      <w:r w:rsidR="00E0716E" w:rsidRPr="001B7BE4">
        <w:rPr>
          <w:rFonts w:ascii="Arial" w:eastAsia="Times New Roman" w:hAnsi="Arial" w:cs="Arial"/>
          <w:sz w:val="26"/>
          <w:szCs w:val="26"/>
        </w:rPr>
        <w:t xml:space="preserve"> a</w:t>
      </w:r>
      <w:r w:rsidR="00E302EF" w:rsidRPr="001B7BE4">
        <w:rPr>
          <w:rFonts w:ascii="Arial" w:eastAsia="Times New Roman" w:hAnsi="Arial" w:cs="Arial"/>
          <w:sz w:val="26"/>
          <w:szCs w:val="26"/>
        </w:rPr>
        <w:t xml:space="preserve">re going to pick one measure, the investment tax credit rate, </w:t>
      </w:r>
      <w:r w:rsidR="006708D9" w:rsidRPr="001B7BE4">
        <w:rPr>
          <w:rFonts w:ascii="Arial" w:eastAsia="Times New Roman" w:hAnsi="Arial" w:cs="Arial"/>
          <w:sz w:val="26"/>
          <w:szCs w:val="26"/>
        </w:rPr>
        <w:t>that we feel provides a good albeit</w:t>
      </w:r>
      <w:r w:rsidR="00E302EF" w:rsidRPr="001B7BE4">
        <w:rPr>
          <w:rFonts w:ascii="Arial" w:eastAsia="Times New Roman" w:hAnsi="Arial" w:cs="Arial"/>
          <w:sz w:val="26"/>
          <w:szCs w:val="26"/>
        </w:rPr>
        <w:t xml:space="preserve"> imperfect su</w:t>
      </w:r>
      <w:r w:rsidR="003F345C" w:rsidRPr="001B7BE4">
        <w:rPr>
          <w:rFonts w:ascii="Arial" w:eastAsia="Times New Roman" w:hAnsi="Arial" w:cs="Arial"/>
          <w:sz w:val="26"/>
          <w:szCs w:val="26"/>
        </w:rPr>
        <w:t>mmary of the extent to which firms’</w:t>
      </w:r>
      <w:r w:rsidR="00E302EF" w:rsidRPr="001B7BE4">
        <w:rPr>
          <w:rFonts w:ascii="Arial" w:eastAsia="Times New Roman" w:hAnsi="Arial" w:cs="Arial"/>
          <w:sz w:val="26"/>
          <w:szCs w:val="26"/>
        </w:rPr>
        <w:t xml:space="preserve"> inputs are su</w:t>
      </w:r>
      <w:r w:rsidR="00795A71" w:rsidRPr="001B7BE4">
        <w:rPr>
          <w:rFonts w:ascii="Arial" w:eastAsia="Times New Roman" w:hAnsi="Arial" w:cs="Arial"/>
          <w:sz w:val="26"/>
          <w:szCs w:val="26"/>
        </w:rPr>
        <w:t>bsidize</w:t>
      </w:r>
      <w:r w:rsidR="00E302EF" w:rsidRPr="001B7BE4">
        <w:rPr>
          <w:rFonts w:ascii="Arial" w:eastAsia="Times New Roman" w:hAnsi="Arial" w:cs="Arial"/>
          <w:sz w:val="26"/>
          <w:szCs w:val="26"/>
        </w:rPr>
        <w:t xml:space="preserve">d. </w:t>
      </w:r>
      <w:r w:rsidR="0019406A" w:rsidRPr="001B7BE4">
        <w:rPr>
          <w:rFonts w:ascii="Arial" w:eastAsia="Times New Roman" w:hAnsi="Arial" w:cs="Arial"/>
          <w:sz w:val="26"/>
          <w:szCs w:val="26"/>
        </w:rPr>
        <w:t xml:space="preserve">What this measure is precisely is the fraction of the investment expenditures that can be deducted from firms’ </w:t>
      </w:r>
      <w:r w:rsidR="00795A71" w:rsidRPr="001B7BE4">
        <w:rPr>
          <w:rFonts w:ascii="Arial" w:eastAsia="Times New Roman" w:hAnsi="Arial" w:cs="Arial"/>
          <w:sz w:val="26"/>
          <w:szCs w:val="26"/>
        </w:rPr>
        <w:t xml:space="preserve">future </w:t>
      </w:r>
      <w:r w:rsidR="0019406A" w:rsidRPr="001B7BE4">
        <w:rPr>
          <w:rFonts w:ascii="Arial" w:eastAsia="Times New Roman" w:hAnsi="Arial" w:cs="Arial"/>
          <w:sz w:val="26"/>
          <w:szCs w:val="26"/>
        </w:rPr>
        <w:t xml:space="preserve">corporate taxes. </w:t>
      </w:r>
    </w:p>
    <w:p w14:paraId="3EC4C127" w14:textId="147398E5" w:rsidR="00101CE2" w:rsidRPr="001B7BE4" w:rsidRDefault="0008639B" w:rsidP="00030EA4">
      <w:pPr>
        <w:spacing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  <w:u w:val="single"/>
        </w:rPr>
        <w:t xml:space="preserve">Slide </w:t>
      </w:r>
      <w:r w:rsidR="001B11D1" w:rsidRPr="001B7BE4">
        <w:rPr>
          <w:rFonts w:ascii="Arial" w:eastAsia="Times New Roman" w:hAnsi="Arial" w:cs="Arial"/>
          <w:sz w:val="26"/>
          <w:szCs w:val="26"/>
          <w:u w:val="single"/>
        </w:rPr>
        <w:t>12-13</w:t>
      </w:r>
      <w:r w:rsidRPr="001B7BE4">
        <w:rPr>
          <w:rFonts w:ascii="Arial" w:eastAsia="Times New Roman" w:hAnsi="Arial" w:cs="Arial"/>
          <w:sz w:val="26"/>
          <w:szCs w:val="26"/>
        </w:rPr>
        <w:t>: Here is a</w:t>
      </w:r>
      <w:r w:rsidR="00101CE2" w:rsidRPr="001B7BE4">
        <w:rPr>
          <w:rFonts w:ascii="Arial" w:eastAsia="Times New Roman" w:hAnsi="Arial" w:cs="Arial"/>
          <w:sz w:val="26"/>
          <w:szCs w:val="26"/>
        </w:rPr>
        <w:t xml:space="preserve">gain our map. A few important pieces of heterogeneity: First, the policy was targeted towards areas with lower </w:t>
      </w:r>
      <w:proofErr w:type="spellStart"/>
      <w:r w:rsidR="00101CE2" w:rsidRPr="001B7BE4">
        <w:rPr>
          <w:rFonts w:ascii="Arial" w:eastAsia="Times New Roman" w:hAnsi="Arial" w:cs="Arial"/>
          <w:sz w:val="26"/>
          <w:szCs w:val="26"/>
        </w:rPr>
        <w:t>gdp</w:t>
      </w:r>
      <w:proofErr w:type="spellEnd"/>
      <w:r w:rsidR="00101CE2" w:rsidRPr="001B7BE4">
        <w:rPr>
          <w:rFonts w:ascii="Arial" w:eastAsia="Times New Roman" w:hAnsi="Arial" w:cs="Arial"/>
          <w:sz w:val="26"/>
          <w:szCs w:val="26"/>
        </w:rPr>
        <w:t xml:space="preserve"> per capita. </w:t>
      </w:r>
      <w:r w:rsidR="00673481" w:rsidRPr="001B7BE4">
        <w:rPr>
          <w:rFonts w:ascii="Arial" w:eastAsia="Times New Roman" w:hAnsi="Arial" w:cs="Arial"/>
          <w:sz w:val="26"/>
          <w:szCs w:val="26"/>
        </w:rPr>
        <w:t>Second, i</w:t>
      </w:r>
      <w:r w:rsidR="00101CE2" w:rsidRPr="001B7BE4">
        <w:rPr>
          <w:rFonts w:ascii="Arial" w:eastAsia="Times New Roman" w:hAnsi="Arial" w:cs="Arial"/>
          <w:sz w:val="26"/>
          <w:szCs w:val="26"/>
        </w:rPr>
        <w:t>n the decades before the policy, there was net migration from the eastern to west</w:t>
      </w:r>
      <w:r w:rsidR="00C217B6" w:rsidRPr="001B7BE4">
        <w:rPr>
          <w:rFonts w:ascii="Arial" w:eastAsia="Times New Roman" w:hAnsi="Arial" w:cs="Arial"/>
          <w:sz w:val="26"/>
          <w:szCs w:val="26"/>
        </w:rPr>
        <w:t>ern parts of the country. As we’</w:t>
      </w:r>
      <w:r w:rsidR="00101CE2" w:rsidRPr="001B7BE4">
        <w:rPr>
          <w:rFonts w:ascii="Arial" w:eastAsia="Times New Roman" w:hAnsi="Arial" w:cs="Arial"/>
          <w:sz w:val="26"/>
          <w:szCs w:val="26"/>
        </w:rPr>
        <w:t>ll see, one of the effects of the policy will be to slow down this migration. Finally, in the years before the policy, the poorer higher number</w:t>
      </w:r>
      <w:r w:rsidR="00673481" w:rsidRPr="001B7BE4">
        <w:rPr>
          <w:rFonts w:ascii="Arial" w:eastAsia="Times New Roman" w:hAnsi="Arial" w:cs="Arial"/>
          <w:sz w:val="26"/>
          <w:szCs w:val="26"/>
        </w:rPr>
        <w:t>ed</w:t>
      </w:r>
      <w:r w:rsidR="00101CE2" w:rsidRPr="001B7BE4">
        <w:rPr>
          <w:rFonts w:ascii="Arial" w:eastAsia="Times New Roman" w:hAnsi="Arial" w:cs="Arial"/>
          <w:sz w:val="26"/>
          <w:szCs w:val="26"/>
        </w:rPr>
        <w:t xml:space="preserve"> regions were growing relatively quickly compared to regions 1 and 2. </w:t>
      </w:r>
    </w:p>
    <w:p w14:paraId="3C9E6A75" w14:textId="1A2FB181" w:rsidR="0008639B" w:rsidRPr="001B7BE4" w:rsidRDefault="00CC1926" w:rsidP="00030EA4">
      <w:pPr>
        <w:spacing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  <w:u w:val="single"/>
        </w:rPr>
        <w:t>Slide 15</w:t>
      </w:r>
      <w:r w:rsidR="0008639B" w:rsidRPr="001B7BE4">
        <w:rPr>
          <w:rFonts w:ascii="Arial" w:eastAsia="Times New Roman" w:hAnsi="Arial" w:cs="Arial"/>
          <w:sz w:val="26"/>
          <w:szCs w:val="26"/>
        </w:rPr>
        <w:t>: We have access to s</w:t>
      </w:r>
      <w:r w:rsidR="00B22694" w:rsidRPr="001B7BE4">
        <w:rPr>
          <w:rFonts w:ascii="Arial" w:eastAsia="Times New Roman" w:hAnsi="Arial" w:cs="Arial"/>
          <w:sz w:val="26"/>
          <w:szCs w:val="26"/>
        </w:rPr>
        <w:t>tandard firm balance-sheet data, data on the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256E34" w:rsidRPr="001B7BE4">
        <w:rPr>
          <w:rFonts w:ascii="Arial" w:eastAsia="Times New Roman" w:hAnsi="Arial" w:cs="Arial"/>
          <w:sz w:val="26"/>
          <w:szCs w:val="26"/>
        </w:rPr>
        <w:t>firm-to-firm production network</w:t>
      </w:r>
      <w:r w:rsidR="00B22694" w:rsidRPr="001B7BE4">
        <w:rPr>
          <w:rFonts w:ascii="Arial" w:eastAsia="Times New Roman" w:hAnsi="Arial" w:cs="Arial"/>
          <w:sz w:val="26"/>
          <w:szCs w:val="26"/>
        </w:rPr>
        <w:t xml:space="preserve">, 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measures of subsidy </w:t>
      </w:r>
      <w:r w:rsidR="00F4048A" w:rsidRPr="001B7BE4">
        <w:rPr>
          <w:rFonts w:ascii="Arial" w:eastAsia="Times New Roman" w:hAnsi="Arial" w:cs="Arial"/>
          <w:sz w:val="26"/>
          <w:szCs w:val="26"/>
        </w:rPr>
        <w:t>take-up</w:t>
      </w:r>
      <w:r w:rsidR="00B22694" w:rsidRPr="001B7BE4">
        <w:rPr>
          <w:rFonts w:ascii="Arial" w:eastAsia="Times New Roman" w:hAnsi="Arial" w:cs="Arial"/>
          <w:sz w:val="26"/>
          <w:szCs w:val="26"/>
        </w:rPr>
        <w:t xml:space="preserve"> rates, a</w:t>
      </w:r>
      <w:r w:rsidR="0008639B" w:rsidRPr="001B7BE4">
        <w:rPr>
          <w:rFonts w:ascii="Arial" w:eastAsia="Times New Roman" w:hAnsi="Arial" w:cs="Arial"/>
          <w:sz w:val="26"/>
          <w:szCs w:val="26"/>
        </w:rPr>
        <w:t>nd finally, for the purpose of computing worker flows across province-industry pairs (which will be a key i</w:t>
      </w:r>
      <w:r w:rsidR="00B22694" w:rsidRPr="001B7BE4">
        <w:rPr>
          <w:rFonts w:ascii="Arial" w:eastAsia="Times New Roman" w:hAnsi="Arial" w:cs="Arial"/>
          <w:sz w:val="26"/>
          <w:szCs w:val="26"/>
        </w:rPr>
        <w:t>nput into our macro model) we</w:t>
      </w:r>
      <w:r w:rsidR="00795A71" w:rsidRPr="001B7BE4">
        <w:rPr>
          <w:rFonts w:ascii="Arial" w:eastAsia="Times New Roman" w:hAnsi="Arial" w:cs="Arial"/>
          <w:sz w:val="26"/>
          <w:szCs w:val="26"/>
        </w:rPr>
        <w:t xml:space="preserve"> have</w:t>
      </w:r>
      <w:r w:rsidR="00B22694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08639B" w:rsidRPr="001B7BE4">
        <w:rPr>
          <w:rFonts w:ascii="Arial" w:eastAsia="Times New Roman" w:hAnsi="Arial" w:cs="Arial"/>
          <w:sz w:val="26"/>
          <w:szCs w:val="26"/>
        </w:rPr>
        <w:t>linked employer-employee data. There are a couple limitations of these micro data to be mindful of.</w:t>
      </w:r>
      <w:r w:rsidR="00101CE2" w:rsidRPr="001B7BE4">
        <w:rPr>
          <w:rFonts w:ascii="Arial" w:eastAsia="Times New Roman" w:hAnsi="Arial" w:cs="Arial"/>
          <w:sz w:val="26"/>
          <w:szCs w:val="26"/>
        </w:rPr>
        <w:t xml:space="preserve"> The</w:t>
      </w:r>
      <w:r w:rsidR="00673481" w:rsidRPr="001B7BE4">
        <w:rPr>
          <w:rFonts w:ascii="Arial" w:eastAsia="Times New Roman" w:hAnsi="Arial" w:cs="Arial"/>
          <w:sz w:val="26"/>
          <w:szCs w:val="26"/>
        </w:rPr>
        <w:t xml:space="preserve">y </w:t>
      </w:r>
      <w:r w:rsidR="00101CE2" w:rsidRPr="001B7BE4">
        <w:rPr>
          <w:rFonts w:ascii="Arial" w:eastAsia="Times New Roman" w:hAnsi="Arial" w:cs="Arial"/>
          <w:sz w:val="26"/>
          <w:szCs w:val="26"/>
        </w:rPr>
        <w:t xml:space="preserve">only cover the formal economy, and for many variables are at the firm and not establishment level. These are </w:t>
      </w:r>
      <w:r w:rsidR="00AB139A" w:rsidRPr="001B7BE4">
        <w:rPr>
          <w:rFonts w:ascii="Arial" w:eastAsia="Times New Roman" w:hAnsi="Arial" w:cs="Arial"/>
          <w:sz w:val="26"/>
          <w:szCs w:val="26"/>
        </w:rPr>
        <w:t xml:space="preserve">important </w:t>
      </w:r>
      <w:r w:rsidR="00101CE2" w:rsidRPr="001B7BE4">
        <w:rPr>
          <w:rFonts w:ascii="Arial" w:eastAsia="Times New Roman" w:hAnsi="Arial" w:cs="Arial"/>
          <w:sz w:val="26"/>
          <w:szCs w:val="26"/>
        </w:rPr>
        <w:t>limitations</w:t>
      </w:r>
      <w:r w:rsidR="00AB139A" w:rsidRPr="001B7BE4">
        <w:rPr>
          <w:rFonts w:ascii="Arial" w:eastAsia="Times New Roman" w:hAnsi="Arial" w:cs="Arial"/>
          <w:sz w:val="26"/>
          <w:szCs w:val="26"/>
        </w:rPr>
        <w:t>, but one we can address at least partially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</w:t>
      </w:r>
    </w:p>
    <w:p w14:paraId="3029791A" w14:textId="17B7AF9C" w:rsidR="006708D9" w:rsidRPr="001B7BE4" w:rsidRDefault="00CC1926" w:rsidP="00030EA4">
      <w:pPr>
        <w:spacing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  <w:u w:val="single"/>
        </w:rPr>
        <w:t>Slide 16</w:t>
      </w:r>
      <w:r w:rsidR="008B27C8" w:rsidRPr="001B7BE4">
        <w:rPr>
          <w:rFonts w:ascii="Arial" w:eastAsia="Times New Roman" w:hAnsi="Arial" w:cs="Arial"/>
          <w:sz w:val="26"/>
          <w:szCs w:val="26"/>
          <w:u w:val="single"/>
        </w:rPr>
        <w:t>-19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: Our main empirical setup to detect direct </w:t>
      </w:r>
      <w:r w:rsidR="003951E6" w:rsidRPr="001B7BE4">
        <w:rPr>
          <w:rFonts w:ascii="Arial" w:eastAsia="Times New Roman" w:hAnsi="Arial" w:cs="Arial"/>
          <w:sz w:val="26"/>
          <w:szCs w:val="26"/>
        </w:rPr>
        <w:t xml:space="preserve">effects 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is one of a difference-in-difference regression. Here, y is some measure of </w:t>
      </w:r>
      <w:r w:rsidR="00690C7D" w:rsidRPr="001B7BE4">
        <w:rPr>
          <w:rFonts w:ascii="Arial" w:eastAsia="Times New Roman" w:hAnsi="Arial" w:cs="Arial"/>
          <w:sz w:val="26"/>
          <w:szCs w:val="26"/>
        </w:rPr>
        <w:t>firm</w:t>
      </w:r>
      <w:r w:rsidR="00EE3AFB" w:rsidRPr="001B7BE4">
        <w:rPr>
          <w:rFonts w:ascii="Arial" w:eastAsia="Times New Roman" w:hAnsi="Arial" w:cs="Arial"/>
          <w:sz w:val="26"/>
          <w:szCs w:val="26"/>
        </w:rPr>
        <w:t xml:space="preserve"> activity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. We compare this measure to the level of </w:t>
      </w:r>
      <w:r w:rsidR="00AB0C72">
        <w:rPr>
          <w:rFonts w:ascii="Arial" w:eastAsia="Times New Roman" w:hAnsi="Arial" w:cs="Arial"/>
          <w:sz w:val="26"/>
          <w:szCs w:val="26"/>
        </w:rPr>
        <w:t xml:space="preserve">firm 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subsidization at that given point in time. We </w:t>
      </w:r>
      <w:r w:rsidR="00673481" w:rsidRPr="001B7BE4">
        <w:rPr>
          <w:rFonts w:ascii="Arial" w:eastAsia="Times New Roman" w:hAnsi="Arial" w:cs="Arial"/>
          <w:sz w:val="26"/>
          <w:szCs w:val="26"/>
        </w:rPr>
        <w:t>include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8B27C8" w:rsidRPr="001B7BE4">
        <w:rPr>
          <w:rFonts w:ascii="Arial" w:eastAsia="Times New Roman" w:hAnsi="Arial" w:cs="Arial"/>
          <w:sz w:val="26"/>
          <w:szCs w:val="26"/>
        </w:rPr>
        <w:t>firm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and </w:t>
      </w:r>
      <w:r w:rsidR="00CE1462" w:rsidRPr="001B7BE4">
        <w:rPr>
          <w:rFonts w:ascii="Arial" w:eastAsia="Times New Roman" w:hAnsi="Arial" w:cs="Arial"/>
          <w:sz w:val="26"/>
          <w:szCs w:val="26"/>
        </w:rPr>
        <w:t>industry</w:t>
      </w:r>
      <w:r w:rsidR="0008639B" w:rsidRPr="001B7BE4">
        <w:rPr>
          <w:rFonts w:ascii="Arial" w:eastAsia="Times New Roman" w:hAnsi="Arial" w:cs="Arial"/>
          <w:sz w:val="26"/>
          <w:szCs w:val="26"/>
        </w:rPr>
        <w:t>-year fixed effects to control for the overall scale of economic activity in th</w:t>
      </w:r>
      <w:r w:rsidR="00CE1462" w:rsidRPr="001B7BE4">
        <w:rPr>
          <w:rFonts w:ascii="Arial" w:eastAsia="Times New Roman" w:hAnsi="Arial" w:cs="Arial"/>
          <w:sz w:val="26"/>
          <w:szCs w:val="26"/>
        </w:rPr>
        <w:t xml:space="preserve">e </w:t>
      </w:r>
      <w:r w:rsidR="008B27C8" w:rsidRPr="001B7BE4">
        <w:rPr>
          <w:rFonts w:ascii="Arial" w:eastAsia="Times New Roman" w:hAnsi="Arial" w:cs="Arial"/>
          <w:sz w:val="26"/>
          <w:szCs w:val="26"/>
        </w:rPr>
        <w:t>firm</w:t>
      </w:r>
      <w:r w:rsidR="00CE1462" w:rsidRPr="001B7BE4">
        <w:rPr>
          <w:rFonts w:ascii="Arial" w:eastAsia="Times New Roman" w:hAnsi="Arial" w:cs="Arial"/>
          <w:sz w:val="26"/>
          <w:szCs w:val="26"/>
        </w:rPr>
        <w:t xml:space="preserve"> or for macroeconomic shocks that differentially impact different types of industries.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</w:t>
      </w:r>
    </w:p>
    <w:p w14:paraId="69B1F8A6" w14:textId="77777777" w:rsidR="00C27CD5" w:rsidRPr="001B7BE4" w:rsidRDefault="0008639B" w:rsidP="00030EA4">
      <w:pPr>
        <w:spacing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</w:rPr>
        <w:t>Now there are two concerns with setup. First, the subsidies were targeted to poorer but already-fast growing regions. This prompts a worry about pre-trends. Second, not every firm who was eligible actually applied to or received the subsidy. Meaning that, to compute the average treatment effect, we wouldn’t want to simply regress on</w:t>
      </w:r>
      <w:r w:rsidR="00673481" w:rsidRPr="001B7BE4">
        <w:rPr>
          <w:rFonts w:ascii="Arial" w:eastAsia="Times New Roman" w:hAnsi="Arial" w:cs="Arial"/>
          <w:sz w:val="26"/>
          <w:szCs w:val="26"/>
        </w:rPr>
        <w:t xml:space="preserve"> investment tax credits received</w:t>
      </w:r>
      <w:r w:rsidRPr="001B7BE4">
        <w:rPr>
          <w:rFonts w:ascii="Arial" w:eastAsia="Times New Roman" w:hAnsi="Arial" w:cs="Arial"/>
          <w:sz w:val="26"/>
          <w:szCs w:val="26"/>
        </w:rPr>
        <w:t>.</w:t>
      </w:r>
      <w:r w:rsidR="00F44176" w:rsidRPr="001B7BE4">
        <w:rPr>
          <w:rFonts w:ascii="Arial" w:eastAsia="Times New Roman" w:hAnsi="Arial" w:cs="Arial"/>
          <w:sz w:val="26"/>
          <w:szCs w:val="26"/>
        </w:rPr>
        <w:t xml:space="preserve"> Further, as I mentioned, our subsidy </w:t>
      </w:r>
      <w:r w:rsidR="003F345C" w:rsidRPr="001B7BE4">
        <w:rPr>
          <w:rFonts w:ascii="Arial" w:eastAsia="Times New Roman" w:hAnsi="Arial" w:cs="Arial"/>
          <w:sz w:val="26"/>
          <w:szCs w:val="26"/>
        </w:rPr>
        <w:t>variable</w:t>
      </w:r>
      <w:r w:rsidR="00F44176" w:rsidRPr="001B7BE4">
        <w:rPr>
          <w:rFonts w:ascii="Arial" w:eastAsia="Times New Roman" w:hAnsi="Arial" w:cs="Arial"/>
          <w:sz w:val="26"/>
          <w:szCs w:val="26"/>
        </w:rPr>
        <w:t xml:space="preserve"> is</w:t>
      </w:r>
      <w:r w:rsidR="00795A71" w:rsidRPr="001B7BE4">
        <w:rPr>
          <w:rFonts w:ascii="Arial" w:eastAsia="Times New Roman" w:hAnsi="Arial" w:cs="Arial"/>
          <w:sz w:val="26"/>
          <w:szCs w:val="26"/>
        </w:rPr>
        <w:t xml:space="preserve"> one measured</w:t>
      </w:r>
      <w:r w:rsidR="00F44176" w:rsidRPr="001B7BE4">
        <w:rPr>
          <w:rFonts w:ascii="Arial" w:eastAsia="Times New Roman" w:hAnsi="Arial" w:cs="Arial"/>
          <w:sz w:val="26"/>
          <w:szCs w:val="26"/>
        </w:rPr>
        <w:t xml:space="preserve"> with error.</w:t>
      </w:r>
      <w:r w:rsidRPr="001B7BE4">
        <w:rPr>
          <w:rFonts w:ascii="Arial" w:eastAsia="Times New Roman" w:hAnsi="Arial" w:cs="Arial"/>
          <w:sz w:val="26"/>
          <w:szCs w:val="26"/>
        </w:rPr>
        <w:t xml:space="preserve"> </w:t>
      </w:r>
    </w:p>
    <w:p w14:paraId="2466D6EF" w14:textId="60E7FCC2" w:rsidR="0008639B" w:rsidRPr="001B7BE4" w:rsidRDefault="00883AFF" w:rsidP="00030EA4">
      <w:pPr>
        <w:spacing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</w:rPr>
        <w:t>In the paper, but not in this presentation, we examine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the issue of pretends</w:t>
      </w:r>
      <w:r w:rsidR="00EE3AFB" w:rsidRPr="001B7BE4">
        <w:rPr>
          <w:rFonts w:ascii="Arial" w:eastAsia="Times New Roman" w:hAnsi="Arial" w:cs="Arial"/>
          <w:sz w:val="26"/>
          <w:szCs w:val="26"/>
        </w:rPr>
        <w:t xml:space="preserve"> in detail</w:t>
      </w:r>
      <w:r w:rsidR="0008639B" w:rsidRPr="001B7BE4">
        <w:rPr>
          <w:rFonts w:ascii="Arial" w:eastAsia="Times New Roman" w:hAnsi="Arial" w:cs="Arial"/>
          <w:sz w:val="26"/>
          <w:szCs w:val="26"/>
        </w:rPr>
        <w:t>.</w:t>
      </w:r>
      <w:r w:rsidR="00795A71" w:rsidRPr="001B7BE4">
        <w:rPr>
          <w:rFonts w:ascii="Arial" w:eastAsia="Times New Roman" w:hAnsi="Arial" w:cs="Arial"/>
          <w:sz w:val="26"/>
          <w:szCs w:val="26"/>
        </w:rPr>
        <w:t xml:space="preserve"> Briefly, </w:t>
      </w:r>
      <w:r w:rsidR="00A54448" w:rsidRPr="001B7BE4">
        <w:rPr>
          <w:rFonts w:ascii="Arial" w:eastAsia="Times New Roman" w:hAnsi="Arial" w:cs="Arial"/>
          <w:sz w:val="26"/>
          <w:szCs w:val="26"/>
        </w:rPr>
        <w:t>while</w:t>
      </w:r>
      <w:r w:rsidR="00795A71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A54448" w:rsidRPr="001B7BE4">
        <w:rPr>
          <w:rFonts w:ascii="Arial" w:eastAsia="Times New Roman" w:hAnsi="Arial" w:cs="Arial"/>
          <w:sz w:val="26"/>
          <w:szCs w:val="26"/>
        </w:rPr>
        <w:t>it</w:t>
      </w:r>
      <w:r w:rsidR="00690C7D" w:rsidRPr="001B7BE4">
        <w:rPr>
          <w:rFonts w:ascii="Arial" w:eastAsia="Times New Roman" w:hAnsi="Arial" w:cs="Arial"/>
          <w:sz w:val="26"/>
          <w:szCs w:val="26"/>
        </w:rPr>
        <w:t>’s</w:t>
      </w:r>
      <w:r w:rsidR="00795A71" w:rsidRPr="001B7BE4">
        <w:rPr>
          <w:rFonts w:ascii="Arial" w:eastAsia="Times New Roman" w:hAnsi="Arial" w:cs="Arial"/>
          <w:sz w:val="26"/>
          <w:szCs w:val="26"/>
        </w:rPr>
        <w:t xml:space="preserve"> true that</w:t>
      </w:r>
      <w:r w:rsidR="00A54448" w:rsidRPr="001B7BE4">
        <w:rPr>
          <w:rFonts w:ascii="Arial" w:eastAsia="Times New Roman" w:hAnsi="Arial" w:cs="Arial"/>
          <w:sz w:val="26"/>
          <w:szCs w:val="26"/>
        </w:rPr>
        <w:t>, when looking across provinces,</w:t>
      </w:r>
      <w:r w:rsidR="00795A71" w:rsidRPr="001B7BE4">
        <w:rPr>
          <w:rFonts w:ascii="Arial" w:eastAsia="Times New Roman" w:hAnsi="Arial" w:cs="Arial"/>
          <w:sz w:val="26"/>
          <w:szCs w:val="26"/>
        </w:rPr>
        <w:t xml:space="preserve"> subsidization is correlated</w:t>
      </w:r>
      <w:r w:rsidR="00C27CD5" w:rsidRPr="001B7BE4">
        <w:rPr>
          <w:rFonts w:ascii="Arial" w:eastAsia="Times New Roman" w:hAnsi="Arial" w:cs="Arial"/>
          <w:sz w:val="26"/>
          <w:szCs w:val="26"/>
        </w:rPr>
        <w:t xml:space="preserve"> with pre-policy</w:t>
      </w:r>
      <w:r w:rsidR="00795A71" w:rsidRPr="001B7BE4">
        <w:rPr>
          <w:rFonts w:ascii="Arial" w:eastAsia="Times New Roman" w:hAnsi="Arial" w:cs="Arial"/>
          <w:sz w:val="26"/>
          <w:szCs w:val="26"/>
        </w:rPr>
        <w:t xml:space="preserve"> growth</w:t>
      </w:r>
      <w:r w:rsidR="00A54448" w:rsidRPr="001B7BE4">
        <w:rPr>
          <w:rFonts w:ascii="Arial" w:eastAsia="Times New Roman" w:hAnsi="Arial" w:cs="Arial"/>
          <w:sz w:val="26"/>
          <w:szCs w:val="26"/>
        </w:rPr>
        <w:t xml:space="preserve"> rates</w:t>
      </w:r>
      <w:r w:rsidR="00795A71" w:rsidRPr="001B7BE4">
        <w:rPr>
          <w:rFonts w:ascii="Arial" w:eastAsia="Times New Roman" w:hAnsi="Arial" w:cs="Arial"/>
          <w:sz w:val="26"/>
          <w:szCs w:val="26"/>
        </w:rPr>
        <w:t xml:space="preserve">, the same correlation </w:t>
      </w:r>
      <w:r w:rsidR="00A54448" w:rsidRPr="001B7BE4">
        <w:rPr>
          <w:rFonts w:ascii="Arial" w:eastAsia="Times New Roman" w:hAnsi="Arial" w:cs="Arial"/>
          <w:sz w:val="26"/>
          <w:szCs w:val="26"/>
        </w:rPr>
        <w:t xml:space="preserve">does </w:t>
      </w:r>
      <w:r w:rsidR="00795A71" w:rsidRPr="001B7BE4">
        <w:rPr>
          <w:rFonts w:ascii="Arial" w:eastAsia="Times New Roman" w:hAnsi="Arial" w:cs="Arial"/>
          <w:sz w:val="26"/>
          <w:szCs w:val="26"/>
        </w:rPr>
        <w:t>not</w:t>
      </w:r>
      <w:r w:rsidR="00A54448" w:rsidRPr="001B7BE4">
        <w:rPr>
          <w:rFonts w:ascii="Arial" w:eastAsia="Times New Roman" w:hAnsi="Arial" w:cs="Arial"/>
          <w:sz w:val="26"/>
          <w:szCs w:val="26"/>
        </w:rPr>
        <w:t xml:space="preserve"> hold</w:t>
      </w:r>
      <w:r w:rsidR="00795A71" w:rsidRPr="001B7BE4">
        <w:rPr>
          <w:rFonts w:ascii="Arial" w:eastAsia="Times New Roman" w:hAnsi="Arial" w:cs="Arial"/>
          <w:sz w:val="26"/>
          <w:szCs w:val="26"/>
        </w:rPr>
        <w:t xml:space="preserve"> when comparing </w:t>
      </w:r>
      <w:r w:rsidR="00A54448" w:rsidRPr="001B7BE4">
        <w:rPr>
          <w:rFonts w:ascii="Arial" w:eastAsia="Times New Roman" w:hAnsi="Arial" w:cs="Arial"/>
          <w:sz w:val="26"/>
          <w:szCs w:val="26"/>
        </w:rPr>
        <w:t>province</w:t>
      </w:r>
      <w:r w:rsidR="00795A71" w:rsidRPr="001B7BE4">
        <w:rPr>
          <w:rFonts w:ascii="Arial" w:eastAsia="Times New Roman" w:hAnsi="Arial" w:cs="Arial"/>
          <w:sz w:val="26"/>
          <w:szCs w:val="26"/>
        </w:rPr>
        <w:t xml:space="preserve">-industry growth rates and </w:t>
      </w:r>
      <w:r w:rsidR="00A54448" w:rsidRPr="001B7BE4">
        <w:rPr>
          <w:rFonts w:ascii="Arial" w:eastAsia="Times New Roman" w:hAnsi="Arial" w:cs="Arial"/>
          <w:sz w:val="26"/>
          <w:szCs w:val="26"/>
        </w:rPr>
        <w:t>conditioning with</w:t>
      </w:r>
      <w:r w:rsidR="00795A71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A54448" w:rsidRPr="001B7BE4">
        <w:rPr>
          <w:rFonts w:ascii="Arial" w:eastAsia="Times New Roman" w:hAnsi="Arial" w:cs="Arial"/>
          <w:sz w:val="26"/>
          <w:szCs w:val="26"/>
        </w:rPr>
        <w:t>province</w:t>
      </w:r>
      <w:r w:rsidR="00795A71" w:rsidRPr="001B7BE4">
        <w:rPr>
          <w:rFonts w:ascii="Arial" w:eastAsia="Times New Roman" w:hAnsi="Arial" w:cs="Arial"/>
          <w:sz w:val="26"/>
          <w:szCs w:val="26"/>
        </w:rPr>
        <w:t xml:space="preserve"> fixed effects. </w:t>
      </w:r>
      <w:r w:rsidR="0008639B" w:rsidRPr="001B7BE4">
        <w:rPr>
          <w:rFonts w:ascii="Arial" w:eastAsia="Times New Roman" w:hAnsi="Arial" w:cs="Arial"/>
          <w:sz w:val="26"/>
          <w:szCs w:val="26"/>
        </w:rPr>
        <w:t>For the second concern</w:t>
      </w:r>
      <w:r w:rsidR="00690C7D" w:rsidRPr="001B7BE4">
        <w:rPr>
          <w:rFonts w:ascii="Arial" w:eastAsia="Times New Roman" w:hAnsi="Arial" w:cs="Arial"/>
          <w:sz w:val="26"/>
          <w:szCs w:val="26"/>
        </w:rPr>
        <w:t>,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we’ll instrument received subsidies with measures of statutory eligibility/generosity</w:t>
      </w:r>
      <w:r w:rsidR="00A54448" w:rsidRPr="001B7BE4">
        <w:rPr>
          <w:rFonts w:ascii="Arial" w:eastAsia="Times New Roman" w:hAnsi="Arial" w:cs="Arial"/>
          <w:sz w:val="26"/>
          <w:szCs w:val="26"/>
        </w:rPr>
        <w:t xml:space="preserve"> for that province-industry</w:t>
      </w:r>
      <w:r w:rsidR="00B650D1" w:rsidRPr="001B7BE4">
        <w:rPr>
          <w:rFonts w:ascii="Arial" w:eastAsia="Times New Roman" w:hAnsi="Arial" w:cs="Arial"/>
          <w:sz w:val="26"/>
          <w:szCs w:val="26"/>
        </w:rPr>
        <w:t xml:space="preserve"> pair at that given point in time.</w:t>
      </w:r>
    </w:p>
    <w:p w14:paraId="18505842" w14:textId="33BA47F5" w:rsidR="0008639B" w:rsidRPr="001B7BE4" w:rsidRDefault="00883AFF" w:rsidP="00030EA4">
      <w:pPr>
        <w:spacing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  <w:u w:val="single"/>
        </w:rPr>
        <w:t>Slide 20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: </w:t>
      </w:r>
      <w:r w:rsidRPr="001B7BE4">
        <w:rPr>
          <w:rFonts w:ascii="Arial" w:eastAsia="Times New Roman" w:hAnsi="Arial" w:cs="Arial"/>
          <w:sz w:val="26"/>
          <w:szCs w:val="26"/>
        </w:rPr>
        <w:t xml:space="preserve">Here we display the results from our regression, using firm revenues as our measure of economic activity. </w:t>
      </w:r>
      <w:r w:rsidR="00616121" w:rsidRPr="001B7BE4">
        <w:rPr>
          <w:rFonts w:ascii="Arial" w:eastAsia="Times New Roman" w:hAnsi="Arial" w:cs="Arial"/>
          <w:sz w:val="26"/>
          <w:szCs w:val="26"/>
        </w:rPr>
        <w:t>We</w:t>
      </w:r>
      <w:r w:rsidR="00673481" w:rsidRPr="001B7BE4">
        <w:rPr>
          <w:rFonts w:ascii="Arial" w:eastAsia="Times New Roman" w:hAnsi="Arial" w:cs="Arial"/>
          <w:sz w:val="26"/>
          <w:szCs w:val="26"/>
        </w:rPr>
        <w:t xml:space="preserve"> find, in both the OLS and IV specifications</w:t>
      </w:r>
      <w:r w:rsidR="006A30A4" w:rsidRPr="001B7BE4">
        <w:rPr>
          <w:rFonts w:ascii="Arial" w:eastAsia="Times New Roman" w:hAnsi="Arial" w:cs="Arial"/>
          <w:sz w:val="26"/>
          <w:szCs w:val="26"/>
        </w:rPr>
        <w:t xml:space="preserve">, that greater </w:t>
      </w:r>
      <w:r w:rsidR="006A30A4" w:rsidRPr="001B7BE4">
        <w:rPr>
          <w:rFonts w:ascii="Arial" w:eastAsia="Times New Roman" w:hAnsi="Arial" w:cs="Arial"/>
          <w:sz w:val="26"/>
          <w:szCs w:val="26"/>
        </w:rPr>
        <w:lastRenderedPageBreak/>
        <w:t>subsidization increase</w:t>
      </w:r>
      <w:r w:rsidR="003B5DC2" w:rsidRPr="001B7BE4">
        <w:rPr>
          <w:rFonts w:ascii="Arial" w:eastAsia="Times New Roman" w:hAnsi="Arial" w:cs="Arial"/>
          <w:sz w:val="26"/>
          <w:szCs w:val="26"/>
        </w:rPr>
        <w:t>s</w:t>
      </w:r>
      <w:r w:rsidR="006A30A4" w:rsidRPr="001B7BE4">
        <w:rPr>
          <w:rFonts w:ascii="Arial" w:eastAsia="Times New Roman" w:hAnsi="Arial" w:cs="Arial"/>
          <w:sz w:val="26"/>
          <w:szCs w:val="26"/>
        </w:rPr>
        <w:t xml:space="preserve"> firm revenues. To give you some idea of the magnitudes involved, the difference in investment tax credits </w:t>
      </w:r>
      <w:r w:rsidR="00A54448" w:rsidRPr="001B7BE4">
        <w:rPr>
          <w:rFonts w:ascii="Arial" w:eastAsia="Times New Roman" w:hAnsi="Arial" w:cs="Arial"/>
          <w:sz w:val="26"/>
          <w:szCs w:val="26"/>
        </w:rPr>
        <w:t>rates received</w:t>
      </w:r>
      <w:r w:rsidR="006A30A4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607BBB" w:rsidRPr="001B7BE4">
        <w:rPr>
          <w:rFonts w:ascii="Arial" w:eastAsia="Times New Roman" w:hAnsi="Arial" w:cs="Arial"/>
          <w:sz w:val="26"/>
          <w:szCs w:val="26"/>
        </w:rPr>
        <w:t>by firms in eligible industries between</w:t>
      </w:r>
      <w:r w:rsidR="006A30A4" w:rsidRPr="001B7BE4">
        <w:rPr>
          <w:rFonts w:ascii="Arial" w:eastAsia="Times New Roman" w:hAnsi="Arial" w:cs="Arial"/>
          <w:sz w:val="26"/>
          <w:szCs w:val="26"/>
        </w:rPr>
        <w:t xml:space="preserve"> Region 6</w:t>
      </w:r>
      <w:r w:rsidR="00607BBB" w:rsidRPr="001B7BE4">
        <w:rPr>
          <w:rFonts w:ascii="Arial" w:eastAsia="Times New Roman" w:hAnsi="Arial" w:cs="Arial"/>
          <w:sz w:val="26"/>
          <w:szCs w:val="26"/>
        </w:rPr>
        <w:t xml:space="preserve"> and</w:t>
      </w:r>
      <w:r w:rsidR="006A30A4" w:rsidRPr="001B7BE4">
        <w:rPr>
          <w:rFonts w:ascii="Arial" w:eastAsia="Times New Roman" w:hAnsi="Arial" w:cs="Arial"/>
          <w:sz w:val="26"/>
          <w:szCs w:val="26"/>
        </w:rPr>
        <w:t xml:space="preserve"> Region 1 is approximately 5 percentage points. This</w:t>
      </w:r>
      <w:r w:rsidR="006708D9" w:rsidRPr="001B7BE4">
        <w:rPr>
          <w:rFonts w:ascii="Arial" w:eastAsia="Times New Roman" w:hAnsi="Arial" w:cs="Arial"/>
          <w:sz w:val="26"/>
          <w:szCs w:val="26"/>
        </w:rPr>
        <w:t xml:space="preserve"> difference</w:t>
      </w:r>
      <w:r w:rsidR="006A30A4" w:rsidRPr="001B7BE4">
        <w:rPr>
          <w:rFonts w:ascii="Arial" w:eastAsia="Times New Roman" w:hAnsi="Arial" w:cs="Arial"/>
          <w:sz w:val="26"/>
          <w:szCs w:val="26"/>
        </w:rPr>
        <w:t xml:space="preserve"> corresponds to roughly </w:t>
      </w:r>
      <w:r w:rsidRPr="001B7BE4">
        <w:rPr>
          <w:rFonts w:ascii="Arial" w:eastAsia="Times New Roman" w:hAnsi="Arial" w:cs="Arial"/>
          <w:sz w:val="26"/>
          <w:szCs w:val="26"/>
        </w:rPr>
        <w:t>16</w:t>
      </w:r>
      <w:r w:rsidR="006A30A4" w:rsidRPr="001B7BE4">
        <w:rPr>
          <w:rFonts w:ascii="Arial" w:eastAsia="Times New Roman" w:hAnsi="Arial" w:cs="Arial"/>
          <w:sz w:val="26"/>
          <w:szCs w:val="26"/>
        </w:rPr>
        <w:t xml:space="preserve"> percent higher</w:t>
      </w:r>
      <w:r w:rsidR="00EE3AFB" w:rsidRPr="001B7BE4">
        <w:rPr>
          <w:rFonts w:ascii="Arial" w:eastAsia="Times New Roman" w:hAnsi="Arial" w:cs="Arial"/>
          <w:sz w:val="26"/>
          <w:szCs w:val="26"/>
        </w:rPr>
        <w:t xml:space="preserve"> firm</w:t>
      </w:r>
      <w:r w:rsidR="006A30A4" w:rsidRPr="001B7BE4">
        <w:rPr>
          <w:rFonts w:ascii="Arial" w:eastAsia="Times New Roman" w:hAnsi="Arial" w:cs="Arial"/>
          <w:sz w:val="26"/>
          <w:szCs w:val="26"/>
        </w:rPr>
        <w:t xml:space="preserve"> revenues. </w:t>
      </w:r>
    </w:p>
    <w:p w14:paraId="5D568FC0" w14:textId="418D8A61" w:rsidR="0008639B" w:rsidRPr="001B7BE4" w:rsidRDefault="00883AFF" w:rsidP="00030EA4">
      <w:pPr>
        <w:spacing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  <w:u w:val="single"/>
        </w:rPr>
        <w:t>Slide 21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: </w:t>
      </w:r>
      <w:r w:rsidRPr="001B7BE4">
        <w:rPr>
          <w:rFonts w:ascii="Arial" w:eastAsia="Times New Roman" w:hAnsi="Arial" w:cs="Arial"/>
          <w:sz w:val="26"/>
          <w:szCs w:val="26"/>
        </w:rPr>
        <w:t>W</w:t>
      </w:r>
      <w:r w:rsidR="0008639B" w:rsidRPr="001B7BE4">
        <w:rPr>
          <w:rFonts w:ascii="Arial" w:eastAsia="Times New Roman" w:hAnsi="Arial" w:cs="Arial"/>
          <w:sz w:val="26"/>
          <w:szCs w:val="26"/>
        </w:rPr>
        <w:t>e apply a similar regression for firm-level TFP. The total factor</w:t>
      </w:r>
      <w:r w:rsidR="00690C7D" w:rsidRPr="001B7BE4">
        <w:rPr>
          <w:rFonts w:ascii="Arial" w:eastAsia="Times New Roman" w:hAnsi="Arial" w:cs="Arial"/>
          <w:sz w:val="26"/>
          <w:szCs w:val="26"/>
        </w:rPr>
        <w:t xml:space="preserve"> productivity measure here is </w:t>
      </w:r>
      <w:r w:rsidR="0008639B" w:rsidRPr="001B7BE4">
        <w:rPr>
          <w:rFonts w:ascii="Arial" w:eastAsia="Times New Roman" w:hAnsi="Arial" w:cs="Arial"/>
          <w:sz w:val="26"/>
          <w:szCs w:val="26"/>
        </w:rPr>
        <w:t>revenu</w:t>
      </w:r>
      <w:r w:rsidR="00625B8B" w:rsidRPr="001B7BE4">
        <w:rPr>
          <w:rFonts w:ascii="Arial" w:eastAsia="Times New Roman" w:hAnsi="Arial" w:cs="Arial"/>
          <w:sz w:val="26"/>
          <w:szCs w:val="26"/>
        </w:rPr>
        <w:t xml:space="preserve">e </w:t>
      </w:r>
      <w:proofErr w:type="spellStart"/>
      <w:r w:rsidR="00625B8B" w:rsidRPr="001B7BE4">
        <w:rPr>
          <w:rFonts w:ascii="Arial" w:eastAsia="Times New Roman" w:hAnsi="Arial" w:cs="Arial"/>
          <w:sz w:val="26"/>
          <w:szCs w:val="26"/>
        </w:rPr>
        <w:t>tfp</w:t>
      </w:r>
      <w:proofErr w:type="spellEnd"/>
      <w:r w:rsidR="00BF651B" w:rsidRPr="001B7BE4">
        <w:rPr>
          <w:rFonts w:ascii="Arial" w:eastAsia="Times New Roman" w:hAnsi="Arial" w:cs="Arial"/>
          <w:sz w:val="26"/>
          <w:szCs w:val="26"/>
        </w:rPr>
        <w:t xml:space="preserve">, which we </w:t>
      </w:r>
      <w:r w:rsidR="00A02284" w:rsidRPr="001B7BE4">
        <w:rPr>
          <w:rFonts w:ascii="Arial" w:eastAsia="Times New Roman" w:hAnsi="Arial" w:cs="Arial"/>
          <w:sz w:val="26"/>
          <w:szCs w:val="26"/>
        </w:rPr>
        <w:t>estimate</w:t>
      </w:r>
      <w:r w:rsidR="00A54448" w:rsidRPr="001B7BE4">
        <w:rPr>
          <w:rFonts w:ascii="Arial" w:eastAsia="Times New Roman" w:hAnsi="Arial" w:cs="Arial"/>
          <w:sz w:val="26"/>
          <w:szCs w:val="26"/>
        </w:rPr>
        <w:t xml:space="preserve"> for each firm</w:t>
      </w:r>
      <w:r w:rsidR="00BF651B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673481" w:rsidRPr="001B7BE4">
        <w:rPr>
          <w:rFonts w:ascii="Arial" w:eastAsia="Times New Roman" w:hAnsi="Arial" w:cs="Arial"/>
          <w:sz w:val="26"/>
          <w:szCs w:val="26"/>
        </w:rPr>
        <w:t>using</w:t>
      </w:r>
      <w:r w:rsidR="00BF651B" w:rsidRPr="001B7BE4">
        <w:rPr>
          <w:rFonts w:ascii="Arial" w:eastAsia="Times New Roman" w:hAnsi="Arial" w:cs="Arial"/>
          <w:sz w:val="26"/>
          <w:szCs w:val="26"/>
        </w:rPr>
        <w:t xml:space="preserve"> standard </w:t>
      </w:r>
      <w:proofErr w:type="spellStart"/>
      <w:r w:rsidR="00BF651B" w:rsidRPr="001B7BE4">
        <w:rPr>
          <w:rFonts w:ascii="Arial" w:eastAsia="Times New Roman" w:hAnsi="Arial" w:cs="Arial"/>
          <w:sz w:val="26"/>
          <w:szCs w:val="26"/>
        </w:rPr>
        <w:t>io</w:t>
      </w:r>
      <w:proofErr w:type="spellEnd"/>
      <w:r w:rsidR="00BF651B" w:rsidRPr="001B7BE4">
        <w:rPr>
          <w:rFonts w:ascii="Arial" w:eastAsia="Times New Roman" w:hAnsi="Arial" w:cs="Arial"/>
          <w:sz w:val="26"/>
          <w:szCs w:val="26"/>
        </w:rPr>
        <w:t xml:space="preserve"> methods</w:t>
      </w:r>
      <w:r w:rsidR="00625B8B" w:rsidRPr="001B7BE4">
        <w:rPr>
          <w:rFonts w:ascii="Arial" w:eastAsia="Times New Roman" w:hAnsi="Arial" w:cs="Arial"/>
          <w:sz w:val="26"/>
          <w:szCs w:val="26"/>
        </w:rPr>
        <w:t xml:space="preserve">. Our interpretation here is that the subsidies lowered the unit price at which firms hire labor or rent capital, thus are equivalent to lower marginal costs of production, and </w:t>
      </w:r>
      <w:r w:rsidR="00256E34" w:rsidRPr="001B7BE4">
        <w:rPr>
          <w:rFonts w:ascii="Arial" w:eastAsia="Times New Roman" w:hAnsi="Arial" w:cs="Arial"/>
          <w:sz w:val="26"/>
          <w:szCs w:val="26"/>
        </w:rPr>
        <w:t>in turn</w:t>
      </w:r>
      <w:r w:rsidR="00625B8B" w:rsidRPr="001B7BE4">
        <w:rPr>
          <w:rFonts w:ascii="Arial" w:eastAsia="Times New Roman" w:hAnsi="Arial" w:cs="Arial"/>
          <w:sz w:val="26"/>
          <w:szCs w:val="26"/>
        </w:rPr>
        <w:t xml:space="preserve"> higher measured total factor productivity. </w:t>
      </w:r>
    </w:p>
    <w:p w14:paraId="7A7BCFCC" w14:textId="3557438E" w:rsidR="00EE3AFB" w:rsidRPr="001B7BE4" w:rsidRDefault="00883AFF" w:rsidP="00030EA4">
      <w:pPr>
        <w:spacing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  <w:u w:val="single"/>
        </w:rPr>
        <w:t>Slide 22-23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: </w:t>
      </w:r>
      <w:r w:rsidR="006807BB" w:rsidRPr="001B7BE4">
        <w:rPr>
          <w:rFonts w:ascii="Arial" w:eastAsia="Times New Roman" w:hAnsi="Arial" w:cs="Arial"/>
          <w:sz w:val="26"/>
          <w:szCs w:val="26"/>
        </w:rPr>
        <w:t xml:space="preserve">Next, we amend our regressions to consider what I’ll call indirect effects. 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There are two aims </w:t>
      </w:r>
      <w:r w:rsidR="002E5A41" w:rsidRPr="001B7BE4">
        <w:rPr>
          <w:rFonts w:ascii="Arial" w:eastAsia="Times New Roman" w:hAnsi="Arial" w:cs="Arial"/>
          <w:sz w:val="26"/>
          <w:szCs w:val="26"/>
        </w:rPr>
        <w:t xml:space="preserve">in this </w:t>
      </w:r>
      <w:r w:rsidR="00745F5A" w:rsidRPr="001B7BE4">
        <w:rPr>
          <w:rFonts w:ascii="Arial" w:eastAsia="Times New Roman" w:hAnsi="Arial" w:cs="Arial"/>
          <w:sz w:val="26"/>
          <w:szCs w:val="26"/>
        </w:rPr>
        <w:t>section. First, we’re</w:t>
      </w:r>
      <w:r w:rsidR="002E5A41" w:rsidRPr="001B7BE4">
        <w:rPr>
          <w:rFonts w:ascii="Arial" w:eastAsia="Times New Roman" w:hAnsi="Arial" w:cs="Arial"/>
          <w:sz w:val="26"/>
          <w:szCs w:val="26"/>
        </w:rPr>
        <w:t xml:space="preserve"> i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nherently interested in documenting how the subsidies spill over to the customers or suppliers of subsidized firms. Second, </w:t>
      </w:r>
      <w:r w:rsidR="00A54448" w:rsidRPr="001B7BE4">
        <w:rPr>
          <w:rFonts w:ascii="Arial" w:eastAsia="Times New Roman" w:hAnsi="Arial" w:cs="Arial"/>
          <w:sz w:val="26"/>
          <w:szCs w:val="26"/>
        </w:rPr>
        <w:t>in the calibration of the</w:t>
      </w:r>
      <w:r w:rsidR="00F87D48" w:rsidRPr="001B7BE4">
        <w:rPr>
          <w:rFonts w:ascii="Arial" w:eastAsia="Times New Roman" w:hAnsi="Arial" w:cs="Arial"/>
          <w:sz w:val="26"/>
          <w:szCs w:val="26"/>
        </w:rPr>
        <w:t xml:space="preserve"> model that I’ll discuss next, a key object of interest is direct productivity impact of subsidization on productivity</w:t>
      </w:r>
      <w:r w:rsidR="0008639B" w:rsidRPr="001B7BE4">
        <w:rPr>
          <w:rFonts w:ascii="Arial" w:eastAsia="Times New Roman" w:hAnsi="Arial" w:cs="Arial"/>
          <w:sz w:val="26"/>
          <w:szCs w:val="26"/>
        </w:rPr>
        <w:t>.</w:t>
      </w:r>
      <w:r w:rsidR="00F87D48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411164" w:rsidRPr="001B7BE4">
        <w:rPr>
          <w:rFonts w:ascii="Arial" w:eastAsia="Times New Roman" w:hAnsi="Arial" w:cs="Arial"/>
          <w:sz w:val="26"/>
          <w:szCs w:val="26"/>
        </w:rPr>
        <w:t>To the extent that (</w:t>
      </w:r>
      <w:proofErr w:type="spellStart"/>
      <w:r w:rsidR="00411164" w:rsidRPr="001B7BE4">
        <w:rPr>
          <w:rFonts w:ascii="Arial" w:eastAsia="Times New Roman" w:hAnsi="Arial" w:cs="Arial"/>
          <w:sz w:val="26"/>
          <w:szCs w:val="26"/>
        </w:rPr>
        <w:t>i</w:t>
      </w:r>
      <w:proofErr w:type="spellEnd"/>
      <w:r w:rsidR="00411164" w:rsidRPr="001B7BE4">
        <w:rPr>
          <w:rFonts w:ascii="Arial" w:eastAsia="Times New Roman" w:hAnsi="Arial" w:cs="Arial"/>
          <w:sz w:val="26"/>
          <w:szCs w:val="26"/>
        </w:rPr>
        <w:t xml:space="preserve">) firms' own subsidization status is correlated with </w:t>
      </w:r>
      <w:r w:rsidR="00690C7D" w:rsidRPr="001B7BE4">
        <w:rPr>
          <w:rFonts w:ascii="Arial" w:eastAsia="Times New Roman" w:hAnsi="Arial" w:cs="Arial"/>
          <w:sz w:val="26"/>
          <w:szCs w:val="26"/>
        </w:rPr>
        <w:t>that of their suppliers or</w:t>
      </w:r>
      <w:r w:rsidR="00411164" w:rsidRPr="001B7BE4">
        <w:rPr>
          <w:rFonts w:ascii="Arial" w:eastAsia="Times New Roman" w:hAnsi="Arial" w:cs="Arial"/>
          <w:sz w:val="26"/>
          <w:szCs w:val="26"/>
        </w:rPr>
        <w:t xml:space="preserve"> customers, and that (ii) counterparties' subsidization leads to higher </w:t>
      </w:r>
      <w:r w:rsidR="00673481" w:rsidRPr="001B7BE4">
        <w:rPr>
          <w:rFonts w:ascii="Arial" w:eastAsia="Times New Roman" w:hAnsi="Arial" w:cs="Arial"/>
          <w:sz w:val="26"/>
          <w:szCs w:val="26"/>
        </w:rPr>
        <w:t xml:space="preserve">own-firm </w:t>
      </w:r>
      <w:r w:rsidR="00411164" w:rsidRPr="001B7BE4">
        <w:rPr>
          <w:rFonts w:ascii="Arial" w:eastAsia="Times New Roman" w:hAnsi="Arial" w:cs="Arial"/>
          <w:sz w:val="26"/>
          <w:szCs w:val="26"/>
        </w:rPr>
        <w:t>TFP, our previous regression esti</w:t>
      </w:r>
      <w:r w:rsidR="00745F5A" w:rsidRPr="001B7BE4">
        <w:rPr>
          <w:rFonts w:ascii="Arial" w:eastAsia="Times New Roman" w:hAnsi="Arial" w:cs="Arial"/>
          <w:sz w:val="26"/>
          <w:szCs w:val="26"/>
        </w:rPr>
        <w:t>mates c</w:t>
      </w:r>
      <w:r w:rsidR="00411164" w:rsidRPr="001B7BE4">
        <w:rPr>
          <w:rFonts w:ascii="Arial" w:eastAsia="Times New Roman" w:hAnsi="Arial" w:cs="Arial"/>
          <w:sz w:val="26"/>
          <w:szCs w:val="26"/>
        </w:rPr>
        <w:t>ould suffer from omitted variable bias. For a similar reason, we</w:t>
      </w:r>
      <w:r w:rsidR="00EE3AFB" w:rsidRPr="001B7BE4">
        <w:rPr>
          <w:rFonts w:ascii="Arial" w:eastAsia="Times New Roman" w:hAnsi="Arial" w:cs="Arial"/>
          <w:sz w:val="26"/>
          <w:szCs w:val="26"/>
        </w:rPr>
        <w:t>’ll</w:t>
      </w:r>
      <w:r w:rsidR="00411164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AB0C72">
        <w:rPr>
          <w:rFonts w:ascii="Arial" w:eastAsia="Times New Roman" w:hAnsi="Arial" w:cs="Arial"/>
          <w:sz w:val="26"/>
          <w:szCs w:val="26"/>
        </w:rPr>
        <w:t xml:space="preserve">want to </w:t>
      </w:r>
      <w:r w:rsidR="00411164" w:rsidRPr="001B7BE4">
        <w:rPr>
          <w:rFonts w:ascii="Arial" w:eastAsia="Times New Roman" w:hAnsi="Arial" w:cs="Arial"/>
          <w:sz w:val="26"/>
          <w:szCs w:val="26"/>
        </w:rPr>
        <w:t xml:space="preserve">include an additional control for the wages in the firms' local labor market. </w:t>
      </w:r>
    </w:p>
    <w:p w14:paraId="5CD5A64B" w14:textId="4A965FA6" w:rsidR="00F87D48" w:rsidRPr="001B7BE4" w:rsidRDefault="00134243" w:rsidP="00030EA4">
      <w:pPr>
        <w:spacing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</w:rPr>
        <w:t>So, w</w:t>
      </w:r>
      <w:r w:rsidR="00A54448" w:rsidRPr="001B7BE4">
        <w:rPr>
          <w:rFonts w:ascii="Arial" w:eastAsia="Times New Roman" w:hAnsi="Arial" w:cs="Arial"/>
          <w:sz w:val="26"/>
          <w:szCs w:val="26"/>
        </w:rPr>
        <w:t>e apply a regression</w:t>
      </w:r>
      <w:r w:rsidR="00F87D48" w:rsidRPr="001B7BE4">
        <w:rPr>
          <w:rFonts w:ascii="Arial" w:eastAsia="Times New Roman" w:hAnsi="Arial" w:cs="Arial"/>
          <w:sz w:val="26"/>
          <w:szCs w:val="26"/>
        </w:rPr>
        <w:t xml:space="preserve"> in which we now additionally include controls for the average wage in the local labor market in which the firm is operating</w:t>
      </w:r>
      <w:r w:rsidR="00673481" w:rsidRPr="001B7BE4">
        <w:rPr>
          <w:rFonts w:ascii="Arial" w:eastAsia="Times New Roman" w:hAnsi="Arial" w:cs="Arial"/>
          <w:sz w:val="26"/>
          <w:szCs w:val="26"/>
        </w:rPr>
        <w:t xml:space="preserve"> and</w:t>
      </w:r>
      <w:r w:rsidR="00690C7D" w:rsidRPr="001B7BE4">
        <w:rPr>
          <w:rFonts w:ascii="Arial" w:eastAsia="Times New Roman" w:hAnsi="Arial" w:cs="Arial"/>
          <w:sz w:val="26"/>
          <w:szCs w:val="26"/>
        </w:rPr>
        <w:t xml:space="preserve"> the share of the firm’s</w:t>
      </w:r>
      <w:r w:rsidR="00F87D48" w:rsidRPr="001B7BE4">
        <w:rPr>
          <w:rFonts w:ascii="Arial" w:eastAsia="Times New Roman" w:hAnsi="Arial" w:cs="Arial"/>
          <w:sz w:val="26"/>
          <w:szCs w:val="26"/>
        </w:rPr>
        <w:t xml:space="preserve"> suppliers or customers that receive a subsidy. </w:t>
      </w:r>
    </w:p>
    <w:p w14:paraId="279DA61C" w14:textId="18788AA9" w:rsidR="001A38BB" w:rsidRPr="001B7BE4" w:rsidRDefault="001B11D1" w:rsidP="00030EA4">
      <w:pPr>
        <w:spacing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  <w:u w:val="single"/>
        </w:rPr>
        <w:t>Slide 24-26</w:t>
      </w:r>
      <w:r w:rsidR="0008639B" w:rsidRPr="001B7BE4">
        <w:rPr>
          <w:rFonts w:ascii="Arial" w:eastAsia="Times New Roman" w:hAnsi="Arial" w:cs="Arial"/>
          <w:sz w:val="26"/>
          <w:szCs w:val="26"/>
        </w:rPr>
        <w:t>:</w:t>
      </w:r>
      <w:r w:rsidR="00F87D48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1A38BB" w:rsidRPr="001B7BE4">
        <w:rPr>
          <w:rFonts w:ascii="Arial" w:eastAsia="Times New Roman" w:hAnsi="Arial" w:cs="Arial"/>
          <w:sz w:val="26"/>
          <w:szCs w:val="26"/>
        </w:rPr>
        <w:t>There are three main results</w:t>
      </w:r>
      <w:r w:rsidR="003F345C" w:rsidRPr="001B7BE4">
        <w:rPr>
          <w:rFonts w:ascii="Arial" w:eastAsia="Times New Roman" w:hAnsi="Arial" w:cs="Arial"/>
          <w:sz w:val="26"/>
          <w:szCs w:val="26"/>
        </w:rPr>
        <w:t xml:space="preserve"> this amended regression</w:t>
      </w:r>
      <w:r w:rsidR="001A38BB" w:rsidRPr="001B7BE4">
        <w:rPr>
          <w:rFonts w:ascii="Arial" w:eastAsia="Times New Roman" w:hAnsi="Arial" w:cs="Arial"/>
          <w:sz w:val="26"/>
          <w:szCs w:val="26"/>
        </w:rPr>
        <w:t xml:space="preserve">. First, inclusion of these extra terms does not alter our main estimate of the direct impact </w:t>
      </w:r>
      <w:r w:rsidR="00A54448" w:rsidRPr="001B7BE4">
        <w:rPr>
          <w:rFonts w:ascii="Arial" w:eastAsia="Times New Roman" w:hAnsi="Arial" w:cs="Arial"/>
          <w:sz w:val="26"/>
          <w:szCs w:val="26"/>
        </w:rPr>
        <w:t>of s</w:t>
      </w:r>
      <w:r w:rsidR="00134243" w:rsidRPr="001B7BE4">
        <w:rPr>
          <w:rFonts w:ascii="Arial" w:eastAsia="Times New Roman" w:hAnsi="Arial" w:cs="Arial"/>
          <w:sz w:val="26"/>
          <w:szCs w:val="26"/>
        </w:rPr>
        <w:t>ubsidies</w:t>
      </w:r>
      <w:r w:rsidR="00A54448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1A38BB" w:rsidRPr="001B7BE4">
        <w:rPr>
          <w:rFonts w:ascii="Arial" w:eastAsia="Times New Roman" w:hAnsi="Arial" w:cs="Arial"/>
          <w:sz w:val="26"/>
          <w:szCs w:val="26"/>
        </w:rPr>
        <w:t>on TFP. Second, having subsidized customers and suppliers leads to higher revenues.</w:t>
      </w:r>
      <w:r w:rsidR="00DD2524" w:rsidRPr="001B7BE4">
        <w:rPr>
          <w:rFonts w:ascii="Arial" w:eastAsia="Times New Roman" w:hAnsi="Arial" w:cs="Arial"/>
          <w:sz w:val="26"/>
          <w:szCs w:val="26"/>
        </w:rPr>
        <w:t xml:space="preserve"> Third,</w:t>
      </w:r>
      <w:r w:rsidR="001A38BB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DD2524" w:rsidRPr="001B7BE4">
        <w:rPr>
          <w:rFonts w:ascii="Arial" w:eastAsia="Times New Roman" w:hAnsi="Arial" w:cs="Arial"/>
          <w:sz w:val="26"/>
          <w:szCs w:val="26"/>
        </w:rPr>
        <w:t>o</w:t>
      </w:r>
      <w:r w:rsidR="001A38BB" w:rsidRPr="001B7BE4">
        <w:rPr>
          <w:rFonts w:ascii="Arial" w:eastAsia="Times New Roman" w:hAnsi="Arial" w:cs="Arial"/>
          <w:sz w:val="26"/>
          <w:szCs w:val="26"/>
        </w:rPr>
        <w:t>n th</w:t>
      </w:r>
      <w:r w:rsidR="00134243" w:rsidRPr="001B7BE4">
        <w:rPr>
          <w:rFonts w:ascii="Arial" w:eastAsia="Times New Roman" w:hAnsi="Arial" w:cs="Arial"/>
          <w:sz w:val="26"/>
          <w:szCs w:val="26"/>
        </w:rPr>
        <w:t xml:space="preserve">e other hand, the evidence for </w:t>
      </w:r>
      <w:r w:rsidR="001A38BB" w:rsidRPr="001B7BE4">
        <w:rPr>
          <w:rFonts w:ascii="Arial" w:eastAsia="Times New Roman" w:hAnsi="Arial" w:cs="Arial"/>
          <w:sz w:val="26"/>
          <w:szCs w:val="26"/>
        </w:rPr>
        <w:t>spillovers</w:t>
      </w:r>
      <w:r w:rsidR="00134243" w:rsidRPr="001B7BE4">
        <w:rPr>
          <w:rFonts w:ascii="Arial" w:eastAsia="Times New Roman" w:hAnsi="Arial" w:cs="Arial"/>
          <w:sz w:val="26"/>
          <w:szCs w:val="26"/>
        </w:rPr>
        <w:t xml:space="preserve"> onto TFP</w:t>
      </w:r>
      <w:r w:rsidR="001A38BB" w:rsidRPr="001B7BE4">
        <w:rPr>
          <w:rFonts w:ascii="Arial" w:eastAsia="Times New Roman" w:hAnsi="Arial" w:cs="Arial"/>
          <w:sz w:val="26"/>
          <w:szCs w:val="26"/>
        </w:rPr>
        <w:t xml:space="preserve"> is more mixed and muted. </w:t>
      </w:r>
    </w:p>
    <w:p w14:paraId="02BDE9AE" w14:textId="0C6756E7" w:rsidR="0008639B" w:rsidRPr="001B7BE4" w:rsidRDefault="001B11D1" w:rsidP="00030EA4">
      <w:pPr>
        <w:spacing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  <w:u w:val="single"/>
        </w:rPr>
        <w:t>Slide 27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: In the final part of the presentation, we’ll assess the impact of the subsidy </w:t>
      </w:r>
      <w:r w:rsidR="00116347" w:rsidRPr="001B7BE4">
        <w:rPr>
          <w:rFonts w:ascii="Arial" w:eastAsia="Times New Roman" w:hAnsi="Arial" w:cs="Arial"/>
          <w:sz w:val="26"/>
          <w:szCs w:val="26"/>
        </w:rPr>
        <w:t>policy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on regi</w:t>
      </w:r>
      <w:r w:rsidR="00D61BC7" w:rsidRPr="001B7BE4">
        <w:rPr>
          <w:rFonts w:ascii="Arial" w:eastAsia="Times New Roman" w:hAnsi="Arial" w:cs="Arial"/>
          <w:sz w:val="26"/>
          <w:szCs w:val="26"/>
        </w:rPr>
        <w:t xml:space="preserve">onal inequality. </w:t>
      </w:r>
      <w:r w:rsidR="00A54448" w:rsidRPr="001B7BE4">
        <w:rPr>
          <w:rFonts w:ascii="Arial" w:eastAsia="Times New Roman" w:hAnsi="Arial" w:cs="Arial"/>
          <w:sz w:val="26"/>
          <w:szCs w:val="26"/>
        </w:rPr>
        <w:t xml:space="preserve">We apply a </w:t>
      </w:r>
      <w:r w:rsidR="0008639B" w:rsidRPr="001B7BE4">
        <w:rPr>
          <w:rFonts w:ascii="Arial" w:eastAsia="Times New Roman" w:hAnsi="Arial" w:cs="Arial"/>
          <w:sz w:val="26"/>
          <w:szCs w:val="26"/>
        </w:rPr>
        <w:t>dynamic general equilibrium model</w:t>
      </w:r>
      <w:r w:rsidR="004E1770" w:rsidRPr="001B7BE4">
        <w:rPr>
          <w:rFonts w:ascii="Arial" w:eastAsia="Times New Roman" w:hAnsi="Arial" w:cs="Arial"/>
          <w:sz w:val="26"/>
          <w:szCs w:val="26"/>
        </w:rPr>
        <w:t xml:space="preserve">, due to Caliendo, </w:t>
      </w:r>
      <w:proofErr w:type="spellStart"/>
      <w:r w:rsidR="004E1770" w:rsidRPr="001B7BE4">
        <w:rPr>
          <w:rFonts w:ascii="Arial" w:eastAsia="Times New Roman" w:hAnsi="Arial" w:cs="Arial"/>
          <w:sz w:val="26"/>
          <w:szCs w:val="26"/>
        </w:rPr>
        <w:t>Dvorkin</w:t>
      </w:r>
      <w:proofErr w:type="spellEnd"/>
      <w:r w:rsidR="004E1770" w:rsidRPr="001B7BE4">
        <w:rPr>
          <w:rFonts w:ascii="Arial" w:eastAsia="Times New Roman" w:hAnsi="Arial" w:cs="Arial"/>
          <w:sz w:val="26"/>
          <w:szCs w:val="26"/>
        </w:rPr>
        <w:t xml:space="preserve">, and </w:t>
      </w:r>
      <w:proofErr w:type="spellStart"/>
      <w:r w:rsidR="004E1770" w:rsidRPr="001B7BE4">
        <w:rPr>
          <w:rFonts w:ascii="Arial" w:eastAsia="Times New Roman" w:hAnsi="Arial" w:cs="Arial"/>
          <w:sz w:val="26"/>
          <w:szCs w:val="26"/>
        </w:rPr>
        <w:t>Parro’s</w:t>
      </w:r>
      <w:proofErr w:type="spellEnd"/>
      <w:r w:rsidR="004E1770" w:rsidRPr="001B7BE4">
        <w:rPr>
          <w:rFonts w:ascii="Arial" w:eastAsia="Times New Roman" w:hAnsi="Arial" w:cs="Arial"/>
          <w:sz w:val="26"/>
          <w:szCs w:val="26"/>
        </w:rPr>
        <w:t xml:space="preserve"> 2019 paper</w:t>
      </w:r>
      <w:r w:rsidR="00A54448" w:rsidRPr="001B7BE4">
        <w:rPr>
          <w:rFonts w:ascii="Arial" w:eastAsia="Times New Roman" w:hAnsi="Arial" w:cs="Arial"/>
          <w:sz w:val="26"/>
          <w:szCs w:val="26"/>
        </w:rPr>
        <w:t xml:space="preserve">. This model, helpfully, permits consideration of 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many of the channels through which a subsidy to firms in one industry and province can dissipate or propagate to other parts of the economy. </w:t>
      </w:r>
    </w:p>
    <w:p w14:paraId="4B2BB95C" w14:textId="77777777" w:rsidR="00292723" w:rsidRPr="001B7BE4" w:rsidRDefault="001B11D1" w:rsidP="00030EA4">
      <w:pPr>
        <w:spacing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  <w:u w:val="single"/>
        </w:rPr>
        <w:t>Slide 28</w:t>
      </w:r>
      <w:r w:rsidR="0008639B" w:rsidRPr="001B7BE4">
        <w:rPr>
          <w:rFonts w:ascii="Arial" w:eastAsia="Times New Roman" w:hAnsi="Arial" w:cs="Arial"/>
          <w:sz w:val="26"/>
          <w:szCs w:val="26"/>
        </w:rPr>
        <w:t>: In this slide and the next, I’ll describe the m</w:t>
      </w:r>
      <w:r w:rsidR="00C27CD5" w:rsidRPr="001B7BE4">
        <w:rPr>
          <w:rFonts w:ascii="Arial" w:eastAsia="Times New Roman" w:hAnsi="Arial" w:cs="Arial"/>
          <w:sz w:val="26"/>
          <w:szCs w:val="26"/>
        </w:rPr>
        <w:t>odel to you in words. Within each industry and region there are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households</w:t>
      </w:r>
      <w:r w:rsidR="00C27CD5" w:rsidRPr="001B7BE4">
        <w:rPr>
          <w:rFonts w:ascii="Arial" w:eastAsia="Times New Roman" w:hAnsi="Arial" w:cs="Arial"/>
          <w:sz w:val="26"/>
          <w:szCs w:val="26"/>
        </w:rPr>
        <w:t xml:space="preserve"> who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C27CD5" w:rsidRPr="001B7BE4">
        <w:rPr>
          <w:rFonts w:ascii="Arial" w:eastAsia="Times New Roman" w:hAnsi="Arial" w:cs="Arial"/>
          <w:sz w:val="26"/>
          <w:szCs w:val="26"/>
        </w:rPr>
        <w:t>supply their labor and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consume in proportion to their labor income</w:t>
      </w:r>
      <w:r w:rsidR="00673481" w:rsidRPr="001B7BE4">
        <w:rPr>
          <w:rFonts w:ascii="Arial" w:eastAsia="Times New Roman" w:hAnsi="Arial" w:cs="Arial"/>
          <w:sz w:val="26"/>
          <w:szCs w:val="26"/>
        </w:rPr>
        <w:t>; they may also be no</w:t>
      </w:r>
      <w:r w:rsidR="003F345C" w:rsidRPr="001B7BE4">
        <w:rPr>
          <w:rFonts w:ascii="Arial" w:eastAsia="Times New Roman" w:hAnsi="Arial" w:cs="Arial"/>
          <w:sz w:val="26"/>
          <w:szCs w:val="26"/>
        </w:rPr>
        <w:t xml:space="preserve">t </w:t>
      </w:r>
      <w:r w:rsidR="00673481" w:rsidRPr="001B7BE4">
        <w:rPr>
          <w:rFonts w:ascii="Arial" w:eastAsia="Times New Roman" w:hAnsi="Arial" w:cs="Arial"/>
          <w:sz w:val="26"/>
          <w:szCs w:val="26"/>
        </w:rPr>
        <w:t>employed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. Each period they face a dynamic migration decision, deciding whether to switch to another industry or </w:t>
      </w:r>
      <w:r w:rsidR="00A54448" w:rsidRPr="001B7BE4">
        <w:rPr>
          <w:rFonts w:ascii="Arial" w:eastAsia="Times New Roman" w:hAnsi="Arial" w:cs="Arial"/>
          <w:sz w:val="26"/>
          <w:szCs w:val="26"/>
        </w:rPr>
        <w:t>region</w:t>
      </w:r>
      <w:r w:rsidR="0008639B" w:rsidRPr="001B7BE4">
        <w:rPr>
          <w:rFonts w:ascii="Arial" w:eastAsia="Times New Roman" w:hAnsi="Arial" w:cs="Arial"/>
          <w:sz w:val="26"/>
          <w:szCs w:val="26"/>
        </w:rPr>
        <w:t>, fully anticipating the paths of real wages in the future, and subject to a utility cost of switching.</w:t>
      </w:r>
    </w:p>
    <w:p w14:paraId="4ABA75E0" w14:textId="6772D855" w:rsidR="0008639B" w:rsidRPr="001B7BE4" w:rsidRDefault="00012AB2" w:rsidP="00030EA4">
      <w:pPr>
        <w:spacing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</w:rPr>
        <w:t>We include landlords in the model to allow for the possibility of</w:t>
      </w:r>
      <w:r w:rsidR="00256EAF" w:rsidRPr="001B7BE4">
        <w:rPr>
          <w:rFonts w:ascii="Arial" w:eastAsia="Times New Roman" w:hAnsi="Arial" w:cs="Arial"/>
          <w:sz w:val="26"/>
          <w:szCs w:val="26"/>
        </w:rPr>
        <w:t xml:space="preserve"> inter-regional</w:t>
      </w:r>
      <w:r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256EAF" w:rsidRPr="001B7BE4">
        <w:rPr>
          <w:rFonts w:ascii="Arial" w:eastAsia="Times New Roman" w:hAnsi="Arial" w:cs="Arial"/>
          <w:sz w:val="26"/>
          <w:szCs w:val="26"/>
        </w:rPr>
        <w:t xml:space="preserve">spillovers through land rental income, but this turns out not to matter quantitatively. </w:t>
      </w:r>
    </w:p>
    <w:p w14:paraId="6E48FF05" w14:textId="057ECA86" w:rsidR="0008639B" w:rsidRPr="001B7BE4" w:rsidRDefault="001B11D1" w:rsidP="00030EA4">
      <w:pPr>
        <w:spacing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  <w:u w:val="single"/>
        </w:rPr>
        <w:t>Slide 29</w:t>
      </w:r>
      <w:r w:rsidR="0008639B" w:rsidRPr="001B7BE4">
        <w:rPr>
          <w:rFonts w:ascii="Arial" w:eastAsia="Times New Roman" w:hAnsi="Arial" w:cs="Arial"/>
          <w:sz w:val="26"/>
          <w:szCs w:val="26"/>
        </w:rPr>
        <w:t>: On the firm side, within each industry and subsidy region, we have</w:t>
      </w:r>
      <w:r w:rsidR="003F345C" w:rsidRPr="001B7BE4">
        <w:rPr>
          <w:rFonts w:ascii="Arial" w:eastAsia="Times New Roman" w:hAnsi="Arial" w:cs="Arial"/>
          <w:sz w:val="26"/>
          <w:szCs w:val="26"/>
        </w:rPr>
        <w:t xml:space="preserve"> intermediate goods firms, tha</w:t>
      </w:r>
      <w:r w:rsidR="00745F5A" w:rsidRPr="001B7BE4">
        <w:rPr>
          <w:rFonts w:ascii="Arial" w:eastAsia="Times New Roman" w:hAnsi="Arial" w:cs="Arial"/>
          <w:sz w:val="26"/>
          <w:szCs w:val="26"/>
        </w:rPr>
        <w:t>t</w:t>
      </w:r>
      <w:r w:rsidR="00782ED8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4D4834" w:rsidRPr="001B7BE4">
        <w:rPr>
          <w:rFonts w:ascii="Arial" w:eastAsia="Times New Roman" w:hAnsi="Arial" w:cs="Arial"/>
          <w:sz w:val="26"/>
          <w:szCs w:val="26"/>
        </w:rPr>
        <w:t>hire labor, rent land</w:t>
      </w:r>
      <w:r w:rsidR="0008639B" w:rsidRPr="001B7BE4">
        <w:rPr>
          <w:rFonts w:ascii="Arial" w:eastAsia="Times New Roman" w:hAnsi="Arial" w:cs="Arial"/>
          <w:sz w:val="26"/>
          <w:szCs w:val="26"/>
        </w:rPr>
        <w:t>, an</w:t>
      </w:r>
      <w:r w:rsidR="00782ED8" w:rsidRPr="001B7BE4">
        <w:rPr>
          <w:rFonts w:ascii="Arial" w:eastAsia="Times New Roman" w:hAnsi="Arial" w:cs="Arial"/>
          <w:sz w:val="26"/>
          <w:szCs w:val="26"/>
        </w:rPr>
        <w:t>d purchase material inputs</w:t>
      </w:r>
      <w:r w:rsidR="0008639B" w:rsidRPr="001B7BE4">
        <w:rPr>
          <w:rFonts w:ascii="Arial" w:eastAsia="Times New Roman" w:hAnsi="Arial" w:cs="Arial"/>
          <w:sz w:val="26"/>
          <w:szCs w:val="26"/>
        </w:rPr>
        <w:t>. They have time-va</w:t>
      </w:r>
      <w:r w:rsidR="00A54448" w:rsidRPr="001B7BE4">
        <w:rPr>
          <w:rFonts w:ascii="Arial" w:eastAsia="Times New Roman" w:hAnsi="Arial" w:cs="Arial"/>
          <w:sz w:val="26"/>
          <w:szCs w:val="26"/>
        </w:rPr>
        <w:t>rying total factor productivity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. The way that we’re thinking of the </w:t>
      </w:r>
      <w:r w:rsidR="003036FA" w:rsidRPr="001B7BE4">
        <w:rPr>
          <w:rFonts w:ascii="Arial" w:eastAsia="Times New Roman" w:hAnsi="Arial" w:cs="Arial"/>
          <w:sz w:val="26"/>
          <w:szCs w:val="26"/>
        </w:rPr>
        <w:t xml:space="preserve">impact of the subsidies is </w:t>
      </w:r>
      <w:r w:rsidR="0008639B" w:rsidRPr="001B7BE4">
        <w:rPr>
          <w:rFonts w:ascii="Arial" w:eastAsia="Times New Roman" w:hAnsi="Arial" w:cs="Arial"/>
          <w:sz w:val="26"/>
          <w:szCs w:val="26"/>
        </w:rPr>
        <w:t>that they mechanically shift down marg</w:t>
      </w:r>
      <w:r w:rsidR="00A54448" w:rsidRPr="001B7BE4">
        <w:rPr>
          <w:rFonts w:ascii="Arial" w:eastAsia="Times New Roman" w:hAnsi="Arial" w:cs="Arial"/>
          <w:sz w:val="26"/>
          <w:szCs w:val="26"/>
        </w:rPr>
        <w:t xml:space="preserve">inal costs – or, equivalently, 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shift up TFP – more </w:t>
      </w:r>
      <w:r w:rsidR="0008639B" w:rsidRPr="001B7BE4">
        <w:rPr>
          <w:rFonts w:ascii="Arial" w:eastAsia="Times New Roman" w:hAnsi="Arial" w:cs="Arial"/>
          <w:sz w:val="26"/>
          <w:szCs w:val="26"/>
        </w:rPr>
        <w:lastRenderedPageBreak/>
        <w:t>so in region-industry pairs where firms received generous subsidies. These firms sell their output to final goods producers who bundle the intermediate goods. The share of varieties sourced from a given region depe</w:t>
      </w:r>
      <w:r w:rsidR="00A54448" w:rsidRPr="001B7BE4">
        <w:rPr>
          <w:rFonts w:ascii="Arial" w:eastAsia="Times New Roman" w:hAnsi="Arial" w:cs="Arial"/>
          <w:sz w:val="26"/>
          <w:szCs w:val="26"/>
        </w:rPr>
        <w:t>nds on suppliers’ marginal cost and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iceberg trade costs</w:t>
      </w:r>
      <w:r w:rsidR="00673481" w:rsidRPr="001B7BE4">
        <w:rPr>
          <w:rFonts w:ascii="Arial" w:eastAsia="Times New Roman" w:hAnsi="Arial" w:cs="Arial"/>
          <w:sz w:val="26"/>
          <w:szCs w:val="26"/>
        </w:rPr>
        <w:t xml:space="preserve"> across space.</w:t>
      </w:r>
    </w:p>
    <w:p w14:paraId="016C6233" w14:textId="2478EB42" w:rsidR="0008639B" w:rsidRPr="001B7BE4" w:rsidRDefault="001B11D1" w:rsidP="00030EA4">
      <w:pPr>
        <w:spacing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  <w:u w:val="single"/>
        </w:rPr>
        <w:t>Slide 30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: There are three key spatial spillovers in this model. </w:t>
      </w:r>
      <w:r w:rsidR="008D5792" w:rsidRPr="001B7BE4">
        <w:rPr>
          <w:rFonts w:ascii="Arial" w:eastAsia="Times New Roman" w:hAnsi="Arial" w:cs="Arial"/>
          <w:sz w:val="26"/>
          <w:szCs w:val="26"/>
        </w:rPr>
        <w:t xml:space="preserve">First due to 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input-output linkages, the customers of subsidized firms enjoy lower material input prices and the suppliers of subsidized firms have greater demand for their products. Second, there is migration across regions. </w:t>
      </w:r>
      <w:r w:rsidR="005B5A08" w:rsidRPr="001B7BE4">
        <w:rPr>
          <w:rFonts w:ascii="Arial" w:eastAsia="Times New Roman" w:hAnsi="Arial" w:cs="Arial"/>
          <w:sz w:val="26"/>
          <w:szCs w:val="26"/>
        </w:rPr>
        <w:t>The subsidy scheme (relative to a world without the po</w:t>
      </w:r>
      <w:r w:rsidR="00673481" w:rsidRPr="001B7BE4">
        <w:rPr>
          <w:rFonts w:ascii="Arial" w:eastAsia="Times New Roman" w:hAnsi="Arial" w:cs="Arial"/>
          <w:sz w:val="26"/>
          <w:szCs w:val="26"/>
        </w:rPr>
        <w:t>licy) will slow net migration out of</w:t>
      </w:r>
      <w:r w:rsidR="005B5A08" w:rsidRPr="001B7BE4">
        <w:rPr>
          <w:rFonts w:ascii="Arial" w:eastAsia="Times New Roman" w:hAnsi="Arial" w:cs="Arial"/>
          <w:sz w:val="26"/>
          <w:szCs w:val="26"/>
        </w:rPr>
        <w:t xml:space="preserve"> Region</w:t>
      </w:r>
      <w:r w:rsidR="00A54448" w:rsidRPr="001B7BE4">
        <w:rPr>
          <w:rFonts w:ascii="Arial" w:eastAsia="Times New Roman" w:hAnsi="Arial" w:cs="Arial"/>
          <w:sz w:val="26"/>
          <w:szCs w:val="26"/>
        </w:rPr>
        <w:t>s 5 and</w:t>
      </w:r>
      <w:r w:rsidR="005B5A08" w:rsidRPr="001B7BE4">
        <w:rPr>
          <w:rFonts w:ascii="Arial" w:eastAsia="Times New Roman" w:hAnsi="Arial" w:cs="Arial"/>
          <w:sz w:val="26"/>
          <w:szCs w:val="26"/>
        </w:rPr>
        <w:t xml:space="preserve"> 6, </w:t>
      </w:r>
      <w:r w:rsidR="0008639B" w:rsidRPr="001B7BE4">
        <w:rPr>
          <w:rFonts w:ascii="Arial" w:eastAsia="Times New Roman" w:hAnsi="Arial" w:cs="Arial"/>
          <w:sz w:val="26"/>
          <w:szCs w:val="26"/>
        </w:rPr>
        <w:t>depressing (in the long run) real wages in those labor markets</w:t>
      </w:r>
      <w:r w:rsidR="005B5A08" w:rsidRPr="001B7BE4">
        <w:rPr>
          <w:rFonts w:ascii="Arial" w:eastAsia="Times New Roman" w:hAnsi="Arial" w:cs="Arial"/>
          <w:sz w:val="26"/>
          <w:szCs w:val="26"/>
        </w:rPr>
        <w:t xml:space="preserve"> relative to a no-policy counterfactual</w:t>
      </w:r>
      <w:r w:rsidR="0008639B" w:rsidRPr="001B7BE4">
        <w:rPr>
          <w:rFonts w:ascii="Arial" w:eastAsia="Times New Roman" w:hAnsi="Arial" w:cs="Arial"/>
          <w:sz w:val="26"/>
          <w:szCs w:val="26"/>
        </w:rPr>
        <w:t>.</w:t>
      </w:r>
      <w:r w:rsidR="005B5A08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08639B" w:rsidRPr="001B7BE4">
        <w:rPr>
          <w:rFonts w:ascii="Arial" w:eastAsia="Times New Roman" w:hAnsi="Arial" w:cs="Arial"/>
          <w:sz w:val="26"/>
          <w:szCs w:val="26"/>
        </w:rPr>
        <w:t>Finally, in this model, landlords own structures in areas other than where they live. Subsidies in one region lead to higher</w:t>
      </w:r>
      <w:r w:rsidR="00745F5A" w:rsidRPr="001B7BE4">
        <w:rPr>
          <w:rFonts w:ascii="Arial" w:eastAsia="Times New Roman" w:hAnsi="Arial" w:cs="Arial"/>
          <w:sz w:val="26"/>
          <w:szCs w:val="26"/>
        </w:rPr>
        <w:t xml:space="preserve"> land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rental prices there, but these increased rents may lead to higher consumption in other</w:t>
      </w:r>
      <w:r w:rsidR="003F345C" w:rsidRPr="001B7BE4">
        <w:rPr>
          <w:rFonts w:ascii="Arial" w:eastAsia="Times New Roman" w:hAnsi="Arial" w:cs="Arial"/>
          <w:sz w:val="26"/>
          <w:szCs w:val="26"/>
        </w:rPr>
        <w:t>,</w:t>
      </w:r>
      <w:r w:rsidR="005E0288" w:rsidRPr="001B7BE4">
        <w:rPr>
          <w:rFonts w:ascii="Arial" w:eastAsia="Times New Roman" w:hAnsi="Arial" w:cs="Arial"/>
          <w:sz w:val="26"/>
          <w:szCs w:val="26"/>
        </w:rPr>
        <w:t xml:space="preserve"> untargeted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regions. </w:t>
      </w:r>
      <w:r w:rsidR="000707D0" w:rsidRPr="001B7BE4">
        <w:rPr>
          <w:rFonts w:ascii="Arial" w:eastAsia="Times New Roman" w:hAnsi="Arial" w:cs="Arial"/>
          <w:sz w:val="26"/>
          <w:szCs w:val="26"/>
        </w:rPr>
        <w:t xml:space="preserve">Below we’ll isolate the impact of these three spillover </w:t>
      </w:r>
      <w:r w:rsidR="00673481" w:rsidRPr="001B7BE4">
        <w:rPr>
          <w:rFonts w:ascii="Arial" w:eastAsia="Times New Roman" w:hAnsi="Arial" w:cs="Arial"/>
          <w:sz w:val="26"/>
          <w:szCs w:val="26"/>
        </w:rPr>
        <w:t>channels</w:t>
      </w:r>
      <w:r w:rsidR="000707D0" w:rsidRPr="001B7BE4">
        <w:rPr>
          <w:rFonts w:ascii="Arial" w:eastAsia="Times New Roman" w:hAnsi="Arial" w:cs="Arial"/>
          <w:sz w:val="26"/>
          <w:szCs w:val="26"/>
        </w:rPr>
        <w:t>.</w:t>
      </w:r>
    </w:p>
    <w:p w14:paraId="14D2D8B4" w14:textId="4FA342DB" w:rsidR="00B3639E" w:rsidRPr="001B7BE4" w:rsidRDefault="001B11D1" w:rsidP="00030EA4">
      <w:pPr>
        <w:spacing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  <w:u w:val="single"/>
        </w:rPr>
        <w:t>Slide 31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: </w:t>
      </w:r>
      <w:r w:rsidR="00B3639E" w:rsidRPr="001B7BE4">
        <w:rPr>
          <w:rFonts w:ascii="Arial" w:eastAsia="Times New Roman" w:hAnsi="Arial" w:cs="Arial"/>
          <w:sz w:val="26"/>
          <w:szCs w:val="26"/>
        </w:rPr>
        <w:t xml:space="preserve">With this model, we’re interested in performing the following counterfactual exercise: What would the path of the economy have looked like – </w:t>
      </w:r>
      <w:r w:rsidR="00673481" w:rsidRPr="001B7BE4">
        <w:rPr>
          <w:rFonts w:ascii="Arial" w:eastAsia="Times New Roman" w:hAnsi="Arial" w:cs="Arial"/>
          <w:sz w:val="26"/>
          <w:szCs w:val="26"/>
        </w:rPr>
        <w:t>when measuring things like real wages or</w:t>
      </w:r>
      <w:r w:rsidR="00B3639E" w:rsidRPr="001B7BE4">
        <w:rPr>
          <w:rFonts w:ascii="Arial" w:eastAsia="Times New Roman" w:hAnsi="Arial" w:cs="Arial"/>
          <w:sz w:val="26"/>
          <w:szCs w:val="26"/>
        </w:rPr>
        <w:t xml:space="preserve"> labor allocations</w:t>
      </w:r>
      <w:r w:rsidR="009C42C5">
        <w:rPr>
          <w:rFonts w:ascii="Arial" w:eastAsia="Times New Roman" w:hAnsi="Arial" w:cs="Arial"/>
          <w:sz w:val="26"/>
          <w:szCs w:val="26"/>
        </w:rPr>
        <w:t>– if the policy had not been introduced</w:t>
      </w:r>
      <w:r w:rsidR="00B3639E" w:rsidRPr="001B7BE4">
        <w:rPr>
          <w:rFonts w:ascii="Arial" w:eastAsia="Times New Roman" w:hAnsi="Arial" w:cs="Arial"/>
          <w:sz w:val="26"/>
          <w:szCs w:val="26"/>
        </w:rPr>
        <w:t>? We consider an alternate economy in which the fundamental productivity</w:t>
      </w:r>
      <w:r w:rsidR="00673481" w:rsidRPr="001B7BE4">
        <w:rPr>
          <w:rFonts w:ascii="Arial" w:eastAsia="Times New Roman" w:hAnsi="Arial" w:cs="Arial"/>
          <w:sz w:val="26"/>
          <w:szCs w:val="26"/>
        </w:rPr>
        <w:t xml:space="preserve"> of intermediate goods firms</w:t>
      </w:r>
      <w:r w:rsidR="00B3639E" w:rsidRPr="001B7BE4">
        <w:rPr>
          <w:rFonts w:ascii="Arial" w:eastAsia="Times New Roman" w:hAnsi="Arial" w:cs="Arial"/>
          <w:sz w:val="26"/>
          <w:szCs w:val="26"/>
        </w:rPr>
        <w:t xml:space="preserve"> in each industry-region pair is scaled down </w:t>
      </w:r>
      <w:r w:rsidR="00A54448" w:rsidRPr="001B7BE4">
        <w:rPr>
          <w:rFonts w:ascii="Arial" w:eastAsia="Times New Roman" w:hAnsi="Arial" w:cs="Arial"/>
          <w:sz w:val="26"/>
          <w:szCs w:val="26"/>
        </w:rPr>
        <w:t xml:space="preserve">in proportion to (first) investment tax credits received </w:t>
      </w:r>
      <w:r w:rsidR="003F345C" w:rsidRPr="001B7BE4">
        <w:rPr>
          <w:rFonts w:ascii="Arial" w:eastAsia="Times New Roman" w:hAnsi="Arial" w:cs="Arial"/>
          <w:sz w:val="26"/>
          <w:szCs w:val="26"/>
        </w:rPr>
        <w:t>there</w:t>
      </w:r>
      <w:r w:rsidR="00A54448" w:rsidRPr="001B7BE4">
        <w:rPr>
          <w:rFonts w:ascii="Arial" w:eastAsia="Times New Roman" w:hAnsi="Arial" w:cs="Arial"/>
          <w:sz w:val="26"/>
          <w:szCs w:val="26"/>
        </w:rPr>
        <w:t xml:space="preserve"> and (second)</w:t>
      </w:r>
      <w:r w:rsidR="00B3639E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C93C2E" w:rsidRPr="001B7BE4">
        <w:rPr>
          <w:rFonts w:ascii="Arial" w:eastAsia="Times New Roman" w:hAnsi="Arial" w:cs="Arial"/>
          <w:sz w:val="26"/>
          <w:szCs w:val="26"/>
        </w:rPr>
        <w:t xml:space="preserve">the </w:t>
      </w:r>
      <w:r w:rsidR="00A54448" w:rsidRPr="001B7BE4">
        <w:rPr>
          <w:rFonts w:ascii="Arial" w:eastAsia="Times New Roman" w:hAnsi="Arial" w:cs="Arial"/>
          <w:sz w:val="26"/>
          <w:szCs w:val="26"/>
        </w:rPr>
        <w:t>slope of the relationship</w:t>
      </w:r>
      <w:r w:rsidR="004E1770" w:rsidRPr="001B7BE4">
        <w:rPr>
          <w:rFonts w:ascii="Arial" w:eastAsia="Times New Roman" w:hAnsi="Arial" w:cs="Arial"/>
          <w:sz w:val="26"/>
          <w:szCs w:val="26"/>
        </w:rPr>
        <w:t xml:space="preserve"> between the investment tax credit rate</w:t>
      </w:r>
      <w:r w:rsidR="003F345C" w:rsidRPr="001B7BE4">
        <w:rPr>
          <w:rFonts w:ascii="Arial" w:eastAsia="Times New Roman" w:hAnsi="Arial" w:cs="Arial"/>
          <w:sz w:val="26"/>
          <w:szCs w:val="26"/>
        </w:rPr>
        <w:t xml:space="preserve"> received</w:t>
      </w:r>
      <w:r w:rsidR="00C93C2E" w:rsidRPr="001B7BE4">
        <w:rPr>
          <w:rFonts w:ascii="Arial" w:eastAsia="Times New Roman" w:hAnsi="Arial" w:cs="Arial"/>
          <w:sz w:val="26"/>
          <w:szCs w:val="26"/>
        </w:rPr>
        <w:t xml:space="preserve"> and firm productivity</w:t>
      </w:r>
      <w:r w:rsidR="00A54448" w:rsidRPr="001B7BE4">
        <w:rPr>
          <w:rFonts w:ascii="Arial" w:eastAsia="Times New Roman" w:hAnsi="Arial" w:cs="Arial"/>
          <w:sz w:val="26"/>
          <w:szCs w:val="26"/>
        </w:rPr>
        <w:t xml:space="preserve">, </w:t>
      </w:r>
      <w:r w:rsidR="003F345C" w:rsidRPr="001B7BE4">
        <w:rPr>
          <w:rFonts w:ascii="Arial" w:eastAsia="Times New Roman" w:hAnsi="Arial" w:cs="Arial"/>
          <w:sz w:val="26"/>
          <w:szCs w:val="26"/>
        </w:rPr>
        <w:t>a relationship</w:t>
      </w:r>
      <w:r w:rsidR="00C93C2E" w:rsidRPr="001B7BE4">
        <w:rPr>
          <w:rFonts w:ascii="Arial" w:eastAsia="Times New Roman" w:hAnsi="Arial" w:cs="Arial"/>
          <w:sz w:val="26"/>
          <w:szCs w:val="26"/>
        </w:rPr>
        <w:t xml:space="preserve"> we</w:t>
      </w:r>
      <w:r w:rsidR="00A54448" w:rsidRPr="001B7BE4">
        <w:rPr>
          <w:rFonts w:ascii="Arial" w:eastAsia="Times New Roman" w:hAnsi="Arial" w:cs="Arial"/>
          <w:sz w:val="26"/>
          <w:szCs w:val="26"/>
        </w:rPr>
        <w:t xml:space="preserve"> had</w:t>
      </w:r>
      <w:r w:rsidR="00970670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C93C2E" w:rsidRPr="001B7BE4">
        <w:rPr>
          <w:rFonts w:ascii="Arial" w:eastAsia="Times New Roman" w:hAnsi="Arial" w:cs="Arial"/>
          <w:sz w:val="26"/>
          <w:szCs w:val="26"/>
        </w:rPr>
        <w:t xml:space="preserve">estimated </w:t>
      </w:r>
      <w:r w:rsidR="00A54448" w:rsidRPr="001B7BE4">
        <w:rPr>
          <w:rFonts w:ascii="Arial" w:eastAsia="Times New Roman" w:hAnsi="Arial" w:cs="Arial"/>
          <w:sz w:val="26"/>
          <w:szCs w:val="26"/>
        </w:rPr>
        <w:t>in the previous part of the talk</w:t>
      </w:r>
      <w:r w:rsidR="00A54448" w:rsidRPr="001B7BE4">
        <w:rPr>
          <w:rFonts w:ascii="Arial" w:eastAsia="Times New Roman" w:hAnsi="Arial" w:cs="Arial"/>
          <w:sz w:val="26"/>
          <w:szCs w:val="26"/>
        </w:rPr>
        <w:t>.</w:t>
      </w:r>
    </w:p>
    <w:p w14:paraId="3F7EABEF" w14:textId="604334D0" w:rsidR="0008639B" w:rsidRPr="001B7BE4" w:rsidRDefault="0008639B" w:rsidP="00030EA4">
      <w:pPr>
        <w:spacing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</w:rPr>
        <w:t xml:space="preserve">Here is the impact of the </w:t>
      </w:r>
      <w:r w:rsidR="00116347" w:rsidRPr="001B7BE4">
        <w:rPr>
          <w:rFonts w:ascii="Arial" w:eastAsia="Times New Roman" w:hAnsi="Arial" w:cs="Arial"/>
          <w:sz w:val="26"/>
          <w:szCs w:val="26"/>
        </w:rPr>
        <w:t>policy</w:t>
      </w:r>
      <w:r w:rsidR="00C27CD5" w:rsidRPr="001B7BE4">
        <w:rPr>
          <w:rFonts w:ascii="Arial" w:eastAsia="Times New Roman" w:hAnsi="Arial" w:cs="Arial"/>
          <w:sz w:val="26"/>
          <w:szCs w:val="26"/>
        </w:rPr>
        <w:t xml:space="preserve"> on real wages</w:t>
      </w:r>
      <w:r w:rsidR="00EE3AFB" w:rsidRPr="001B7BE4">
        <w:rPr>
          <w:rFonts w:ascii="Arial" w:eastAsia="Times New Roman" w:hAnsi="Arial" w:cs="Arial"/>
          <w:sz w:val="26"/>
          <w:szCs w:val="26"/>
        </w:rPr>
        <w:t xml:space="preserve">. Five years into the </w:t>
      </w:r>
      <w:r w:rsidR="00850BF9" w:rsidRPr="001B7BE4">
        <w:rPr>
          <w:rFonts w:ascii="Arial" w:eastAsia="Times New Roman" w:hAnsi="Arial" w:cs="Arial"/>
          <w:sz w:val="26"/>
          <w:szCs w:val="26"/>
        </w:rPr>
        <w:t xml:space="preserve">program, the </w:t>
      </w:r>
      <w:r w:rsidR="00116347" w:rsidRPr="001B7BE4">
        <w:rPr>
          <w:rFonts w:ascii="Arial" w:eastAsia="Times New Roman" w:hAnsi="Arial" w:cs="Arial"/>
          <w:sz w:val="26"/>
          <w:szCs w:val="26"/>
        </w:rPr>
        <w:t>policy</w:t>
      </w:r>
      <w:r w:rsidR="00850BF9" w:rsidRPr="001B7BE4">
        <w:rPr>
          <w:rFonts w:ascii="Arial" w:eastAsia="Times New Roman" w:hAnsi="Arial" w:cs="Arial"/>
          <w:sz w:val="26"/>
          <w:szCs w:val="26"/>
        </w:rPr>
        <w:t xml:space="preserve"> led to a 1.6 percent increas</w:t>
      </w:r>
      <w:r w:rsidR="00071AC8" w:rsidRPr="001B7BE4">
        <w:rPr>
          <w:rFonts w:ascii="Arial" w:eastAsia="Times New Roman" w:hAnsi="Arial" w:cs="Arial"/>
          <w:sz w:val="26"/>
          <w:szCs w:val="26"/>
        </w:rPr>
        <w:t>e in Region 6</w:t>
      </w:r>
      <w:r w:rsidR="005A20AC" w:rsidRPr="001B7BE4">
        <w:rPr>
          <w:rFonts w:ascii="Arial" w:eastAsia="Times New Roman" w:hAnsi="Arial" w:cs="Arial"/>
          <w:sz w:val="26"/>
          <w:szCs w:val="26"/>
        </w:rPr>
        <w:t xml:space="preserve"> real wages</w:t>
      </w:r>
      <w:r w:rsidR="00782ED8" w:rsidRPr="001B7BE4">
        <w:rPr>
          <w:rFonts w:ascii="Arial" w:eastAsia="Times New Roman" w:hAnsi="Arial" w:cs="Arial"/>
          <w:sz w:val="26"/>
          <w:szCs w:val="26"/>
        </w:rPr>
        <w:t>,</w:t>
      </w:r>
      <w:r w:rsidR="00071AC8" w:rsidRPr="001B7BE4">
        <w:rPr>
          <w:rFonts w:ascii="Arial" w:eastAsia="Times New Roman" w:hAnsi="Arial" w:cs="Arial"/>
          <w:sz w:val="26"/>
          <w:szCs w:val="26"/>
        </w:rPr>
        <w:t xml:space="preserve"> compared to 1.1. percent in Region 1</w:t>
      </w:r>
      <w:r w:rsidR="003F345C" w:rsidRPr="001B7BE4">
        <w:rPr>
          <w:rFonts w:ascii="Arial" w:eastAsia="Times New Roman" w:hAnsi="Arial" w:cs="Arial"/>
          <w:sz w:val="26"/>
          <w:szCs w:val="26"/>
        </w:rPr>
        <w:t>; so real wage inequality falls by half a percentage point</w:t>
      </w:r>
      <w:r w:rsidR="006B6433" w:rsidRPr="001B7BE4">
        <w:rPr>
          <w:rFonts w:ascii="Arial" w:eastAsia="Times New Roman" w:hAnsi="Arial" w:cs="Arial"/>
          <w:sz w:val="26"/>
          <w:szCs w:val="26"/>
        </w:rPr>
        <w:t>. Over time</w:t>
      </w:r>
      <w:r w:rsidR="00850BF9" w:rsidRPr="001B7BE4">
        <w:rPr>
          <w:rFonts w:ascii="Arial" w:eastAsia="Times New Roman" w:hAnsi="Arial" w:cs="Arial"/>
          <w:sz w:val="26"/>
          <w:szCs w:val="26"/>
        </w:rPr>
        <w:t xml:space="preserve">, the impact of the </w:t>
      </w:r>
      <w:r w:rsidR="00116347" w:rsidRPr="001B7BE4">
        <w:rPr>
          <w:rFonts w:ascii="Arial" w:eastAsia="Times New Roman" w:hAnsi="Arial" w:cs="Arial"/>
          <w:sz w:val="26"/>
          <w:szCs w:val="26"/>
        </w:rPr>
        <w:t>policy</w:t>
      </w:r>
      <w:r w:rsidR="00850BF9" w:rsidRPr="001B7BE4">
        <w:rPr>
          <w:rFonts w:ascii="Arial" w:eastAsia="Times New Roman" w:hAnsi="Arial" w:cs="Arial"/>
          <w:sz w:val="26"/>
          <w:szCs w:val="26"/>
        </w:rPr>
        <w:t xml:space="preserve"> on Re</w:t>
      </w:r>
      <w:r w:rsidR="00071AC8" w:rsidRPr="001B7BE4">
        <w:rPr>
          <w:rFonts w:ascii="Arial" w:eastAsia="Times New Roman" w:hAnsi="Arial" w:cs="Arial"/>
          <w:sz w:val="26"/>
          <w:szCs w:val="26"/>
        </w:rPr>
        <w:t>gion 6 vs. Region 1 inequality diminishes</w:t>
      </w:r>
      <w:r w:rsidR="00850BF9" w:rsidRPr="001B7BE4">
        <w:rPr>
          <w:rFonts w:ascii="Arial" w:eastAsia="Times New Roman" w:hAnsi="Arial" w:cs="Arial"/>
          <w:sz w:val="26"/>
          <w:szCs w:val="26"/>
        </w:rPr>
        <w:t xml:space="preserve">. </w:t>
      </w:r>
    </w:p>
    <w:p w14:paraId="7996B3EE" w14:textId="52525BEE" w:rsidR="0008639B" w:rsidRPr="001B7BE4" w:rsidRDefault="001B11D1" w:rsidP="00030EA4">
      <w:pPr>
        <w:spacing w:line="240" w:lineRule="auto"/>
        <w:jc w:val="both"/>
        <w:rPr>
          <w:rFonts w:ascii="Calibri" w:eastAsia="Times New Roman" w:hAnsi="Calibri" w:cs="Calibri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  <w:u w:val="single"/>
        </w:rPr>
        <w:t>Slide 32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: </w:t>
      </w:r>
      <w:r w:rsidR="006141B9" w:rsidRPr="001B7BE4">
        <w:rPr>
          <w:rFonts w:ascii="Arial" w:eastAsia="Times New Roman" w:hAnsi="Arial" w:cs="Arial"/>
          <w:sz w:val="26"/>
          <w:szCs w:val="26"/>
        </w:rPr>
        <w:t xml:space="preserve">To better understand the modest </w:t>
      </w:r>
      <w:r w:rsidR="00745F5A" w:rsidRPr="001B7BE4">
        <w:rPr>
          <w:rFonts w:ascii="Arial" w:eastAsia="Times New Roman" w:hAnsi="Arial" w:cs="Arial"/>
          <w:sz w:val="26"/>
          <w:szCs w:val="26"/>
        </w:rPr>
        <w:t>inequality</w:t>
      </w:r>
      <w:r w:rsidR="006141B9" w:rsidRPr="001B7BE4">
        <w:rPr>
          <w:rFonts w:ascii="Arial" w:eastAsia="Times New Roman" w:hAnsi="Arial" w:cs="Arial"/>
          <w:sz w:val="26"/>
          <w:szCs w:val="26"/>
        </w:rPr>
        <w:t xml:space="preserve"> impacts</w:t>
      </w:r>
      <w:r w:rsidR="0008639B" w:rsidRPr="001B7BE4">
        <w:rPr>
          <w:rFonts w:ascii="Arial" w:eastAsia="Times New Roman" w:hAnsi="Arial" w:cs="Arial"/>
          <w:sz w:val="26"/>
          <w:szCs w:val="26"/>
        </w:rPr>
        <w:t>, we consider three alternate calibrations of our model. In the first, the utility cost of migrat</w:t>
      </w:r>
      <w:r w:rsidR="00745F5A" w:rsidRPr="001B7BE4">
        <w:rPr>
          <w:rFonts w:ascii="Arial" w:eastAsia="Times New Roman" w:hAnsi="Arial" w:cs="Arial"/>
          <w:sz w:val="26"/>
          <w:szCs w:val="26"/>
        </w:rPr>
        <w:t>ing across subsidy regions is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infinite.</w:t>
      </w:r>
      <w:r w:rsidR="004C7D6A" w:rsidRPr="001B7BE4">
        <w:rPr>
          <w:rFonts w:ascii="Arial" w:eastAsia="Times New Roman" w:hAnsi="Arial" w:cs="Arial"/>
          <w:sz w:val="26"/>
          <w:szCs w:val="26"/>
        </w:rPr>
        <w:t xml:space="preserve"> Households can still switch industries within their same region.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In the second, we additionally restrict trade flows across the six subsidy regions.</w:t>
      </w:r>
      <w:r w:rsidR="004C7D6A" w:rsidRPr="001B7BE4">
        <w:rPr>
          <w:rFonts w:ascii="Arial" w:eastAsia="Times New Roman" w:hAnsi="Arial" w:cs="Arial"/>
          <w:sz w:val="26"/>
          <w:szCs w:val="26"/>
        </w:rPr>
        <w:t xml:space="preserve"> Again, there can be trade among industries within the same region.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In the final calibration, </w:t>
      </w:r>
      <w:r w:rsidR="005A20AC" w:rsidRPr="001B7BE4">
        <w:rPr>
          <w:rFonts w:ascii="Arial" w:eastAsia="Times New Roman" w:hAnsi="Arial" w:cs="Arial"/>
          <w:sz w:val="26"/>
          <w:szCs w:val="26"/>
        </w:rPr>
        <w:t xml:space="preserve">we impose that </w:t>
      </w:r>
      <w:r w:rsidR="0008639B" w:rsidRPr="001B7BE4">
        <w:rPr>
          <w:rFonts w:ascii="Arial" w:eastAsia="Times New Roman" w:hAnsi="Arial" w:cs="Arial"/>
          <w:sz w:val="26"/>
          <w:szCs w:val="26"/>
        </w:rPr>
        <w:t>the rental income of th</w:t>
      </w:r>
      <w:r w:rsidR="008F5812" w:rsidRPr="001B7BE4">
        <w:rPr>
          <w:rFonts w:ascii="Arial" w:eastAsia="Times New Roman" w:hAnsi="Arial" w:cs="Arial"/>
          <w:sz w:val="26"/>
          <w:szCs w:val="26"/>
        </w:rPr>
        <w:t>e landlord</w:t>
      </w:r>
      <w:r w:rsidR="00292723" w:rsidRPr="001B7BE4">
        <w:rPr>
          <w:rFonts w:ascii="Arial" w:eastAsia="Times New Roman" w:hAnsi="Arial" w:cs="Arial"/>
          <w:sz w:val="26"/>
          <w:szCs w:val="26"/>
        </w:rPr>
        <w:t xml:space="preserve">s equal </w:t>
      </w:r>
      <w:r w:rsidR="008F5812" w:rsidRPr="001B7BE4">
        <w:rPr>
          <w:rFonts w:ascii="Arial" w:eastAsia="Times New Roman" w:hAnsi="Arial" w:cs="Arial"/>
          <w:sz w:val="26"/>
          <w:szCs w:val="26"/>
        </w:rPr>
        <w:t>zero.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</w:t>
      </w:r>
    </w:p>
    <w:p w14:paraId="2581B5F0" w14:textId="040A456F" w:rsidR="0008639B" w:rsidRPr="001B7BE4" w:rsidRDefault="001B11D1" w:rsidP="00030EA4">
      <w:pPr>
        <w:spacing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  <w:u w:val="single"/>
        </w:rPr>
        <w:t>Slide 33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: </w:t>
      </w:r>
      <w:r w:rsidR="00883AFF" w:rsidRPr="001B7BE4">
        <w:rPr>
          <w:rFonts w:ascii="Arial" w:eastAsia="Times New Roman" w:hAnsi="Arial" w:cs="Arial"/>
          <w:sz w:val="26"/>
          <w:szCs w:val="26"/>
        </w:rPr>
        <w:t xml:space="preserve">Here, we depict </w:t>
      </w:r>
      <w:r w:rsidR="00932FBF">
        <w:rPr>
          <w:rFonts w:ascii="Arial" w:eastAsia="Times New Roman" w:hAnsi="Arial" w:cs="Arial"/>
          <w:sz w:val="26"/>
          <w:szCs w:val="26"/>
        </w:rPr>
        <w:t>the regional</w:t>
      </w:r>
      <w:bookmarkStart w:id="0" w:name="_GoBack"/>
      <w:bookmarkEnd w:id="0"/>
      <w:r w:rsidR="00883AFF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071AC8" w:rsidRPr="001B7BE4">
        <w:rPr>
          <w:rFonts w:ascii="Arial" w:eastAsia="Times New Roman" w:hAnsi="Arial" w:cs="Arial"/>
          <w:sz w:val="26"/>
          <w:szCs w:val="26"/>
        </w:rPr>
        <w:t xml:space="preserve">inequality </w:t>
      </w:r>
      <w:r w:rsidR="00883AFF" w:rsidRPr="001B7BE4">
        <w:rPr>
          <w:rFonts w:ascii="Arial" w:eastAsia="Times New Roman" w:hAnsi="Arial" w:cs="Arial"/>
          <w:sz w:val="26"/>
          <w:szCs w:val="26"/>
        </w:rPr>
        <w:t xml:space="preserve">impacts of the subsidy </w:t>
      </w:r>
      <w:r w:rsidR="00116347" w:rsidRPr="001B7BE4">
        <w:rPr>
          <w:rFonts w:ascii="Arial" w:eastAsia="Times New Roman" w:hAnsi="Arial" w:cs="Arial"/>
          <w:sz w:val="26"/>
          <w:szCs w:val="26"/>
        </w:rPr>
        <w:t>policy</w:t>
      </w:r>
      <w:r w:rsidR="00883AFF" w:rsidRPr="001B7BE4">
        <w:rPr>
          <w:rFonts w:ascii="Arial" w:eastAsia="Times New Roman" w:hAnsi="Arial" w:cs="Arial"/>
          <w:sz w:val="26"/>
          <w:szCs w:val="26"/>
        </w:rPr>
        <w:t xml:space="preserve"> in the three alternate calibrations. 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From the table we see </w:t>
      </w:r>
      <w:r w:rsidR="0077674F" w:rsidRPr="001B7BE4">
        <w:rPr>
          <w:rFonts w:ascii="Arial" w:eastAsia="Times New Roman" w:hAnsi="Arial" w:cs="Arial"/>
          <w:sz w:val="26"/>
          <w:szCs w:val="26"/>
        </w:rPr>
        <w:t>a 2</w:t>
      </w:r>
      <w:r w:rsidR="00071AC8" w:rsidRPr="001B7BE4">
        <w:rPr>
          <w:rFonts w:ascii="Arial" w:eastAsia="Times New Roman" w:hAnsi="Arial" w:cs="Arial"/>
          <w:sz w:val="26"/>
          <w:szCs w:val="26"/>
        </w:rPr>
        <w:t xml:space="preserve"> percentage point difference between the first and second calibrations and between the second and third calibrations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. The conclusion then is that the actual </w:t>
      </w:r>
      <w:r w:rsidR="00116347" w:rsidRPr="001B7BE4">
        <w:rPr>
          <w:rFonts w:ascii="Arial" w:eastAsia="Times New Roman" w:hAnsi="Arial" w:cs="Arial"/>
          <w:sz w:val="26"/>
          <w:szCs w:val="26"/>
        </w:rPr>
        <w:t>policy</w:t>
      </w:r>
      <w:r w:rsidR="00AB61A1" w:rsidRPr="001B7BE4">
        <w:rPr>
          <w:rFonts w:ascii="Arial" w:eastAsia="Times New Roman" w:hAnsi="Arial" w:cs="Arial"/>
          <w:sz w:val="26"/>
          <w:szCs w:val="26"/>
        </w:rPr>
        <w:t xml:space="preserve"> has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had a modest impact</w:t>
      </w:r>
      <w:r w:rsidR="0075024B" w:rsidRPr="001B7BE4">
        <w:rPr>
          <w:rFonts w:ascii="Arial" w:eastAsia="Times New Roman" w:hAnsi="Arial" w:cs="Arial"/>
          <w:sz w:val="26"/>
          <w:szCs w:val="26"/>
        </w:rPr>
        <w:t xml:space="preserve"> on regional inequality</w:t>
      </w:r>
      <w:r w:rsidR="0008639B" w:rsidRPr="001B7BE4">
        <w:rPr>
          <w:rFonts w:ascii="Arial" w:eastAsia="Times New Roman" w:hAnsi="Arial" w:cs="Arial"/>
          <w:sz w:val="26"/>
          <w:szCs w:val="26"/>
        </w:rPr>
        <w:t>, especially in the long run, because of trade and labor market spillovers that exist within Turkey.</w:t>
      </w:r>
      <w:r w:rsidR="004E1770" w:rsidRPr="001B7BE4">
        <w:rPr>
          <w:rFonts w:ascii="Arial" w:eastAsia="Times New Roman" w:hAnsi="Arial" w:cs="Arial"/>
          <w:sz w:val="26"/>
          <w:szCs w:val="26"/>
        </w:rPr>
        <w:t xml:space="preserve"> These two sets of</w:t>
      </w:r>
      <w:r w:rsidR="000C5C1E" w:rsidRPr="001B7BE4">
        <w:rPr>
          <w:rFonts w:ascii="Arial" w:eastAsia="Times New Roman" w:hAnsi="Arial" w:cs="Arial"/>
          <w:sz w:val="26"/>
          <w:szCs w:val="26"/>
        </w:rPr>
        <w:t xml:space="preserve"> spillovers</w:t>
      </w:r>
      <w:r w:rsidR="004E1770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2C23D2" w:rsidRPr="001B7BE4">
        <w:rPr>
          <w:rFonts w:ascii="Arial" w:eastAsia="Times New Roman" w:hAnsi="Arial" w:cs="Arial"/>
          <w:sz w:val="26"/>
          <w:szCs w:val="26"/>
        </w:rPr>
        <w:t xml:space="preserve">have </w:t>
      </w:r>
      <w:r w:rsidR="00071AC8" w:rsidRPr="001B7BE4">
        <w:rPr>
          <w:rFonts w:ascii="Arial" w:eastAsia="Times New Roman" w:hAnsi="Arial" w:cs="Arial"/>
          <w:sz w:val="26"/>
          <w:szCs w:val="26"/>
        </w:rPr>
        <w:t>roughly</w:t>
      </w:r>
      <w:r w:rsidR="002C23D2" w:rsidRPr="001B7BE4">
        <w:rPr>
          <w:rFonts w:ascii="Arial" w:eastAsia="Times New Roman" w:hAnsi="Arial" w:cs="Arial"/>
          <w:sz w:val="26"/>
          <w:szCs w:val="26"/>
        </w:rPr>
        <w:t xml:space="preserve"> equal impact.</w:t>
      </w:r>
    </w:p>
    <w:p w14:paraId="4A50DA61" w14:textId="259A3928" w:rsidR="00552D81" w:rsidRPr="001B7BE4" w:rsidRDefault="001B11D1" w:rsidP="00030EA4">
      <w:pPr>
        <w:spacing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1B7BE4">
        <w:rPr>
          <w:rFonts w:ascii="Arial" w:eastAsia="Times New Roman" w:hAnsi="Arial" w:cs="Arial"/>
          <w:sz w:val="26"/>
          <w:szCs w:val="26"/>
          <w:u w:val="single"/>
        </w:rPr>
        <w:t>Slide 34</w:t>
      </w:r>
      <w:r w:rsidR="0008639B" w:rsidRPr="001B7BE4">
        <w:rPr>
          <w:rFonts w:ascii="Arial" w:eastAsia="Times New Roman" w:hAnsi="Arial" w:cs="Arial"/>
          <w:sz w:val="26"/>
          <w:szCs w:val="26"/>
        </w:rPr>
        <w:t>:</w:t>
      </w:r>
      <w:r w:rsidR="00C27CD5" w:rsidRPr="001B7BE4">
        <w:rPr>
          <w:rFonts w:ascii="Arial" w:eastAsia="Times New Roman" w:hAnsi="Arial" w:cs="Arial"/>
          <w:sz w:val="26"/>
          <w:szCs w:val="26"/>
        </w:rPr>
        <w:t xml:space="preserve"> That’s all for the talk.</w:t>
      </w:r>
      <w:r w:rsidR="0008639B" w:rsidRPr="001B7BE4">
        <w:rPr>
          <w:rFonts w:ascii="Arial" w:eastAsia="Times New Roman" w:hAnsi="Arial" w:cs="Arial"/>
          <w:sz w:val="26"/>
          <w:szCs w:val="26"/>
        </w:rPr>
        <w:t xml:space="preserve"> </w:t>
      </w:r>
      <w:r w:rsidR="00B554E5">
        <w:rPr>
          <w:rFonts w:ascii="Arial" w:eastAsia="Times New Roman" w:hAnsi="Arial" w:cs="Arial"/>
          <w:sz w:val="26"/>
          <w:szCs w:val="26"/>
        </w:rPr>
        <w:t>T</w:t>
      </w:r>
      <w:r w:rsidR="00E302EF" w:rsidRPr="001B7BE4">
        <w:rPr>
          <w:rFonts w:ascii="Arial" w:eastAsia="Times New Roman" w:hAnsi="Arial" w:cs="Arial"/>
          <w:sz w:val="26"/>
          <w:szCs w:val="26"/>
        </w:rPr>
        <w:t>here are two</w:t>
      </w:r>
      <w:r w:rsidR="00207E80" w:rsidRPr="001B7BE4">
        <w:rPr>
          <w:rFonts w:ascii="Arial" w:eastAsia="Times New Roman" w:hAnsi="Arial" w:cs="Arial"/>
          <w:sz w:val="26"/>
          <w:szCs w:val="26"/>
        </w:rPr>
        <w:t xml:space="preserve"> broader</w:t>
      </w:r>
      <w:r w:rsidR="00E302EF" w:rsidRPr="001B7BE4">
        <w:rPr>
          <w:rFonts w:ascii="Arial" w:eastAsia="Times New Roman" w:hAnsi="Arial" w:cs="Arial"/>
          <w:sz w:val="26"/>
          <w:szCs w:val="26"/>
        </w:rPr>
        <w:t xml:space="preserve"> lessons that I’d like you to take away. First, since migration responds slowly to real wage differentials, place-based policies</w:t>
      </w:r>
      <w:r w:rsidR="006B6433" w:rsidRPr="001B7BE4">
        <w:rPr>
          <w:rFonts w:ascii="Arial" w:eastAsia="Times New Roman" w:hAnsi="Arial" w:cs="Arial"/>
          <w:sz w:val="26"/>
          <w:szCs w:val="26"/>
        </w:rPr>
        <w:t>’ short and long run impacts</w:t>
      </w:r>
      <w:r w:rsidR="00E302EF" w:rsidRPr="001B7BE4">
        <w:rPr>
          <w:rFonts w:ascii="Arial" w:eastAsia="Times New Roman" w:hAnsi="Arial" w:cs="Arial"/>
          <w:sz w:val="26"/>
          <w:szCs w:val="26"/>
        </w:rPr>
        <w:t xml:space="preserve"> differ. Second, general equilibrium spillovers may come from faraway locations. </w:t>
      </w:r>
      <w:r w:rsidR="0008639B" w:rsidRPr="001B7BE4">
        <w:rPr>
          <w:rFonts w:ascii="Arial" w:eastAsia="Times New Roman" w:hAnsi="Arial" w:cs="Arial"/>
          <w:sz w:val="26"/>
          <w:szCs w:val="26"/>
        </w:rPr>
        <w:t>We still h</w:t>
      </w:r>
      <w:r w:rsidR="006478B1" w:rsidRPr="001B7BE4">
        <w:rPr>
          <w:rFonts w:ascii="Arial" w:eastAsia="Times New Roman" w:hAnsi="Arial" w:cs="Arial"/>
          <w:sz w:val="26"/>
          <w:szCs w:val="26"/>
        </w:rPr>
        <w:t>ave a number of open questions</w:t>
      </w:r>
      <w:r w:rsidR="00FC0832" w:rsidRPr="001B7BE4">
        <w:rPr>
          <w:rFonts w:ascii="Arial" w:eastAsia="Times New Roman" w:hAnsi="Arial" w:cs="Arial"/>
          <w:sz w:val="26"/>
          <w:szCs w:val="26"/>
        </w:rPr>
        <w:t xml:space="preserve"> as part of this project</w:t>
      </w:r>
      <w:r w:rsidR="006478B1" w:rsidRPr="001B7BE4">
        <w:rPr>
          <w:rFonts w:ascii="Arial" w:eastAsia="Times New Roman" w:hAnsi="Arial" w:cs="Arial"/>
          <w:sz w:val="26"/>
          <w:szCs w:val="26"/>
        </w:rPr>
        <w:t>, though some of which may be left for future work.</w:t>
      </w:r>
    </w:p>
    <w:sectPr w:rsidR="00552D81" w:rsidRPr="001B7BE4" w:rsidSect="009C42C5">
      <w:pgSz w:w="12240" w:h="15840"/>
      <w:pgMar w:top="1008" w:right="1008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B9"/>
    <w:rsid w:val="000061E1"/>
    <w:rsid w:val="00012AB2"/>
    <w:rsid w:val="0001389F"/>
    <w:rsid w:val="00016A78"/>
    <w:rsid w:val="00030EA4"/>
    <w:rsid w:val="00033356"/>
    <w:rsid w:val="000707D0"/>
    <w:rsid w:val="00071AC8"/>
    <w:rsid w:val="00075628"/>
    <w:rsid w:val="000844AE"/>
    <w:rsid w:val="0008639B"/>
    <w:rsid w:val="000912B6"/>
    <w:rsid w:val="000B61DF"/>
    <w:rsid w:val="000C5026"/>
    <w:rsid w:val="000C5C1E"/>
    <w:rsid w:val="000D19FD"/>
    <w:rsid w:val="000F3C06"/>
    <w:rsid w:val="00101CE2"/>
    <w:rsid w:val="001029DB"/>
    <w:rsid w:val="00116347"/>
    <w:rsid w:val="001254D8"/>
    <w:rsid w:val="00130509"/>
    <w:rsid w:val="00134243"/>
    <w:rsid w:val="00136AE1"/>
    <w:rsid w:val="001518A8"/>
    <w:rsid w:val="00164254"/>
    <w:rsid w:val="001642A2"/>
    <w:rsid w:val="0019406A"/>
    <w:rsid w:val="001A38BB"/>
    <w:rsid w:val="001B11D1"/>
    <w:rsid w:val="001B7BE4"/>
    <w:rsid w:val="001D6BA6"/>
    <w:rsid w:val="00201664"/>
    <w:rsid w:val="00204CB0"/>
    <w:rsid w:val="00207E80"/>
    <w:rsid w:val="00256E34"/>
    <w:rsid w:val="00256EAF"/>
    <w:rsid w:val="00262A8F"/>
    <w:rsid w:val="00265B52"/>
    <w:rsid w:val="002804F2"/>
    <w:rsid w:val="0028431B"/>
    <w:rsid w:val="00284E8A"/>
    <w:rsid w:val="00292723"/>
    <w:rsid w:val="002A1ED9"/>
    <w:rsid w:val="002C23D2"/>
    <w:rsid w:val="002D125D"/>
    <w:rsid w:val="002E5A41"/>
    <w:rsid w:val="002E6CA6"/>
    <w:rsid w:val="003036FA"/>
    <w:rsid w:val="00304AA1"/>
    <w:rsid w:val="0031676F"/>
    <w:rsid w:val="00324051"/>
    <w:rsid w:val="0033794A"/>
    <w:rsid w:val="00371033"/>
    <w:rsid w:val="00374930"/>
    <w:rsid w:val="00383FCC"/>
    <w:rsid w:val="003951E6"/>
    <w:rsid w:val="003B5DC2"/>
    <w:rsid w:val="003C075C"/>
    <w:rsid w:val="003C2F25"/>
    <w:rsid w:val="003C4BBB"/>
    <w:rsid w:val="003F2130"/>
    <w:rsid w:val="003F345C"/>
    <w:rsid w:val="003F4E60"/>
    <w:rsid w:val="0040412D"/>
    <w:rsid w:val="00404F70"/>
    <w:rsid w:val="00406B9C"/>
    <w:rsid w:val="00411164"/>
    <w:rsid w:val="004375B5"/>
    <w:rsid w:val="00455614"/>
    <w:rsid w:val="00476D33"/>
    <w:rsid w:val="0048099C"/>
    <w:rsid w:val="00486B8A"/>
    <w:rsid w:val="004C7D6A"/>
    <w:rsid w:val="004D4834"/>
    <w:rsid w:val="004E1770"/>
    <w:rsid w:val="00521ADD"/>
    <w:rsid w:val="00521B04"/>
    <w:rsid w:val="00552D81"/>
    <w:rsid w:val="00554CB7"/>
    <w:rsid w:val="005A20AC"/>
    <w:rsid w:val="005B5A08"/>
    <w:rsid w:val="005E0288"/>
    <w:rsid w:val="005F7087"/>
    <w:rsid w:val="00607BBB"/>
    <w:rsid w:val="006141B9"/>
    <w:rsid w:val="00614618"/>
    <w:rsid w:val="00616121"/>
    <w:rsid w:val="00625B8B"/>
    <w:rsid w:val="006439C4"/>
    <w:rsid w:val="00645FE0"/>
    <w:rsid w:val="006478B1"/>
    <w:rsid w:val="006708D9"/>
    <w:rsid w:val="00673481"/>
    <w:rsid w:val="006807BB"/>
    <w:rsid w:val="00683069"/>
    <w:rsid w:val="00690C7D"/>
    <w:rsid w:val="006A1A76"/>
    <w:rsid w:val="006A30A4"/>
    <w:rsid w:val="006B6433"/>
    <w:rsid w:val="006B6B3F"/>
    <w:rsid w:val="006F3062"/>
    <w:rsid w:val="006F5825"/>
    <w:rsid w:val="007120D9"/>
    <w:rsid w:val="0071271E"/>
    <w:rsid w:val="00725C9E"/>
    <w:rsid w:val="007443E7"/>
    <w:rsid w:val="00745F5A"/>
    <w:rsid w:val="0075024B"/>
    <w:rsid w:val="00752D5C"/>
    <w:rsid w:val="00761062"/>
    <w:rsid w:val="0077674F"/>
    <w:rsid w:val="00782534"/>
    <w:rsid w:val="00782ED8"/>
    <w:rsid w:val="00795A71"/>
    <w:rsid w:val="007A370B"/>
    <w:rsid w:val="007F0130"/>
    <w:rsid w:val="00810DA2"/>
    <w:rsid w:val="00817514"/>
    <w:rsid w:val="00845441"/>
    <w:rsid w:val="00850637"/>
    <w:rsid w:val="00850BF9"/>
    <w:rsid w:val="00883AFF"/>
    <w:rsid w:val="008B0AE8"/>
    <w:rsid w:val="008B1CB0"/>
    <w:rsid w:val="008B27C8"/>
    <w:rsid w:val="008D5792"/>
    <w:rsid w:val="008E0CB3"/>
    <w:rsid w:val="008E2919"/>
    <w:rsid w:val="008F5812"/>
    <w:rsid w:val="00910BD2"/>
    <w:rsid w:val="00932FBF"/>
    <w:rsid w:val="00941B04"/>
    <w:rsid w:val="009472E1"/>
    <w:rsid w:val="00970670"/>
    <w:rsid w:val="009724E9"/>
    <w:rsid w:val="0098249A"/>
    <w:rsid w:val="00984816"/>
    <w:rsid w:val="009C42C5"/>
    <w:rsid w:val="009F577E"/>
    <w:rsid w:val="00A010EA"/>
    <w:rsid w:val="00A02284"/>
    <w:rsid w:val="00A10788"/>
    <w:rsid w:val="00A4044A"/>
    <w:rsid w:val="00A54448"/>
    <w:rsid w:val="00A55547"/>
    <w:rsid w:val="00A563A5"/>
    <w:rsid w:val="00A656BC"/>
    <w:rsid w:val="00A76838"/>
    <w:rsid w:val="00A9630A"/>
    <w:rsid w:val="00A96DE3"/>
    <w:rsid w:val="00AA5E1F"/>
    <w:rsid w:val="00AB0C72"/>
    <w:rsid w:val="00AB139A"/>
    <w:rsid w:val="00AB54AB"/>
    <w:rsid w:val="00AB61A1"/>
    <w:rsid w:val="00B0239C"/>
    <w:rsid w:val="00B22694"/>
    <w:rsid w:val="00B254D9"/>
    <w:rsid w:val="00B3639E"/>
    <w:rsid w:val="00B5227E"/>
    <w:rsid w:val="00B554E5"/>
    <w:rsid w:val="00B5583C"/>
    <w:rsid w:val="00B650D1"/>
    <w:rsid w:val="00B66990"/>
    <w:rsid w:val="00B93BC2"/>
    <w:rsid w:val="00B95004"/>
    <w:rsid w:val="00B95DE4"/>
    <w:rsid w:val="00B978A2"/>
    <w:rsid w:val="00BA38E5"/>
    <w:rsid w:val="00BA3B7B"/>
    <w:rsid w:val="00BB065B"/>
    <w:rsid w:val="00BD4269"/>
    <w:rsid w:val="00BD7A4F"/>
    <w:rsid w:val="00BE1B41"/>
    <w:rsid w:val="00BF651B"/>
    <w:rsid w:val="00C044DC"/>
    <w:rsid w:val="00C05948"/>
    <w:rsid w:val="00C059DD"/>
    <w:rsid w:val="00C217B6"/>
    <w:rsid w:val="00C27CD5"/>
    <w:rsid w:val="00C31CE7"/>
    <w:rsid w:val="00C31FED"/>
    <w:rsid w:val="00C4641B"/>
    <w:rsid w:val="00C64BD5"/>
    <w:rsid w:val="00C72AC5"/>
    <w:rsid w:val="00C93C2E"/>
    <w:rsid w:val="00CA7D08"/>
    <w:rsid w:val="00CB2CD9"/>
    <w:rsid w:val="00CC1926"/>
    <w:rsid w:val="00CE1462"/>
    <w:rsid w:val="00CE69C6"/>
    <w:rsid w:val="00D04DF8"/>
    <w:rsid w:val="00D146E8"/>
    <w:rsid w:val="00D1788A"/>
    <w:rsid w:val="00D22CB9"/>
    <w:rsid w:val="00D3330A"/>
    <w:rsid w:val="00D34504"/>
    <w:rsid w:val="00D61BC7"/>
    <w:rsid w:val="00D66FE3"/>
    <w:rsid w:val="00D86EF3"/>
    <w:rsid w:val="00D87730"/>
    <w:rsid w:val="00D91DFC"/>
    <w:rsid w:val="00D93270"/>
    <w:rsid w:val="00DA4428"/>
    <w:rsid w:val="00DB48E5"/>
    <w:rsid w:val="00DD2524"/>
    <w:rsid w:val="00E03E23"/>
    <w:rsid w:val="00E045A8"/>
    <w:rsid w:val="00E0716E"/>
    <w:rsid w:val="00E302EF"/>
    <w:rsid w:val="00E556A9"/>
    <w:rsid w:val="00E77B48"/>
    <w:rsid w:val="00E806C3"/>
    <w:rsid w:val="00ED2EAE"/>
    <w:rsid w:val="00EE3AFB"/>
    <w:rsid w:val="00EF4274"/>
    <w:rsid w:val="00EF6732"/>
    <w:rsid w:val="00F13CFD"/>
    <w:rsid w:val="00F15199"/>
    <w:rsid w:val="00F4048A"/>
    <w:rsid w:val="00F44176"/>
    <w:rsid w:val="00F50B60"/>
    <w:rsid w:val="00F71730"/>
    <w:rsid w:val="00F83F4A"/>
    <w:rsid w:val="00F87D48"/>
    <w:rsid w:val="00FA047B"/>
    <w:rsid w:val="00FB35C4"/>
    <w:rsid w:val="00FC0832"/>
    <w:rsid w:val="00FC74F5"/>
    <w:rsid w:val="00FF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5FA2"/>
  <w15:chartTrackingRefBased/>
  <w15:docId w15:val="{22EFCFE3-9C7F-424B-9823-EC0D98BA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24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2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7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0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91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1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3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15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4</Pages>
  <Words>2064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FRB</Company>
  <LinksUpToDate>false</LinksUpToDate>
  <CharactersWithSpaces>13808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 Atalay</dc:creator>
  <cp:keywords/>
  <dc:description/>
  <cp:lastModifiedBy>Engin Atalay</cp:lastModifiedBy>
  <cp:revision>24</cp:revision>
  <dcterms:created xsi:type="dcterms:W3CDTF">2022-07-25T22:39:00Z</dcterms:created>
  <dcterms:modified xsi:type="dcterms:W3CDTF">2022-07-26T21:19:00Z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33499ecf-d210-4346-ae23-ac164f47a546</vt:lpwstr>
  </property>
</Properties>
</file>