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FD" w:rsidRPr="0004378F" w:rsidRDefault="0004378F">
      <w:pPr>
        <w:rPr>
          <w:sz w:val="28"/>
          <w:szCs w:val="28"/>
        </w:rPr>
      </w:pPr>
      <w:r w:rsidRPr="0004378F">
        <w:rPr>
          <w:sz w:val="28"/>
          <w:szCs w:val="28"/>
        </w:rPr>
        <w:t>Homework 3</w:t>
      </w:r>
    </w:p>
    <w:p w:rsidR="0004378F" w:rsidRPr="0004378F" w:rsidRDefault="0004378F">
      <w:pPr>
        <w:rPr>
          <w:sz w:val="24"/>
          <w:szCs w:val="24"/>
          <w:u w:val="single"/>
        </w:rPr>
      </w:pPr>
      <w:r w:rsidRPr="0004378F">
        <w:rPr>
          <w:sz w:val="24"/>
          <w:szCs w:val="24"/>
          <w:u w:val="single"/>
        </w:rPr>
        <w:t>Problem 2</w:t>
      </w:r>
    </w:p>
    <w:p w:rsidR="0004378F" w:rsidRDefault="0004378F" w:rsidP="0004378F">
      <w:pPr>
        <w:jc w:val="center"/>
      </w:pPr>
      <w:r>
        <w:rPr>
          <w:noProof/>
        </w:rPr>
        <w:drawing>
          <wp:inline distT="0" distB="0" distL="0" distR="0">
            <wp:extent cx="2933934" cy="2197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7163" cy="2222203"/>
                    </a:xfrm>
                    <a:prstGeom prst="rect">
                      <a:avLst/>
                    </a:prstGeom>
                    <a:noFill/>
                    <a:ln>
                      <a:noFill/>
                    </a:ln>
                  </pic:spPr>
                </pic:pic>
              </a:graphicData>
            </a:graphic>
          </wp:inline>
        </w:drawing>
      </w:r>
      <w:r>
        <w:rPr>
          <w:noProof/>
        </w:rPr>
        <w:drawing>
          <wp:inline distT="0" distB="0" distL="0" distR="0">
            <wp:extent cx="2932715" cy="219640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5326" cy="2213336"/>
                    </a:xfrm>
                    <a:prstGeom prst="rect">
                      <a:avLst/>
                    </a:prstGeom>
                    <a:noFill/>
                    <a:ln>
                      <a:noFill/>
                    </a:ln>
                  </pic:spPr>
                </pic:pic>
              </a:graphicData>
            </a:graphic>
          </wp:inline>
        </w:drawing>
      </w:r>
    </w:p>
    <w:p w:rsidR="0004378F" w:rsidRDefault="0004378F" w:rsidP="0004378F">
      <w:pPr>
        <w:jc w:val="center"/>
      </w:pPr>
      <w:r>
        <w:rPr>
          <w:noProof/>
        </w:rPr>
        <w:drawing>
          <wp:inline distT="0" distB="0" distL="0" distR="0">
            <wp:extent cx="2931484" cy="21976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736" cy="2227850"/>
                    </a:xfrm>
                    <a:prstGeom prst="rect">
                      <a:avLst/>
                    </a:prstGeom>
                    <a:noFill/>
                    <a:ln>
                      <a:noFill/>
                    </a:ln>
                  </pic:spPr>
                </pic:pic>
              </a:graphicData>
            </a:graphic>
          </wp:inline>
        </w:drawing>
      </w:r>
      <w:r>
        <w:rPr>
          <w:noProof/>
        </w:rPr>
        <w:drawing>
          <wp:inline distT="0" distB="0" distL="0" distR="0">
            <wp:extent cx="2928324" cy="219530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875" cy="2221206"/>
                    </a:xfrm>
                    <a:prstGeom prst="rect">
                      <a:avLst/>
                    </a:prstGeom>
                    <a:noFill/>
                    <a:ln>
                      <a:noFill/>
                    </a:ln>
                  </pic:spPr>
                </pic:pic>
              </a:graphicData>
            </a:graphic>
          </wp:inline>
        </w:drawing>
      </w:r>
    </w:p>
    <w:p w:rsidR="0004378F" w:rsidRDefault="0004378F" w:rsidP="0004378F">
      <w:pPr>
        <w:jc w:val="center"/>
      </w:pPr>
      <w:r>
        <w:rPr>
          <w:noProof/>
        </w:rPr>
        <w:drawing>
          <wp:inline distT="0" distB="0" distL="0" distR="0" wp14:anchorId="40DA5A6F" wp14:editId="13CC2DA4">
            <wp:extent cx="2945153" cy="2207921"/>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715" cy="2233831"/>
                    </a:xfrm>
                    <a:prstGeom prst="rect">
                      <a:avLst/>
                    </a:prstGeom>
                    <a:noFill/>
                    <a:ln>
                      <a:noFill/>
                    </a:ln>
                  </pic:spPr>
                </pic:pic>
              </a:graphicData>
            </a:graphic>
          </wp:inline>
        </w:drawing>
      </w:r>
      <w:r>
        <w:rPr>
          <w:noProof/>
        </w:rPr>
        <w:drawing>
          <wp:inline distT="0" distB="0" distL="0" distR="0">
            <wp:extent cx="2950763" cy="22121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750" cy="2223361"/>
                    </a:xfrm>
                    <a:prstGeom prst="rect">
                      <a:avLst/>
                    </a:prstGeom>
                    <a:noFill/>
                    <a:ln>
                      <a:noFill/>
                    </a:ln>
                  </pic:spPr>
                </pic:pic>
              </a:graphicData>
            </a:graphic>
          </wp:inline>
        </w:drawing>
      </w:r>
    </w:p>
    <w:p w:rsidR="0004378F" w:rsidRDefault="0004378F" w:rsidP="0004378F">
      <w:pPr>
        <w:jc w:val="both"/>
      </w:pPr>
    </w:p>
    <w:p w:rsidR="0004378F" w:rsidRDefault="0004378F" w:rsidP="0004378F">
      <w:pPr>
        <w:jc w:val="both"/>
      </w:pPr>
    </w:p>
    <w:p w:rsidR="00096867" w:rsidRDefault="0004378F" w:rsidP="0004378F">
      <w:pPr>
        <w:jc w:val="both"/>
        <w:rPr>
          <w:rFonts w:eastAsiaTheme="minorEastAsia"/>
        </w:rPr>
      </w:pPr>
      <w:r>
        <w:lastRenderedPageBreak/>
        <w:t>For the hyperbola dataset (see lecture set 9.2 on how to generate the dataset), the number of training, validation, and test sample is set to 100, 100, and 2000, respectively. For model selection, the range of SVM parameter C is set as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 xml:space="preserve">], whereas the range of kernel parameter </w:t>
      </w:r>
      <m:oMath>
        <m:r>
          <w:rPr>
            <w:rFonts w:ascii="Cambria Math" w:eastAsiaTheme="minorEastAsia" w:hAnsi="Cambria Math"/>
          </w:rPr>
          <m:t>γ</m:t>
        </m:r>
      </m:oMath>
      <w:r>
        <w:rPr>
          <w:rFonts w:eastAsiaTheme="minorEastAsia"/>
        </w:rPr>
        <w:t xml:space="preserve"> is set as [48, 56, 64, …, 88, 96]. For the imbalance SVM case, the weight ratio between +1 and -1 is set to 2:1. Figures above show the </w:t>
      </w:r>
      <w:r w:rsidR="009C384B">
        <w:rPr>
          <w:rFonts w:eastAsiaTheme="minorEastAsia"/>
        </w:rPr>
        <w:t>decision boundary and histogram of projection (for both training and test dataset)</w:t>
      </w:r>
      <w:r>
        <w:rPr>
          <w:rFonts w:eastAsiaTheme="minorEastAsia"/>
        </w:rPr>
        <w:t xml:space="preserve"> of standard</w:t>
      </w:r>
      <w:r w:rsidR="009C384B">
        <w:rPr>
          <w:rFonts w:eastAsiaTheme="minorEastAsia"/>
        </w:rPr>
        <w:t xml:space="preserve"> and imbalance RBF-SVM. Because the hyperbola dataset is separable (in the higher-dimensional space), both standard and imbalance decision boundary looks very similar to each other, although some minor differences can still be observed (e.g. decision boundary is slightly closer to the -1 class samples (blue) at the center for the imbalance case). </w:t>
      </w:r>
      <w:r w:rsidR="00096867">
        <w:rPr>
          <w:rFonts w:eastAsiaTheme="minorEastAsia"/>
        </w:rPr>
        <w:t>The training, test, optimal C, and optimal gamma for standard and imbalance SVM are summarized in the table below:</w:t>
      </w:r>
    </w:p>
    <w:tbl>
      <w:tblPr>
        <w:tblStyle w:val="TableGrid"/>
        <w:tblW w:w="0" w:type="auto"/>
        <w:tblLook w:val="04A0" w:firstRow="1" w:lastRow="0" w:firstColumn="1" w:lastColumn="0" w:noHBand="0" w:noVBand="1"/>
      </w:tblPr>
      <w:tblGrid>
        <w:gridCol w:w="1870"/>
        <w:gridCol w:w="1870"/>
        <w:gridCol w:w="1870"/>
        <w:gridCol w:w="1870"/>
        <w:gridCol w:w="1870"/>
      </w:tblGrid>
      <w:tr w:rsidR="00096867" w:rsidTr="00096867">
        <w:tc>
          <w:tcPr>
            <w:tcW w:w="1870" w:type="dxa"/>
          </w:tcPr>
          <w:p w:rsidR="00096867" w:rsidRPr="00096867" w:rsidRDefault="00096867" w:rsidP="00096867">
            <w:pPr>
              <w:jc w:val="center"/>
              <w:rPr>
                <w:rFonts w:eastAsiaTheme="minorEastAsia"/>
                <w:b/>
              </w:rPr>
            </w:pPr>
            <w:r w:rsidRPr="00096867">
              <w:rPr>
                <w:rFonts w:eastAsiaTheme="minorEastAsia"/>
                <w:b/>
              </w:rPr>
              <w:t>Algorithm</w:t>
            </w:r>
          </w:p>
        </w:tc>
        <w:tc>
          <w:tcPr>
            <w:tcW w:w="1870" w:type="dxa"/>
          </w:tcPr>
          <w:p w:rsidR="00096867" w:rsidRPr="00096867" w:rsidRDefault="00096867" w:rsidP="00096867">
            <w:pPr>
              <w:jc w:val="center"/>
              <w:rPr>
                <w:rFonts w:eastAsiaTheme="minorEastAsia"/>
                <w:b/>
              </w:rPr>
            </w:pPr>
            <w:r w:rsidRPr="00096867">
              <w:rPr>
                <w:rFonts w:eastAsiaTheme="minorEastAsia"/>
                <w:b/>
              </w:rPr>
              <w:t>Optimal C</w:t>
            </w:r>
          </w:p>
        </w:tc>
        <w:tc>
          <w:tcPr>
            <w:tcW w:w="1870" w:type="dxa"/>
          </w:tcPr>
          <w:p w:rsidR="00096867" w:rsidRPr="00096867" w:rsidRDefault="00096867" w:rsidP="00096867">
            <w:pPr>
              <w:jc w:val="center"/>
              <w:rPr>
                <w:rFonts w:eastAsiaTheme="minorEastAsia"/>
                <w:b/>
              </w:rPr>
            </w:pPr>
            <w:r w:rsidRPr="00096867">
              <w:rPr>
                <w:rFonts w:eastAsiaTheme="minorEastAsia"/>
                <w:b/>
              </w:rPr>
              <w:t xml:space="preserve">Optimal </w:t>
            </w:r>
            <m:oMath>
              <m:r>
                <m:rPr>
                  <m:sty m:val="bi"/>
                </m:rPr>
                <w:rPr>
                  <w:rFonts w:ascii="Cambria Math" w:eastAsiaTheme="minorEastAsia" w:hAnsi="Cambria Math"/>
                </w:rPr>
                <m:t>γ</m:t>
              </m:r>
            </m:oMath>
          </w:p>
        </w:tc>
        <w:tc>
          <w:tcPr>
            <w:tcW w:w="1870" w:type="dxa"/>
          </w:tcPr>
          <w:p w:rsidR="00096867" w:rsidRPr="00096867" w:rsidRDefault="00096867" w:rsidP="00096867">
            <w:pPr>
              <w:jc w:val="center"/>
              <w:rPr>
                <w:rFonts w:eastAsiaTheme="minorEastAsia"/>
                <w:b/>
              </w:rPr>
            </w:pPr>
            <w:r w:rsidRPr="00096867">
              <w:rPr>
                <w:rFonts w:eastAsiaTheme="minorEastAsia"/>
                <w:b/>
              </w:rPr>
              <w:t>Training Error</w:t>
            </w:r>
          </w:p>
        </w:tc>
        <w:tc>
          <w:tcPr>
            <w:tcW w:w="1870" w:type="dxa"/>
          </w:tcPr>
          <w:p w:rsidR="00096867" w:rsidRPr="00096867" w:rsidRDefault="00096867" w:rsidP="00096867">
            <w:pPr>
              <w:jc w:val="center"/>
              <w:rPr>
                <w:rFonts w:eastAsiaTheme="minorEastAsia"/>
                <w:b/>
              </w:rPr>
            </w:pPr>
            <w:r w:rsidRPr="00096867">
              <w:rPr>
                <w:rFonts w:eastAsiaTheme="minorEastAsia"/>
                <w:b/>
              </w:rPr>
              <w:t>Test Error</w:t>
            </w:r>
          </w:p>
        </w:tc>
      </w:tr>
      <w:tr w:rsidR="00096867" w:rsidTr="00096867">
        <w:tc>
          <w:tcPr>
            <w:tcW w:w="1870" w:type="dxa"/>
          </w:tcPr>
          <w:p w:rsidR="00096867" w:rsidRDefault="00096867" w:rsidP="00096867">
            <w:pPr>
              <w:jc w:val="center"/>
              <w:rPr>
                <w:rFonts w:eastAsiaTheme="minorEastAsia"/>
              </w:rPr>
            </w:pPr>
            <w:r>
              <w:rPr>
                <w:rFonts w:eastAsiaTheme="minorEastAsia"/>
              </w:rPr>
              <w:t>Standard SVM</w:t>
            </w:r>
          </w:p>
        </w:tc>
        <w:tc>
          <w:tcPr>
            <w:tcW w:w="1870" w:type="dxa"/>
          </w:tcPr>
          <w:p w:rsidR="00096867" w:rsidRDefault="00096867" w:rsidP="00096867">
            <w:pPr>
              <w:jc w:val="center"/>
              <w:rPr>
                <w:rFonts w:eastAsiaTheme="minorEastAsia"/>
              </w:rPr>
            </w:pPr>
            <w:r>
              <w:rPr>
                <w:rFonts w:eastAsiaTheme="minorEastAsia"/>
              </w:rPr>
              <w:t>0.25</w:t>
            </w:r>
          </w:p>
        </w:tc>
        <w:tc>
          <w:tcPr>
            <w:tcW w:w="1870" w:type="dxa"/>
          </w:tcPr>
          <w:p w:rsidR="00096867" w:rsidRDefault="00096867" w:rsidP="00096867">
            <w:pPr>
              <w:jc w:val="center"/>
              <w:rPr>
                <w:rFonts w:eastAsiaTheme="minorEastAsia"/>
              </w:rPr>
            </w:pPr>
            <w:r>
              <w:rPr>
                <w:rFonts w:eastAsiaTheme="minorEastAsia"/>
              </w:rPr>
              <w:t>56</w:t>
            </w:r>
          </w:p>
        </w:tc>
        <w:tc>
          <w:tcPr>
            <w:tcW w:w="1870" w:type="dxa"/>
          </w:tcPr>
          <w:p w:rsidR="00096867" w:rsidRDefault="00096867" w:rsidP="00096867">
            <w:pPr>
              <w:jc w:val="center"/>
              <w:rPr>
                <w:rFonts w:eastAsiaTheme="minorEastAsia"/>
              </w:rPr>
            </w:pPr>
            <w:r>
              <w:rPr>
                <w:rFonts w:eastAsiaTheme="minorEastAsia"/>
              </w:rPr>
              <w:t>0</w:t>
            </w:r>
          </w:p>
        </w:tc>
        <w:tc>
          <w:tcPr>
            <w:tcW w:w="1870" w:type="dxa"/>
          </w:tcPr>
          <w:p w:rsidR="00096867" w:rsidRDefault="00096867" w:rsidP="00096867">
            <w:pPr>
              <w:jc w:val="center"/>
              <w:rPr>
                <w:rFonts w:eastAsiaTheme="minorEastAsia"/>
              </w:rPr>
            </w:pPr>
            <w:r>
              <w:rPr>
                <w:rFonts w:eastAsiaTheme="minorEastAsia"/>
              </w:rPr>
              <w:t>0.003</w:t>
            </w:r>
          </w:p>
        </w:tc>
      </w:tr>
      <w:tr w:rsidR="00096867" w:rsidTr="00096867">
        <w:tc>
          <w:tcPr>
            <w:tcW w:w="1870" w:type="dxa"/>
          </w:tcPr>
          <w:p w:rsidR="00096867" w:rsidRDefault="00096867" w:rsidP="00096867">
            <w:pPr>
              <w:jc w:val="center"/>
              <w:rPr>
                <w:rFonts w:eastAsiaTheme="minorEastAsia"/>
              </w:rPr>
            </w:pPr>
            <w:r>
              <w:rPr>
                <w:rFonts w:eastAsiaTheme="minorEastAsia"/>
              </w:rPr>
              <w:t>Imbalance SVM</w:t>
            </w:r>
          </w:p>
        </w:tc>
        <w:tc>
          <w:tcPr>
            <w:tcW w:w="1870" w:type="dxa"/>
          </w:tcPr>
          <w:p w:rsidR="00096867" w:rsidRDefault="00096867" w:rsidP="00096867">
            <w:pPr>
              <w:jc w:val="center"/>
              <w:rPr>
                <w:rFonts w:eastAsiaTheme="minorEastAsia"/>
              </w:rPr>
            </w:pPr>
            <w:r>
              <w:rPr>
                <w:rFonts w:eastAsiaTheme="minorEastAsia"/>
              </w:rPr>
              <w:t>0.25</w:t>
            </w:r>
          </w:p>
        </w:tc>
        <w:tc>
          <w:tcPr>
            <w:tcW w:w="1870" w:type="dxa"/>
          </w:tcPr>
          <w:p w:rsidR="00096867" w:rsidRDefault="00096867" w:rsidP="00096867">
            <w:pPr>
              <w:jc w:val="center"/>
              <w:rPr>
                <w:rFonts w:eastAsiaTheme="minorEastAsia"/>
              </w:rPr>
            </w:pPr>
            <w:r>
              <w:rPr>
                <w:rFonts w:eastAsiaTheme="minorEastAsia"/>
              </w:rPr>
              <w:t>48</w:t>
            </w:r>
          </w:p>
        </w:tc>
        <w:tc>
          <w:tcPr>
            <w:tcW w:w="1870" w:type="dxa"/>
          </w:tcPr>
          <w:p w:rsidR="00096867" w:rsidRDefault="00096867" w:rsidP="00096867">
            <w:pPr>
              <w:jc w:val="center"/>
              <w:rPr>
                <w:rFonts w:eastAsiaTheme="minorEastAsia"/>
              </w:rPr>
            </w:pPr>
            <w:r>
              <w:rPr>
                <w:rFonts w:eastAsiaTheme="minorEastAsia"/>
              </w:rPr>
              <w:t>0</w:t>
            </w:r>
          </w:p>
        </w:tc>
        <w:tc>
          <w:tcPr>
            <w:tcW w:w="1870" w:type="dxa"/>
          </w:tcPr>
          <w:p w:rsidR="00096867" w:rsidRDefault="00096867" w:rsidP="00096867">
            <w:pPr>
              <w:jc w:val="center"/>
              <w:rPr>
                <w:rFonts w:eastAsiaTheme="minorEastAsia"/>
              </w:rPr>
            </w:pPr>
            <w:r>
              <w:rPr>
                <w:rFonts w:eastAsiaTheme="minorEastAsia"/>
              </w:rPr>
              <w:t>0.0035</w:t>
            </w:r>
          </w:p>
        </w:tc>
      </w:tr>
    </w:tbl>
    <w:p w:rsidR="0004378F" w:rsidRDefault="00096867" w:rsidP="0004378F">
      <w:pPr>
        <w:jc w:val="both"/>
        <w:rPr>
          <w:rFonts w:eastAsiaTheme="minorEastAsia"/>
        </w:rPr>
      </w:pPr>
      <w:r>
        <w:rPr>
          <w:rFonts w:eastAsiaTheme="minorEastAsia"/>
        </w:rPr>
        <w:t xml:space="preserve"> </w:t>
      </w:r>
    </w:p>
    <w:p w:rsidR="009C384B" w:rsidRDefault="009C384B" w:rsidP="0004378F">
      <w:pPr>
        <w:jc w:val="both"/>
      </w:pPr>
    </w:p>
    <w:p w:rsidR="009C384B" w:rsidRPr="009C384B" w:rsidRDefault="009C384B" w:rsidP="0004378F">
      <w:pPr>
        <w:jc w:val="both"/>
        <w:rPr>
          <w:u w:val="single"/>
        </w:rPr>
      </w:pPr>
      <w:r w:rsidRPr="009C384B">
        <w:rPr>
          <w:u w:val="single"/>
        </w:rPr>
        <w:t>Problem 3</w:t>
      </w:r>
    </w:p>
    <w:p w:rsidR="009C384B" w:rsidRDefault="00125BAA" w:rsidP="0004378F">
      <w:pPr>
        <w:jc w:val="both"/>
      </w:pPr>
      <w:r>
        <w:t xml:space="preserve">The result for </w:t>
      </w:r>
      <w:r w:rsidR="009C4F4B">
        <w:t>the Ripley’s dataset</w:t>
      </w:r>
      <w:r>
        <w:t xml:space="preserve"> and </w:t>
      </w:r>
      <w:r w:rsidR="009C4F4B">
        <w:t xml:space="preserve">the </w:t>
      </w:r>
      <w:r>
        <w:t>high-dimensional dataset using k-NN and polynomial SVM are shown in the table below:</w:t>
      </w:r>
    </w:p>
    <w:tbl>
      <w:tblPr>
        <w:tblStyle w:val="TableGrid"/>
        <w:tblW w:w="0" w:type="auto"/>
        <w:tblLook w:val="04A0" w:firstRow="1" w:lastRow="0" w:firstColumn="1" w:lastColumn="0" w:noHBand="0" w:noVBand="1"/>
      </w:tblPr>
      <w:tblGrid>
        <w:gridCol w:w="2055"/>
        <w:gridCol w:w="934"/>
        <w:gridCol w:w="986"/>
        <w:gridCol w:w="1026"/>
        <w:gridCol w:w="1073"/>
        <w:gridCol w:w="1073"/>
        <w:gridCol w:w="1061"/>
        <w:gridCol w:w="1142"/>
      </w:tblGrid>
      <w:tr w:rsidR="00125BAA" w:rsidTr="00E6396A">
        <w:tc>
          <w:tcPr>
            <w:tcW w:w="2055" w:type="dxa"/>
          </w:tcPr>
          <w:p w:rsidR="00125BAA" w:rsidRDefault="00125BAA" w:rsidP="0004378F">
            <w:pPr>
              <w:jc w:val="both"/>
            </w:pPr>
          </w:p>
        </w:tc>
        <w:tc>
          <w:tcPr>
            <w:tcW w:w="2946" w:type="dxa"/>
            <w:gridSpan w:val="3"/>
          </w:tcPr>
          <w:p w:rsidR="00125BAA" w:rsidRDefault="00125BAA" w:rsidP="00125BAA">
            <w:pPr>
              <w:jc w:val="center"/>
            </w:pPr>
            <w:r>
              <w:t>k-NN</w:t>
            </w:r>
          </w:p>
        </w:tc>
        <w:tc>
          <w:tcPr>
            <w:tcW w:w="4349" w:type="dxa"/>
            <w:gridSpan w:val="4"/>
          </w:tcPr>
          <w:p w:rsidR="00125BAA" w:rsidRDefault="00125BAA" w:rsidP="00125BAA">
            <w:pPr>
              <w:jc w:val="center"/>
            </w:pPr>
            <w:r>
              <w:t>Polynomial SVM</w:t>
            </w:r>
          </w:p>
        </w:tc>
      </w:tr>
      <w:tr w:rsidR="00125BAA" w:rsidTr="00E6396A">
        <w:tc>
          <w:tcPr>
            <w:tcW w:w="2055" w:type="dxa"/>
          </w:tcPr>
          <w:p w:rsidR="00125BAA" w:rsidRDefault="00125BAA" w:rsidP="0004378F">
            <w:pPr>
              <w:jc w:val="both"/>
            </w:pPr>
          </w:p>
        </w:tc>
        <w:tc>
          <w:tcPr>
            <w:tcW w:w="934" w:type="dxa"/>
          </w:tcPr>
          <w:p w:rsidR="00125BAA" w:rsidRDefault="00125BAA" w:rsidP="00125BAA">
            <w:pPr>
              <w:jc w:val="center"/>
            </w:pPr>
            <w:r>
              <w:t>Optimal K</w:t>
            </w:r>
          </w:p>
        </w:tc>
        <w:tc>
          <w:tcPr>
            <w:tcW w:w="986" w:type="dxa"/>
          </w:tcPr>
          <w:p w:rsidR="00125BAA" w:rsidRDefault="00125BAA" w:rsidP="00125BAA">
            <w:pPr>
              <w:jc w:val="center"/>
            </w:pPr>
            <w:r>
              <w:t>Train Error</w:t>
            </w:r>
          </w:p>
        </w:tc>
        <w:tc>
          <w:tcPr>
            <w:tcW w:w="1026" w:type="dxa"/>
          </w:tcPr>
          <w:p w:rsidR="00125BAA" w:rsidRDefault="00125BAA" w:rsidP="00125BAA">
            <w:pPr>
              <w:jc w:val="center"/>
            </w:pPr>
            <w:r>
              <w:t>Test Error</w:t>
            </w:r>
          </w:p>
        </w:tc>
        <w:tc>
          <w:tcPr>
            <w:tcW w:w="1073" w:type="dxa"/>
          </w:tcPr>
          <w:p w:rsidR="00125BAA" w:rsidRDefault="00125BAA" w:rsidP="00125BAA">
            <w:pPr>
              <w:jc w:val="center"/>
            </w:pPr>
            <w:r>
              <w:t>Optimal C</w:t>
            </w:r>
          </w:p>
        </w:tc>
        <w:tc>
          <w:tcPr>
            <w:tcW w:w="1073" w:type="dxa"/>
          </w:tcPr>
          <w:p w:rsidR="00125BAA" w:rsidRDefault="00125BAA" w:rsidP="00125BAA">
            <w:pPr>
              <w:jc w:val="center"/>
            </w:pPr>
            <w:r>
              <w:t>Optimal</w:t>
            </w:r>
          </w:p>
          <w:p w:rsidR="00125BAA" w:rsidRDefault="00125BAA" w:rsidP="00125BAA">
            <w:pPr>
              <w:jc w:val="center"/>
            </w:pPr>
            <w:r>
              <w:t>Degree</w:t>
            </w:r>
          </w:p>
        </w:tc>
        <w:tc>
          <w:tcPr>
            <w:tcW w:w="1061" w:type="dxa"/>
          </w:tcPr>
          <w:p w:rsidR="00125BAA" w:rsidRDefault="00125BAA" w:rsidP="00125BAA">
            <w:pPr>
              <w:jc w:val="center"/>
            </w:pPr>
            <w:r>
              <w:t>Train Error</w:t>
            </w:r>
          </w:p>
        </w:tc>
        <w:tc>
          <w:tcPr>
            <w:tcW w:w="1142" w:type="dxa"/>
          </w:tcPr>
          <w:p w:rsidR="00125BAA" w:rsidRDefault="00125BAA" w:rsidP="00125BAA">
            <w:pPr>
              <w:jc w:val="center"/>
            </w:pPr>
            <w:r>
              <w:t>Test</w:t>
            </w:r>
          </w:p>
          <w:p w:rsidR="00125BAA" w:rsidRDefault="00125BAA" w:rsidP="00125BAA">
            <w:pPr>
              <w:jc w:val="center"/>
            </w:pPr>
            <w:r>
              <w:t>Error</w:t>
            </w:r>
          </w:p>
        </w:tc>
      </w:tr>
      <w:tr w:rsidR="00125BAA" w:rsidTr="005479BF">
        <w:trPr>
          <w:trHeight w:val="278"/>
        </w:trPr>
        <w:tc>
          <w:tcPr>
            <w:tcW w:w="2055" w:type="dxa"/>
          </w:tcPr>
          <w:p w:rsidR="00125BAA" w:rsidRDefault="00BB1CDE" w:rsidP="005479BF">
            <w:pPr>
              <w:jc w:val="center"/>
            </w:pPr>
            <w:r>
              <w:t>Ripley’s Dataset</w:t>
            </w:r>
          </w:p>
          <w:p w:rsidR="005479BF" w:rsidRDefault="005479BF" w:rsidP="005479BF">
            <w:pPr>
              <w:jc w:val="center"/>
            </w:pPr>
          </w:p>
        </w:tc>
        <w:tc>
          <w:tcPr>
            <w:tcW w:w="934" w:type="dxa"/>
          </w:tcPr>
          <w:p w:rsidR="00125BAA" w:rsidRDefault="005479BF" w:rsidP="005479BF">
            <w:pPr>
              <w:jc w:val="center"/>
            </w:pPr>
            <w:r>
              <w:t>13</w:t>
            </w:r>
          </w:p>
        </w:tc>
        <w:tc>
          <w:tcPr>
            <w:tcW w:w="986" w:type="dxa"/>
          </w:tcPr>
          <w:p w:rsidR="00125BAA" w:rsidRDefault="005479BF" w:rsidP="005479BF">
            <w:pPr>
              <w:jc w:val="center"/>
            </w:pPr>
            <w:r>
              <w:t>0.12</w:t>
            </w:r>
          </w:p>
        </w:tc>
        <w:tc>
          <w:tcPr>
            <w:tcW w:w="1026" w:type="dxa"/>
          </w:tcPr>
          <w:p w:rsidR="00125BAA" w:rsidRPr="00493171" w:rsidRDefault="005479BF" w:rsidP="005479BF">
            <w:pPr>
              <w:jc w:val="center"/>
              <w:rPr>
                <w:b/>
              </w:rPr>
            </w:pPr>
            <w:r w:rsidRPr="00493171">
              <w:rPr>
                <w:b/>
              </w:rPr>
              <w:t>0.</w:t>
            </w:r>
            <w:r w:rsidR="008A2AD3">
              <w:rPr>
                <w:b/>
              </w:rPr>
              <w:t>0</w:t>
            </w:r>
            <w:r w:rsidRPr="00493171">
              <w:rPr>
                <w:b/>
              </w:rPr>
              <w:t>97</w:t>
            </w:r>
          </w:p>
        </w:tc>
        <w:tc>
          <w:tcPr>
            <w:tcW w:w="1073" w:type="dxa"/>
          </w:tcPr>
          <w:p w:rsidR="00125BAA" w:rsidRDefault="003263B0" w:rsidP="005479BF">
            <w:pPr>
              <w:jc w:val="center"/>
            </w:pPr>
            <w:r>
              <w:t>2</w:t>
            </w:r>
          </w:p>
        </w:tc>
        <w:tc>
          <w:tcPr>
            <w:tcW w:w="1073" w:type="dxa"/>
          </w:tcPr>
          <w:p w:rsidR="00125BAA" w:rsidRDefault="003263B0" w:rsidP="005479BF">
            <w:pPr>
              <w:jc w:val="center"/>
            </w:pPr>
            <w:r>
              <w:t>1</w:t>
            </w:r>
          </w:p>
        </w:tc>
        <w:tc>
          <w:tcPr>
            <w:tcW w:w="1061" w:type="dxa"/>
          </w:tcPr>
          <w:p w:rsidR="00125BAA" w:rsidRDefault="005479BF" w:rsidP="005479BF">
            <w:pPr>
              <w:jc w:val="center"/>
            </w:pPr>
            <w:r>
              <w:t>0.1</w:t>
            </w:r>
            <w:r w:rsidR="003263B0">
              <w:t>5</w:t>
            </w:r>
          </w:p>
        </w:tc>
        <w:tc>
          <w:tcPr>
            <w:tcW w:w="1142" w:type="dxa"/>
          </w:tcPr>
          <w:p w:rsidR="00125BAA" w:rsidRDefault="005479BF" w:rsidP="005479BF">
            <w:pPr>
              <w:jc w:val="center"/>
            </w:pPr>
            <w:r>
              <w:t>0.10</w:t>
            </w:r>
            <w:r w:rsidR="003263B0">
              <w:t>9</w:t>
            </w:r>
          </w:p>
        </w:tc>
      </w:tr>
      <w:tr w:rsidR="00125BAA" w:rsidTr="00E6396A">
        <w:tc>
          <w:tcPr>
            <w:tcW w:w="2055" w:type="dxa"/>
          </w:tcPr>
          <w:p w:rsidR="00125BAA" w:rsidRDefault="00BB1CDE" w:rsidP="005479BF">
            <w:pPr>
              <w:jc w:val="center"/>
            </w:pPr>
            <w:r>
              <w:t>High-Dimensional Dataset</w:t>
            </w:r>
          </w:p>
        </w:tc>
        <w:tc>
          <w:tcPr>
            <w:tcW w:w="934" w:type="dxa"/>
          </w:tcPr>
          <w:p w:rsidR="00125BAA" w:rsidRDefault="005479BF" w:rsidP="005479BF">
            <w:pPr>
              <w:jc w:val="center"/>
            </w:pPr>
            <w:r>
              <w:t>9</w:t>
            </w:r>
          </w:p>
        </w:tc>
        <w:tc>
          <w:tcPr>
            <w:tcW w:w="986" w:type="dxa"/>
          </w:tcPr>
          <w:p w:rsidR="00125BAA" w:rsidRDefault="005479BF" w:rsidP="005479BF">
            <w:pPr>
              <w:jc w:val="center"/>
            </w:pPr>
            <w:r>
              <w:t>0.16</w:t>
            </w:r>
          </w:p>
        </w:tc>
        <w:tc>
          <w:tcPr>
            <w:tcW w:w="1026" w:type="dxa"/>
          </w:tcPr>
          <w:p w:rsidR="00125BAA" w:rsidRDefault="005479BF" w:rsidP="005479BF">
            <w:pPr>
              <w:jc w:val="center"/>
            </w:pPr>
            <w:r>
              <w:t>0.27</w:t>
            </w:r>
          </w:p>
        </w:tc>
        <w:tc>
          <w:tcPr>
            <w:tcW w:w="1073" w:type="dxa"/>
          </w:tcPr>
          <w:p w:rsidR="00125BAA" w:rsidRDefault="005479BF" w:rsidP="005479BF">
            <w:pPr>
              <w:jc w:val="center"/>
            </w:pPr>
            <w:r>
              <w:t>0.25</w:t>
            </w:r>
          </w:p>
        </w:tc>
        <w:tc>
          <w:tcPr>
            <w:tcW w:w="1073" w:type="dxa"/>
          </w:tcPr>
          <w:p w:rsidR="00125BAA" w:rsidRDefault="005479BF" w:rsidP="005479BF">
            <w:pPr>
              <w:jc w:val="center"/>
            </w:pPr>
            <w:r>
              <w:t>3</w:t>
            </w:r>
          </w:p>
        </w:tc>
        <w:tc>
          <w:tcPr>
            <w:tcW w:w="1061" w:type="dxa"/>
          </w:tcPr>
          <w:p w:rsidR="00125BAA" w:rsidRDefault="005479BF" w:rsidP="005479BF">
            <w:pPr>
              <w:jc w:val="center"/>
            </w:pPr>
            <w:r>
              <w:t>0</w:t>
            </w:r>
          </w:p>
        </w:tc>
        <w:tc>
          <w:tcPr>
            <w:tcW w:w="1142" w:type="dxa"/>
          </w:tcPr>
          <w:p w:rsidR="00125BAA" w:rsidRPr="00493171" w:rsidRDefault="005479BF" w:rsidP="005479BF">
            <w:pPr>
              <w:jc w:val="center"/>
              <w:rPr>
                <w:b/>
              </w:rPr>
            </w:pPr>
            <w:r w:rsidRPr="00493171">
              <w:rPr>
                <w:b/>
              </w:rPr>
              <w:t>0.15</w:t>
            </w:r>
          </w:p>
        </w:tc>
      </w:tr>
    </w:tbl>
    <w:p w:rsidR="00125BAA" w:rsidRDefault="008A2AD3" w:rsidP="008A2AD3">
      <w:pPr>
        <w:jc w:val="both"/>
        <w:rPr>
          <w:rFonts w:eastAsiaTheme="minorEastAsia"/>
        </w:rPr>
      </w:pPr>
      <w:r>
        <w:t>For Ripley’s dataset, the number of training, validation, and test sample is set to 250, 250, and 750, respectively. During model selection, the range of k is set as [3, 5, 7, …, 15] for the k-NN classifier, whereas the range of C and polynomial degree is set as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Pr>
          <w:rFonts w:eastAsiaTheme="minorEastAsia"/>
        </w:rPr>
        <w:t xml:space="preserve"> and [1,2,3,4] respectively, for the polynomial SVM. The same range of parameters for k-NN and polynomial SVM is also used for the high-dimensional dataset. For the Ripley’s dataset, the k-NN achieves lower </w:t>
      </w:r>
      <w:r w:rsidR="00B80EE8">
        <w:rPr>
          <w:rFonts w:eastAsiaTheme="minorEastAsia"/>
        </w:rPr>
        <w:t xml:space="preserve">training and </w:t>
      </w:r>
      <w:r>
        <w:rPr>
          <w:rFonts w:eastAsiaTheme="minorEastAsia"/>
        </w:rPr>
        <w:t xml:space="preserve">test error than the polynomial SVM. </w:t>
      </w:r>
      <w:r w:rsidR="00B80EE8">
        <w:rPr>
          <w:rFonts w:eastAsiaTheme="minorEastAsia"/>
        </w:rPr>
        <w:t xml:space="preserve">This result indicates the k-NN has better generalization than the polynomial SVM, for the Ripley’s dataset. On the other hand, for the high-dimensional dataset, the polynomial SVM achieve much lower training and test error than the k-NN. This is because the high-dimensional dataset contains many irrelevant features (such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20</m:t>
            </m:r>
          </m:sub>
        </m:sSub>
      </m:oMath>
      <w:r w:rsidR="00B80EE8">
        <w:rPr>
          <w:rFonts w:eastAsiaTheme="minorEastAsia"/>
        </w:rPr>
        <w:t xml:space="preserve">), and k-NN </w:t>
      </w:r>
      <w:r w:rsidR="009C5323">
        <w:rPr>
          <w:rFonts w:eastAsiaTheme="minorEastAsia"/>
        </w:rPr>
        <w:t xml:space="preserve">is ill-suited to deal with dataset with irrelevant features (all features contributes equally). In contrast, polynomial SVM is </w:t>
      </w:r>
      <w:r w:rsidR="009C4F4B">
        <w:rPr>
          <w:rFonts w:eastAsiaTheme="minorEastAsia"/>
        </w:rPr>
        <w:t xml:space="preserve">much more </w:t>
      </w:r>
      <w:r w:rsidR="009C5323">
        <w:rPr>
          <w:rFonts w:eastAsiaTheme="minorEastAsia"/>
        </w:rPr>
        <w:t xml:space="preserve">effective against irrelevant features. </w:t>
      </w:r>
    </w:p>
    <w:p w:rsidR="009512D3" w:rsidRDefault="009512D3" w:rsidP="008A2AD3">
      <w:pPr>
        <w:jc w:val="both"/>
        <w:rPr>
          <w:rFonts w:eastAsiaTheme="minorEastAsia"/>
        </w:rPr>
      </w:pPr>
    </w:p>
    <w:p w:rsidR="009512D3" w:rsidRDefault="009512D3" w:rsidP="008A2AD3">
      <w:pPr>
        <w:jc w:val="both"/>
        <w:rPr>
          <w:rFonts w:eastAsiaTheme="minorEastAsia"/>
        </w:rPr>
      </w:pPr>
    </w:p>
    <w:p w:rsidR="009512D3" w:rsidRDefault="009512D3" w:rsidP="008A2AD3">
      <w:pPr>
        <w:jc w:val="both"/>
        <w:rPr>
          <w:rFonts w:eastAsiaTheme="minorEastAsia"/>
        </w:rPr>
      </w:pPr>
    </w:p>
    <w:p w:rsidR="009512D3" w:rsidRDefault="009512D3" w:rsidP="008A2AD3">
      <w:pPr>
        <w:jc w:val="both"/>
        <w:rPr>
          <w:rFonts w:eastAsiaTheme="minorEastAsia"/>
        </w:rPr>
      </w:pPr>
    </w:p>
    <w:p w:rsidR="009512D3" w:rsidRDefault="009512D3" w:rsidP="009512D3">
      <w:pPr>
        <w:jc w:val="center"/>
        <w:rPr>
          <w:rFonts w:eastAsiaTheme="minorEastAsia"/>
        </w:rPr>
      </w:pPr>
      <w:r>
        <w:rPr>
          <w:rFonts w:eastAsiaTheme="minorEastAsia"/>
          <w:noProof/>
        </w:rPr>
        <w:lastRenderedPageBreak/>
        <w:drawing>
          <wp:inline distT="0" distB="0" distL="0" distR="0">
            <wp:extent cx="2968388" cy="2227958"/>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6776" cy="2249265"/>
                    </a:xfrm>
                    <a:prstGeom prst="rect">
                      <a:avLst/>
                    </a:prstGeom>
                    <a:noFill/>
                    <a:ln>
                      <a:noFill/>
                    </a:ln>
                  </pic:spPr>
                </pic:pic>
              </a:graphicData>
            </a:graphic>
          </wp:inline>
        </w:drawing>
      </w:r>
      <w:r>
        <w:rPr>
          <w:rFonts w:eastAsiaTheme="minorEastAsia"/>
          <w:noProof/>
        </w:rPr>
        <w:drawing>
          <wp:inline distT="0" distB="0" distL="0" distR="0">
            <wp:extent cx="2968388" cy="2227958"/>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0970" cy="2244907"/>
                    </a:xfrm>
                    <a:prstGeom prst="rect">
                      <a:avLst/>
                    </a:prstGeom>
                    <a:noFill/>
                    <a:ln>
                      <a:noFill/>
                    </a:ln>
                  </pic:spPr>
                </pic:pic>
              </a:graphicData>
            </a:graphic>
          </wp:inline>
        </w:drawing>
      </w:r>
    </w:p>
    <w:p w:rsidR="00DC0BF6" w:rsidRDefault="009512D3" w:rsidP="009512D3">
      <w:pPr>
        <w:jc w:val="center"/>
      </w:pPr>
      <w:r>
        <w:t xml:space="preserve">Decision Boundary of optimal </w:t>
      </w:r>
      <w:proofErr w:type="spellStart"/>
      <w:r>
        <w:t>kNN</w:t>
      </w:r>
      <w:proofErr w:type="spellEnd"/>
      <w:r>
        <w:t xml:space="preserve"> and polynomial SVM for Ripley’s dataset.</w:t>
      </w:r>
    </w:p>
    <w:p w:rsidR="00DC0BF6" w:rsidRDefault="00DC0BF6" w:rsidP="008A2AD3">
      <w:pPr>
        <w:jc w:val="both"/>
      </w:pPr>
    </w:p>
    <w:p w:rsidR="00092456" w:rsidRDefault="00092456" w:rsidP="008A2AD3">
      <w:pPr>
        <w:jc w:val="both"/>
        <w:rPr>
          <w:u w:val="single"/>
        </w:rPr>
      </w:pPr>
      <w:r w:rsidRPr="00092456">
        <w:rPr>
          <w:u w:val="single"/>
        </w:rPr>
        <w:t>Problem 4</w:t>
      </w:r>
      <w:bookmarkStart w:id="0" w:name="_GoBack"/>
      <w:bookmarkEnd w:id="0"/>
    </w:p>
    <w:p w:rsidR="009512D3" w:rsidRPr="009512D3" w:rsidRDefault="009512D3" w:rsidP="009512D3">
      <w:pPr>
        <w:spacing w:after="0"/>
        <w:jc w:val="both"/>
      </w:pPr>
      <w:r>
        <w:t>Results</w:t>
      </w:r>
    </w:p>
    <w:tbl>
      <w:tblPr>
        <w:tblStyle w:val="TableGrid"/>
        <w:tblW w:w="0" w:type="auto"/>
        <w:tblLook w:val="04A0" w:firstRow="1" w:lastRow="0" w:firstColumn="1" w:lastColumn="0" w:noHBand="0" w:noVBand="1"/>
      </w:tblPr>
      <w:tblGrid>
        <w:gridCol w:w="1870"/>
        <w:gridCol w:w="1870"/>
        <w:gridCol w:w="1870"/>
        <w:gridCol w:w="1870"/>
        <w:gridCol w:w="1870"/>
      </w:tblGrid>
      <w:tr w:rsidR="00DC0BF6" w:rsidTr="00DC0BF6">
        <w:tc>
          <w:tcPr>
            <w:tcW w:w="1870" w:type="dxa"/>
          </w:tcPr>
          <w:p w:rsidR="00DC0BF6" w:rsidRDefault="00DC0BF6" w:rsidP="008A2AD3">
            <w:pPr>
              <w:jc w:val="both"/>
            </w:pPr>
          </w:p>
        </w:tc>
        <w:tc>
          <w:tcPr>
            <w:tcW w:w="1870" w:type="dxa"/>
          </w:tcPr>
          <w:p w:rsidR="00DC0BF6" w:rsidRDefault="00DC0BF6" w:rsidP="00DC0BF6">
            <w:pPr>
              <w:jc w:val="center"/>
            </w:pPr>
            <w:r>
              <w:t>Optimal C</w:t>
            </w:r>
          </w:p>
        </w:tc>
        <w:tc>
          <w:tcPr>
            <w:tcW w:w="1870" w:type="dxa"/>
          </w:tcPr>
          <w:p w:rsidR="00DC0BF6" w:rsidRDefault="00DC0BF6" w:rsidP="00DC0BF6">
            <w:pPr>
              <w:jc w:val="center"/>
            </w:pPr>
            <w:r>
              <w:t xml:space="preserve">Optimal </w:t>
            </w:r>
            <m:oMath>
              <m:r>
                <w:rPr>
                  <w:rFonts w:ascii="Cambria Math" w:hAnsi="Cambria Math"/>
                </w:rPr>
                <m:t>γ</m:t>
              </m:r>
            </m:oMath>
          </w:p>
        </w:tc>
        <w:tc>
          <w:tcPr>
            <w:tcW w:w="1870" w:type="dxa"/>
          </w:tcPr>
          <w:p w:rsidR="00DC0BF6" w:rsidRDefault="00DC0BF6" w:rsidP="00DC0BF6">
            <w:pPr>
              <w:jc w:val="center"/>
            </w:pPr>
            <w:r>
              <w:t>Training Error</w:t>
            </w:r>
          </w:p>
        </w:tc>
        <w:tc>
          <w:tcPr>
            <w:tcW w:w="1870" w:type="dxa"/>
          </w:tcPr>
          <w:p w:rsidR="00DC0BF6" w:rsidRDefault="00DC0BF6" w:rsidP="00DC0BF6">
            <w:pPr>
              <w:jc w:val="center"/>
            </w:pPr>
            <w:r>
              <w:t>Test Error</w:t>
            </w:r>
          </w:p>
        </w:tc>
      </w:tr>
      <w:tr w:rsidR="00DC0BF6" w:rsidTr="00DC0BF6">
        <w:tc>
          <w:tcPr>
            <w:tcW w:w="1870" w:type="dxa"/>
          </w:tcPr>
          <w:p w:rsidR="00DC0BF6" w:rsidRDefault="00DC0BF6" w:rsidP="008A2AD3">
            <w:pPr>
              <w:jc w:val="both"/>
            </w:pPr>
            <w:r>
              <w:t>Small Training Size</w:t>
            </w:r>
          </w:p>
          <w:p w:rsidR="005C4A0B" w:rsidRDefault="005C4A0B" w:rsidP="00762AC4">
            <w:pPr>
              <w:jc w:val="center"/>
            </w:pPr>
            <w:r>
              <w:t>(Averaged over 100 realization)</w:t>
            </w:r>
          </w:p>
        </w:tc>
        <w:tc>
          <w:tcPr>
            <w:tcW w:w="1870" w:type="dxa"/>
          </w:tcPr>
          <w:p w:rsidR="00DC0BF6" w:rsidRDefault="00762AC4" w:rsidP="00DC0BF6">
            <w:pPr>
              <w:jc w:val="center"/>
            </w:pPr>
            <w:r>
              <w:t>-</w:t>
            </w:r>
          </w:p>
        </w:tc>
        <w:tc>
          <w:tcPr>
            <w:tcW w:w="1870" w:type="dxa"/>
          </w:tcPr>
          <w:p w:rsidR="00DC0BF6" w:rsidRDefault="00762AC4" w:rsidP="00DC0BF6">
            <w:pPr>
              <w:jc w:val="center"/>
            </w:pPr>
            <w:r>
              <w:t>-</w:t>
            </w:r>
          </w:p>
        </w:tc>
        <w:tc>
          <w:tcPr>
            <w:tcW w:w="1870" w:type="dxa"/>
          </w:tcPr>
          <w:p w:rsidR="00DC0BF6" w:rsidRDefault="00DC0BF6" w:rsidP="00DC0BF6">
            <w:pPr>
              <w:jc w:val="center"/>
            </w:pPr>
            <w:r>
              <w:t>0</w:t>
            </w:r>
            <m:oMath>
              <m:r>
                <w:rPr>
                  <w:rFonts w:ascii="Cambria Math" w:hAnsi="Cambria Math"/>
                </w:rPr>
                <m:t>±0</m:t>
              </m:r>
            </m:oMath>
          </w:p>
        </w:tc>
        <w:tc>
          <w:tcPr>
            <w:tcW w:w="1870" w:type="dxa"/>
          </w:tcPr>
          <w:p w:rsidR="00DC0BF6" w:rsidRDefault="00DC0BF6" w:rsidP="00DC0BF6">
            <w:pPr>
              <w:jc w:val="center"/>
            </w:pPr>
            <w:r>
              <w:t>0.</w:t>
            </w:r>
            <w:r w:rsidR="00762AC4">
              <w:t>1</w:t>
            </w:r>
            <w:r w:rsidR="00387766">
              <w:t>68</w:t>
            </w:r>
            <m:oMath>
              <m:r>
                <w:rPr>
                  <w:rFonts w:ascii="Cambria Math" w:hAnsi="Cambria Math"/>
                </w:rPr>
                <m:t>±</m:t>
              </m:r>
            </m:oMath>
            <w:r w:rsidR="00762AC4">
              <w:rPr>
                <w:rFonts w:eastAsiaTheme="minorEastAsia"/>
              </w:rPr>
              <w:t>0.0</w:t>
            </w:r>
            <w:r w:rsidR="00BB30CF">
              <w:rPr>
                <w:rFonts w:eastAsiaTheme="minorEastAsia"/>
              </w:rPr>
              <w:t>4</w:t>
            </w:r>
          </w:p>
        </w:tc>
      </w:tr>
      <w:tr w:rsidR="00DC0BF6" w:rsidTr="00DC0BF6">
        <w:tc>
          <w:tcPr>
            <w:tcW w:w="1870" w:type="dxa"/>
          </w:tcPr>
          <w:p w:rsidR="00DC0BF6" w:rsidRDefault="00DC0BF6" w:rsidP="008A2AD3">
            <w:pPr>
              <w:jc w:val="both"/>
            </w:pPr>
            <w:r>
              <w:t>Large Training Size</w:t>
            </w:r>
          </w:p>
        </w:tc>
        <w:tc>
          <w:tcPr>
            <w:tcW w:w="1870" w:type="dxa"/>
          </w:tcPr>
          <w:p w:rsidR="00DC0BF6" w:rsidRDefault="00DC0BF6" w:rsidP="00DC0BF6">
            <w:pPr>
              <w:jc w:val="center"/>
            </w:pPr>
            <w:r>
              <w:t>0.25</w:t>
            </w:r>
          </w:p>
        </w:tc>
        <w:tc>
          <w:tcPr>
            <w:tcW w:w="1870" w:type="dxa"/>
          </w:tcPr>
          <w:p w:rsidR="00DC0BF6" w:rsidRDefault="00BB30CF" w:rsidP="00DC0BF6">
            <w:pPr>
              <w:jc w:val="center"/>
            </w:pPr>
            <w:r>
              <w:t>8</w:t>
            </w:r>
          </w:p>
        </w:tc>
        <w:tc>
          <w:tcPr>
            <w:tcW w:w="1870" w:type="dxa"/>
          </w:tcPr>
          <w:p w:rsidR="00DC0BF6" w:rsidRDefault="00DC0BF6" w:rsidP="00DC0BF6">
            <w:pPr>
              <w:jc w:val="center"/>
            </w:pPr>
            <w:r>
              <w:t>0</w:t>
            </w:r>
          </w:p>
        </w:tc>
        <w:tc>
          <w:tcPr>
            <w:tcW w:w="1870" w:type="dxa"/>
          </w:tcPr>
          <w:p w:rsidR="00DC0BF6" w:rsidRDefault="00DC0BF6" w:rsidP="00DC0BF6">
            <w:pPr>
              <w:jc w:val="center"/>
            </w:pPr>
            <w:r>
              <w:t>0.0</w:t>
            </w:r>
            <w:r w:rsidR="00BB30CF">
              <w:t>42</w:t>
            </w:r>
          </w:p>
        </w:tc>
      </w:tr>
      <w:tr w:rsidR="00DC0BF6" w:rsidTr="00DC0BF6">
        <w:tc>
          <w:tcPr>
            <w:tcW w:w="1870" w:type="dxa"/>
          </w:tcPr>
          <w:p w:rsidR="00DC0BF6" w:rsidRDefault="00DC0BF6" w:rsidP="008A2AD3">
            <w:pPr>
              <w:jc w:val="both"/>
            </w:pPr>
            <w:r>
              <w:t>Large Training Size (5% output noise)</w:t>
            </w:r>
          </w:p>
        </w:tc>
        <w:tc>
          <w:tcPr>
            <w:tcW w:w="1870" w:type="dxa"/>
          </w:tcPr>
          <w:p w:rsidR="00DC0BF6" w:rsidRDefault="001F54C5" w:rsidP="00DC0BF6">
            <w:pPr>
              <w:jc w:val="center"/>
            </w:pPr>
            <w:r>
              <w:t>0.25</w:t>
            </w:r>
          </w:p>
        </w:tc>
        <w:tc>
          <w:tcPr>
            <w:tcW w:w="1870" w:type="dxa"/>
          </w:tcPr>
          <w:p w:rsidR="00DC0BF6" w:rsidRDefault="00BB30CF" w:rsidP="00DC0BF6">
            <w:pPr>
              <w:jc w:val="center"/>
            </w:pPr>
            <w:r>
              <w:t>8</w:t>
            </w:r>
          </w:p>
        </w:tc>
        <w:tc>
          <w:tcPr>
            <w:tcW w:w="1870" w:type="dxa"/>
          </w:tcPr>
          <w:p w:rsidR="00DC0BF6" w:rsidRDefault="001F54C5" w:rsidP="00DC0BF6">
            <w:pPr>
              <w:jc w:val="center"/>
            </w:pPr>
            <w:r>
              <w:t>0</w:t>
            </w:r>
          </w:p>
        </w:tc>
        <w:tc>
          <w:tcPr>
            <w:tcW w:w="1870" w:type="dxa"/>
          </w:tcPr>
          <w:p w:rsidR="00DC0BF6" w:rsidRDefault="001F54C5" w:rsidP="00DC0BF6">
            <w:pPr>
              <w:jc w:val="center"/>
            </w:pPr>
            <w:r>
              <w:t>0.1</w:t>
            </w:r>
            <w:r w:rsidR="00BB30CF">
              <w:t>14</w:t>
            </w:r>
          </w:p>
        </w:tc>
      </w:tr>
    </w:tbl>
    <w:p w:rsidR="00092456" w:rsidRDefault="00092456" w:rsidP="008A2AD3">
      <w:pPr>
        <w:jc w:val="both"/>
      </w:pPr>
    </w:p>
    <w:p w:rsidR="001F54C5" w:rsidRDefault="001F54C5" w:rsidP="009512D3">
      <w:pPr>
        <w:spacing w:after="0"/>
        <w:jc w:val="both"/>
      </w:pPr>
      <w:r>
        <w:t>Model selection</w:t>
      </w:r>
    </w:p>
    <w:p w:rsidR="009512D3" w:rsidRDefault="009512D3" w:rsidP="008A2AD3">
      <w:pPr>
        <w:jc w:val="both"/>
      </w:pPr>
      <w:r>
        <w:t>All optimal modeling results are chosen based on given range of parameter C =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Pr>
          <w:rFonts w:eastAsiaTheme="minorEastAsia"/>
        </w:rPr>
        <w:t xml:space="preserve"> and </w:t>
      </w:r>
      <m:oMath>
        <m:r>
          <w:rPr>
            <w:rFonts w:ascii="Cambria Math" w:eastAsiaTheme="minorEastAsia" w:hAnsi="Cambria Math"/>
          </w:rPr>
          <m:t>γ=[</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 xml:space="preserve">], and the optimal parameter are shown in the table above. </w:t>
      </w:r>
    </w:p>
    <w:sectPr w:rsidR="0095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8F"/>
    <w:rsid w:val="0004378F"/>
    <w:rsid w:val="00092456"/>
    <w:rsid w:val="00096867"/>
    <w:rsid w:val="00125BAA"/>
    <w:rsid w:val="001F54C5"/>
    <w:rsid w:val="002C0BAA"/>
    <w:rsid w:val="003263B0"/>
    <w:rsid w:val="00387766"/>
    <w:rsid w:val="00493171"/>
    <w:rsid w:val="005479BF"/>
    <w:rsid w:val="005C4A0B"/>
    <w:rsid w:val="00743176"/>
    <w:rsid w:val="00762AC4"/>
    <w:rsid w:val="00860844"/>
    <w:rsid w:val="008A2AD3"/>
    <w:rsid w:val="009512D3"/>
    <w:rsid w:val="009C384B"/>
    <w:rsid w:val="009C4F4B"/>
    <w:rsid w:val="009C5323"/>
    <w:rsid w:val="00B80EE8"/>
    <w:rsid w:val="00BB1CDE"/>
    <w:rsid w:val="00BB30CF"/>
    <w:rsid w:val="00DC0BF6"/>
    <w:rsid w:val="00E35D0B"/>
    <w:rsid w:val="00E6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1737"/>
  <w15:chartTrackingRefBased/>
  <w15:docId w15:val="{8B58F191-D3C4-4D21-AD91-0A8A5CB0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78F"/>
    <w:rPr>
      <w:color w:val="808080"/>
    </w:rPr>
  </w:style>
  <w:style w:type="table" w:styleId="TableGrid">
    <w:name w:val="Table Grid"/>
    <w:basedOn w:val="TableNormal"/>
    <w:uiPriority w:val="39"/>
    <w:rsid w:val="00096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Hock Lee</dc:creator>
  <cp:keywords/>
  <dc:description/>
  <cp:lastModifiedBy>Eng Hock Lee</cp:lastModifiedBy>
  <cp:revision>6</cp:revision>
  <dcterms:created xsi:type="dcterms:W3CDTF">2021-11-13T00:14:00Z</dcterms:created>
  <dcterms:modified xsi:type="dcterms:W3CDTF">2021-11-14T00:34:00Z</dcterms:modified>
</cp:coreProperties>
</file>