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rPr>
          <w:bCs/>
          <w:b/>
        </w:rPr>
        <w:t xml:space="preserve">A System of Multiple AI Agents for Automating Tokamak-Plasma Simulation for Nuclear Fusion Energy (with a Hierarchical Multi-Agent PETSc System)</w:t>
      </w:r>
    </w:p>
    <w:bookmarkEnd w:id="20"/>
    <w:bookmarkStart w:id="23" w:name="presenters"/>
    <w:p>
      <w:pPr>
        <w:pStyle w:val="Heading1"/>
      </w:pPr>
      <w:r>
        <w:t xml:space="preserve">Presenters</w:t>
      </w:r>
    </w:p>
    <w:p>
      <w:pPr>
        <w:pStyle w:val="FirstParagraph"/>
      </w:pPr>
      <w:r>
        <w:t xml:space="preserve">Sarthak Sharma</w:t>
      </w:r>
      <w:r>
        <w:t xml:space="preserve"> </w:t>
      </w:r>
      <w:hyperlink r:id="rId21">
        <w:r>
          <w:rPr>
            <w:rStyle w:val="Hyperlink"/>
          </w:rPr>
          <w:t xml:space="preserve">ss694@buffalo.edu</w:t>
        </w:r>
      </w:hyperlink>
      <w:r>
        <w:t xml:space="preserve">, PhD candidate in Computational and Data Sciences, State University of New York at Buffalo, 0009-0009-6746-169X</w:t>
      </w:r>
    </w:p>
    <w:p>
      <w:pPr>
        <w:pStyle w:val="BodyText"/>
      </w:pPr>
      <w:r>
        <w:t xml:space="preserve">Dr Junchao Zhang</w:t>
      </w:r>
      <w:r>
        <w:t xml:space="preserve"> </w:t>
      </w:r>
      <w:hyperlink r:id="rId22">
        <w:r>
          <w:rPr>
            <w:rStyle w:val="Hyperlink"/>
          </w:rPr>
          <w:t xml:space="preserve">jczhang@anl.gov</w:t>
        </w:r>
      </w:hyperlink>
      <w:r>
        <w:t xml:space="preserve">, Division of Mathematics and Computer Science, Argonne National Laboratory, 0000-0003-0367-2358</w:t>
      </w:r>
    </w:p>
    <w:bookmarkEnd w:id="23"/>
    <w:bookmarkStart w:id="24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research software engineering; AI agents for scientific computing; PETSc; partial differential equations; magnetically confined fusion; shaped tokamak equilibria; safety factor; verification and validation</w:t>
      </w:r>
    </w:p>
    <w:bookmarkEnd w:id="24"/>
    <w:bookmarkStart w:id="25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Building a correct, performant HPC simulation from a scientific idea still demands scarce,</w:t>
      </w:r>
      <w:r>
        <w:t xml:space="preserve"> </w:t>
      </w:r>
      <w:r>
        <w:t xml:space="preserve">largely implicit expertise in numerical methods and library APIs. We ask whether a</w:t>
      </w:r>
      <w:r>
        <w:t xml:space="preserve"> </w:t>
      </w:r>
      <w:r>
        <w:rPr>
          <w:bCs/>
          <w:b/>
        </w:rPr>
        <w:t xml:space="preserve">hierarchical multi-agent AI system</w:t>
      </w:r>
      <w:r>
        <w:t xml:space="preserve"> </w:t>
      </w:r>
      <w:r>
        <w:t xml:space="preserve">can automate that path for a real</w:t>
      </w:r>
      <w:r>
        <w:t xml:space="preserve"> </w:t>
      </w:r>
      <w:r>
        <w:t xml:space="preserve">fusion-energy problem, and whether the result can be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rather than merely</w:t>
      </w:r>
      <w:r>
        <w:t xml:space="preserve"> </w:t>
      </w:r>
      <w:r>
        <w:t xml:space="preserve">plausible.</w:t>
      </w:r>
    </w:p>
    <w:p>
      <w:pPr>
        <w:pStyle w:val="BodyText"/>
      </w:pPr>
      <w:r>
        <w:t xml:space="preserve">We use the PETSc multi-agent system (an open set of Model-Context-Protocol</w:t>
      </w:r>
      <w:r>
        <w:t xml:space="preserve"> </w:t>
      </w:r>
      <w:r>
        <w:t xml:space="preserve">“</w:t>
      </w:r>
      <w:r>
        <w:t xml:space="preserve">agents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gitlab.com/petsc/petsc_mcp_servers</w:t>
      </w:r>
      <w:r>
        <w:t xml:space="preserve">) to generate, from a plain-language description, a</w:t>
      </w:r>
      <w:r>
        <w:t xml:space="preserve"> </w:t>
      </w:r>
      <w:r>
        <w:t xml:space="preserve">PETSc simulation of the</w:t>
      </w:r>
      <w:r>
        <w:t xml:space="preserve"> </w:t>
      </w:r>
      <w:r>
        <w:rPr>
          <w:bCs/>
          <w:b/>
        </w:rPr>
        <w:t xml:space="preserve">tokamak Grad–Shafranov equilibrium</w:t>
      </w:r>
      <w:r>
        <w:t xml:space="preserve"> </w:t>
      </w:r>
      <w:r>
        <w:t xml:space="preserve">— the axisymmetric</w:t>
      </w:r>
      <w:r>
        <w:t xml:space="preserve"> </w:t>
      </w:r>
      <w:r>
        <w:t xml:space="preserve">ideal-MHD force balance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t>ψ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t> </m:t>
        </m:r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ψ</m:t>
            </m:r>
          </m:e>
        </m:d>
        <m:r>
          <m:rPr>
            <m:sty m:val="p"/>
          </m:rPr>
          <m:t>−</m:t>
        </m:r>
        <m:r>
          <m:t>F</m:t>
        </m:r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ψ</m:t>
            </m:r>
          </m:e>
        </m:d>
      </m:oMath>
      <w:r>
        <w:t xml:space="preserve"> </w:t>
      </w:r>
      <w:r>
        <w:t xml:space="preserve">that sets the shape of the magnetically confined plasma. The system mirrors the</w:t>
      </w:r>
      <w:r>
        <w:t xml:space="preserve"> </w:t>
      </w:r>
      <w:r>
        <w:t xml:space="preserve">three-layer architecture of the DOE proposal</w:t>
      </w:r>
      <w:r>
        <w:t xml:space="preserve"> </w:t>
      </w:r>
      <w:r>
        <w:rPr>
          <w:iCs/>
          <w:i/>
        </w:rPr>
        <w:t xml:space="preserve">Automated Problem-to-Solution Generation</w:t>
      </w:r>
      <w:r>
        <w:rPr>
          <w:iCs/>
          <w:i/>
        </w:rPr>
        <w:t xml:space="preserve"> </w:t>
      </w:r>
      <w:r>
        <w:rPr>
          <w:iCs/>
          <w:i/>
        </w:rPr>
        <w:t xml:space="preserve">for PDE-Based Simulation Science</w:t>
      </w:r>
      <w:r>
        <w:t xml:space="preserve">: a</w:t>
      </w:r>
      <w:r>
        <w:t xml:space="preserve"> </w:t>
      </w:r>
      <w:r>
        <w:rPr>
          <w:bCs/>
          <w:b/>
        </w:rPr>
        <w:t xml:space="preserve">Mathematical Modeling</w:t>
      </w:r>
      <w:r>
        <w:t xml:space="preserve"> </w:t>
      </w:r>
      <w:r>
        <w:t xml:space="preserve">agent, a</w:t>
      </w:r>
      <w:r>
        <w:t xml:space="preserve"> </w:t>
      </w:r>
      <w:r>
        <w:rPr>
          <w:bCs/>
          <w:b/>
        </w:rPr>
        <w:t xml:space="preserve">Numerical</w:t>
      </w:r>
      <w:r>
        <w:rPr>
          <w:bCs/>
          <w:b/>
        </w:rPr>
        <w:t xml:space="preserve"> </w:t>
      </w:r>
      <w:r>
        <w:rPr>
          <w:bCs/>
          <w:b/>
        </w:rPr>
        <w:t xml:space="preserve">Analysis</w:t>
      </w:r>
      <w:r>
        <w:t xml:space="preserve"> </w:t>
      </w:r>
      <w:r>
        <w:t xml:space="preserve">agent, and an</w:t>
      </w:r>
      <w:r>
        <w:t xml:space="preserve"> </w:t>
      </w:r>
      <w:r>
        <w:rPr>
          <w:bCs/>
          <w:b/>
        </w:rPr>
        <w:t xml:space="preserve">HPC Code Generation</w:t>
      </w:r>
      <w:r>
        <w:t xml:space="preserve"> </w:t>
      </w:r>
      <w:r>
        <w:t xml:space="preserve">agent that writes, compiles, and runs</w:t>
      </w:r>
      <w:r>
        <w:t xml:space="preserve"> </w:t>
      </w:r>
      <w:r>
        <w:t xml:space="preserve">PETSc C on the target machine — all driven against Argonne’s Argo LLM gateway (Claude</w:t>
      </w:r>
      <w:r>
        <w:t xml:space="preserve"> </w:t>
      </w:r>
      <w:r>
        <w:t xml:space="preserve">Opus 4.8). A project-owned orchestration driver records every structured</w:t>
      </w:r>
      <w:r>
        <w:t xml:space="preserve"> </w:t>
      </w:r>
      <w:r>
        <w:t xml:space="preserve">intermediate artifact (model, discretization decision, generated source, build/run logs)</w:t>
      </w:r>
      <w:r>
        <w:t xml:space="preserve"> </w:t>
      </w:r>
      <w:r>
        <w:t xml:space="preserve">with full provenance, making runs reproducible and resumable.</w:t>
      </w:r>
    </w:p>
    <w:p>
      <w:pPr>
        <w:pStyle w:val="BodyText"/>
      </w:pPr>
      <w:r>
        <w:t xml:space="preserve">From the prompt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Grad–Shafranov equilibrium for the magnetically confined plasma in</w:t>
      </w:r>
      <w:r>
        <w:rPr>
          <w:iCs/>
          <w:i/>
        </w:rPr>
        <w:t xml:space="preserve"> </w:t>
      </w:r>
      <w:r>
        <w:rPr>
          <w:iCs/>
          <w:i/>
        </w:rPr>
        <w:t xml:space="preserve">a tokamak,</w:t>
      </w:r>
      <w:r>
        <w:rPr>
          <w:iCs/>
          <w:i/>
        </w:rPr>
        <w:t xml:space="preserve">”</w:t>
      </w:r>
      <w:r>
        <w:t xml:space="preserve"> </w:t>
      </w:r>
      <w:r>
        <w:t xml:space="preserve">the Modeling agent identified the equation and returned its strong and weak</w:t>
      </w:r>
      <w:r>
        <w:t xml:space="preserve"> </w:t>
      </w:r>
      <w:r>
        <w:t xml:space="preserve">forms; the Numerical Analysis agent selected a nonlinear solve (</w:t>
      </w:r>
      <w:r>
        <w:rPr>
          <w:rStyle w:val="VerbatimChar"/>
        </w:rPr>
        <w:t xml:space="preserve">SNES</w:t>
      </w:r>
      <w:r>
        <w:t xml:space="preserve">) on a structured</w:t>
      </w:r>
      <w:r>
        <w:t xml:space="preserve"> </w:t>
      </w:r>
      <w:r>
        <w:t xml:space="preserve">grid; and the Code Generation agent produced a</w:t>
      </w:r>
      <w:r>
        <w:t xml:space="preserve"> </w:t>
      </w:r>
      <w:r>
        <w:rPr>
          <w:bCs/>
          <w:b/>
        </w:rPr>
        <w:t xml:space="preserve">267-line PETSc program</w:t>
      </w:r>
      <w:r>
        <w:t xml:space="preserve"> </w:t>
      </w:r>
      <w:r>
        <w:t xml:space="preserve">that</w:t>
      </w:r>
      <w:r>
        <w:t xml:space="preserve"> </w:t>
      </w:r>
      <w:r>
        <w:t xml:space="preserve">discretizes the Grad–Shafranov operator on a</w:t>
      </w:r>
      <w:r>
        <w:t xml:space="preserve"> </w:t>
      </w:r>
      <w:r>
        <w:rPr>
          <w:rStyle w:val="VerbatimChar"/>
        </w:rPr>
        <w:t xml:space="preserve">DMDA</w:t>
      </w:r>
      <w:r>
        <w:t xml:space="preserve"> </w:t>
      </w:r>
      <w:r>
        <w:t xml:space="preserve">with a true Jacobian and solves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SNES</w:t>
      </w:r>
      <w:r>
        <w:t xml:space="preserve">, including a built-in</w:t>
      </w:r>
      <w:r>
        <w:t xml:space="preserve"> </w:t>
      </w:r>
      <w:r>
        <w:rPr>
          <w:bCs/>
          <w:b/>
        </w:rPr>
        <w:t xml:space="preserve">method-of-manufactured-solutions</w:t>
      </w:r>
      <w:r>
        <w:t xml:space="preserve"> </w:t>
      </w:r>
      <w:r>
        <w:t xml:space="preserve">check. The</w:t>
      </w:r>
      <w:r>
        <w:t xml:space="preserve"> </w:t>
      </w:r>
      <w:r>
        <w:t xml:space="preserve">generated code compiled and ran on</w:t>
      </w:r>
      <w:r>
        <w:t xml:space="preserve"> </w:t>
      </w:r>
      <w:r>
        <w:rPr>
          <w:bCs/>
          <w:b/>
        </w:rPr>
        <w:t xml:space="preserve">1 and 4 MPI ranks</w:t>
      </w:r>
      <w:r>
        <w:t xml:space="preserve"> </w:t>
      </w:r>
      <w:r>
        <w:t xml:space="preserve">on an ANL CELS compute node with</w:t>
      </w:r>
      <w:r>
        <w:t xml:space="preserve"> </w:t>
      </w:r>
      <w:r>
        <w:rPr>
          <w:bCs/>
          <w:b/>
        </w:rPr>
        <w:t xml:space="preserve">no human edits</w:t>
      </w:r>
      <w:r>
        <w:t xml:space="preserve">. Verification confirms the numerics: the max-norm error is</w:t>
      </w:r>
      <w:r>
        <w:t xml:space="preserve"> </w:t>
      </w:r>
      <w:r>
        <w:rPr>
          <w:bCs/>
          <w:b/>
        </w:rPr>
        <w:t xml:space="preserve">2.1×10⁻⁴</w:t>
      </w:r>
      <w:r>
        <w:t xml:space="preserve"> </w:t>
      </w:r>
      <w:r>
        <w:t xml:space="preserve">on a 65×65 grid and falls to</w:t>
      </w:r>
      <w:r>
        <w:t xml:space="preserve"> </w:t>
      </w:r>
      <w:r>
        <w:rPr>
          <w:bCs/>
          <w:b/>
        </w:rPr>
        <w:t xml:space="preserve">1.3×10⁻⁵</w:t>
      </w:r>
      <w:r>
        <w:t xml:space="preserve"> </w:t>
      </w:r>
      <w:r>
        <w:t xml:space="preserve">on 257×257, giving an</w:t>
      </w:r>
      <w:r>
        <w:t xml:space="preserve"> </w:t>
      </w:r>
      <w:r>
        <w:rPr>
          <w:bCs/>
          <w:b/>
        </w:rPr>
        <w:t xml:space="preserve">observed</w:t>
      </w:r>
      <w:r>
        <w:rPr>
          <w:bCs/>
          <w:b/>
        </w:rPr>
        <w:t xml:space="preserve"> </w:t>
      </w:r>
      <w:r>
        <w:rPr>
          <w:bCs/>
          <w:b/>
        </w:rPr>
        <w:t xml:space="preserve">order of accuracy p = 2.00</w:t>
      </w:r>
      <w:r>
        <w:t xml:space="preserve"> </w:t>
      </w:r>
      <w:r>
        <w:t xml:space="preserve">(textbook second order for central differences) under grid</w:t>
      </w:r>
      <w:r>
        <w:t xml:space="preserve"> </w:t>
      </w:r>
      <w:r>
        <w:t xml:space="preserve">refinement, with</w:t>
      </w:r>
      <w:r>
        <w:t xml:space="preserve"> </w:t>
      </w:r>
      <w:r>
        <w:rPr>
          <w:rStyle w:val="VerbatimChar"/>
        </w:rPr>
        <w:t xml:space="preserve">SNES</w:t>
      </w:r>
      <w:r>
        <w:t xml:space="preserve"> </w:t>
      </w:r>
      <w:r>
        <w:t xml:space="preserve">reporting</w:t>
      </w:r>
      <w:r>
        <w:t xml:space="preserve"> </w:t>
      </w:r>
      <w:r>
        <w:rPr>
          <w:rStyle w:val="VerbatimChar"/>
        </w:rPr>
        <w:t xml:space="preserve">CONVERGED_FNORM_RELATIVE</w:t>
      </w:r>
      <w:r>
        <w:t xml:space="preserve">.</w:t>
      </w:r>
    </w:p>
    <w:p>
      <w:pPr>
        <w:pStyle w:val="BodyText"/>
      </w:pPr>
      <w:r>
        <w:t xml:space="preserve">We then drove the same pipeline into a</w:t>
      </w:r>
      <w:r>
        <w:t xml:space="preserve"> </w:t>
      </w:r>
      <w:r>
        <w:rPr>
          <w:bCs/>
          <w:b/>
        </w:rPr>
        <w:t xml:space="preserve">shaped, real-machine</w:t>
      </w:r>
      <w:r>
        <w:t xml:space="preserve"> </w:t>
      </w:r>
      <w:r>
        <w:t xml:space="preserve">regime. Using the analytic</w:t>
      </w:r>
      <w:r>
        <w:t xml:space="preserve"> </w:t>
      </w:r>
      <w:r>
        <w:rPr>
          <w:bCs/>
          <w:b/>
        </w:rPr>
        <w:t xml:space="preserve">Cerfon–Freidberg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one size fits all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Solov’ev</w:t>
      </w:r>
      <w:r>
        <w:t xml:space="preserve"> </w:t>
      </w:r>
      <w:r>
        <w:t xml:space="preserve">solution as an exact benchmark, a single</w:t>
      </w:r>
      <w:r>
        <w:t xml:space="preserve"> </w:t>
      </w:r>
      <w:r>
        <w:t xml:space="preserve">agent-generated, parameterized PETSc solver reproduces</w:t>
      </w:r>
      <w:r>
        <w:t xml:space="preserve"> </w:t>
      </w:r>
      <w:r>
        <w:rPr>
          <w:bCs/>
          <w:b/>
        </w:rPr>
        <w:t xml:space="preserve">three physically shaped equilibria</w:t>
      </w:r>
      <w:r>
        <w:t xml:space="preserve"> </w:t>
      </w:r>
      <w:r>
        <w:t xml:space="preserve">—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ITER-like D-shape</w:t>
      </w:r>
      <w:r>
        <w:t xml:space="preserve">, a</w:t>
      </w:r>
      <w:r>
        <w:t xml:space="preserve"> </w:t>
      </w:r>
      <w:r>
        <w:rPr>
          <w:bCs/>
          <w:b/>
        </w:rPr>
        <w:t xml:space="preserve">spherical-tokamak (NSTX-like)</w:t>
      </w:r>
      <w:r>
        <w:t xml:space="preserve"> </w:t>
      </w:r>
      <w:r>
        <w:t xml:space="preserve">plasma, and a</w:t>
      </w:r>
      <w:r>
        <w:t xml:space="preserve"> </w:t>
      </w:r>
      <w:r>
        <w:rPr>
          <w:bCs/>
          <w:b/>
        </w:rPr>
        <w:t xml:space="preserve">diverted</w:t>
      </w:r>
      <w:r>
        <w:rPr>
          <w:bCs/>
          <w:b/>
        </w:rPr>
        <w:t xml:space="preserve"> </w:t>
      </w:r>
      <w:r>
        <w:rPr>
          <w:bCs/>
          <w:b/>
        </w:rPr>
        <w:t xml:space="preserve">double-null with magnetic X-points</w:t>
      </w:r>
      <w:r>
        <w:t xml:space="preserve"> </w:t>
      </w:r>
      <w:r>
        <w:t xml:space="preserve">— set by the inverse aspect ratio, elongation, and</w:t>
      </w:r>
      <w:r>
        <w:t xml:space="preserve"> </w:t>
      </w:r>
      <w:r>
        <w:t xml:space="preserve">triangularity. Each case is</w:t>
      </w:r>
      <w:r>
        <w:t xml:space="preserve"> </w:t>
      </w:r>
      <w:r>
        <w:rPr>
          <w:bCs/>
          <w:b/>
        </w:rPr>
        <w:t xml:space="preserve">verified at second order (p = 2.00)</w:t>
      </w:r>
      <w:r>
        <w:t xml:space="preserve"> </w:t>
      </w:r>
      <w:r>
        <w:t xml:space="preserve">against the analytic</w:t>
      </w:r>
      <w:r>
        <w:t xml:space="preserve"> </w:t>
      </w:r>
      <w:r>
        <w:t xml:space="preserve">solution and runs on 1 and 4 MPI ranks with no human edits. We compute the</w:t>
      </w:r>
      <w:r>
        <w:t xml:space="preserve"> </w:t>
      </w:r>
      <w:r>
        <w:rPr>
          <w:bCs/>
          <w:b/>
        </w:rPr>
        <w:t xml:space="preserve">safety-factor</w:t>
      </w:r>
      <w:r>
        <w:rPr>
          <w:bCs/>
          <w:b/>
        </w:rPr>
        <w:t xml:space="preserve"> </w:t>
      </w:r>
      <w:r>
        <w:rPr>
          <w:bCs/>
          <w:b/>
        </w:rPr>
        <w:t xml:space="preserve">profile q(ψ)</w:t>
      </w:r>
      <w:r>
        <w:t xml:space="preserve"> </w:t>
      </w:r>
      <w:r>
        <w:t xml:space="preserve">of each verified equilibrium and cross-check it against the independent</w:t>
      </w:r>
      <w:r>
        <w:t xml:space="preserve"> </w:t>
      </w:r>
      <w:r>
        <w:rPr>
          <w:bCs/>
          <w:b/>
        </w:rPr>
        <w:t xml:space="preserve">FreeGS</w:t>
      </w:r>
      <w:r>
        <w:t xml:space="preserve"> </w:t>
      </w:r>
      <w:r>
        <w:t xml:space="preserve">equilibrium code, obtaining agreement to</w:t>
      </w:r>
      <w:r>
        <w:t xml:space="preserve"> </w:t>
      </w:r>
      <w:r>
        <w:rPr>
          <w:bCs/>
          <w:b/>
        </w:rPr>
        <w:t xml:space="preserve">better than 0.2%</w:t>
      </w:r>
      <w:r>
        <w:t xml:space="preserve"> </w:t>
      </w:r>
      <w:r>
        <w:t xml:space="preserve">on identical fields,</w:t>
      </w:r>
      <w:r>
        <w:t xml:space="preserve"> </w:t>
      </w:r>
      <w:r>
        <w:t xml:space="preserve">with the recovered elongation and triangularity matching the targets to ~1–2%. This shows the</w:t>
      </w:r>
      <w:r>
        <w:t xml:space="preserve"> </w:t>
      </w:r>
      <w:r>
        <w:t xml:space="preserve">workflow scales from a toy verification anchor to trustworthy, real-machine-shaped equilibria</w:t>
      </w:r>
      <w:r>
        <w:t xml:space="preserve"> </w:t>
      </w:r>
      <w:r>
        <w:t xml:space="preserve">without changing the generated solver’s structure.</w:t>
      </w:r>
    </w:p>
    <w:p>
      <w:pPr>
        <w:pStyle w:val="BodyText"/>
      </w:pPr>
      <w:r>
        <w:t xml:space="preserve">We report</w:t>
      </w:r>
      <w:r>
        <w:t xml:space="preserve"> </w:t>
      </w:r>
      <w:r>
        <w:rPr>
          <w:bCs/>
          <w:b/>
        </w:rPr>
        <w:t xml:space="preserve">decision-gate metrics</w:t>
      </w:r>
      <w:r>
        <w:t xml:space="preserve"> </w:t>
      </w:r>
      <w:r>
        <w:t xml:space="preserve">— correctness (identified model, compiled/ran,</w:t>
      </w:r>
      <w:r>
        <w:t xml:space="preserve"> </w:t>
      </w:r>
      <w:r>
        <w:t xml:space="preserve">convergence order), efficiency (wall-clock and LLM/tool calls), and human effort (0 lines</w:t>
      </w:r>
      <w:r>
        <w:t xml:space="preserve"> </w:t>
      </w:r>
      <w:r>
        <w:t xml:space="preserve">of solver code hand-written) — and we contribute portability and robustness fixes back to</w:t>
      </w:r>
      <w:r>
        <w:t xml:space="preserve"> </w:t>
      </w:r>
      <w:r>
        <w:t xml:space="preserve">the multi-agent system (CWD-independent server resolution; graceful operation where the</w:t>
      </w:r>
      <w:r>
        <w:t xml:space="preserve"> </w:t>
      </w:r>
      <w:r>
        <w:t xml:space="preserve">documentation/RAG services are unavailable; a code-generation loop that captures results</w:t>
      </w:r>
      <w:r>
        <w:t xml:space="preserve"> </w:t>
      </w:r>
      <w:r>
        <w:t xml:space="preserve">reliably). The work is a concrete demonstration that verification-driven, multi-agent</w:t>
      </w:r>
      <w:r>
        <w:t xml:space="preserve"> </w:t>
      </w:r>
      <w:r>
        <w:t xml:space="preserve">problem-to-solution generation can produce trustworthy HPC simulation code for a</w:t>
      </w:r>
      <w:r>
        <w:t xml:space="preserve"> </w:t>
      </w:r>
      <w:r>
        <w:t xml:space="preserve">flagship fusion-energy problem.</w:t>
      </w:r>
    </w:p>
    <w:bookmarkEnd w:id="25"/>
    <w:bookmarkStart w:id="26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1"/>
        </w:numPr>
        <w:pStyle w:val="Compact"/>
      </w:pPr>
      <w:r>
        <w:t xml:space="preserve">B. Smith, H. Zhang, J. Zhang, S. Balay, L. Chen, M. Keçeli, L. C. McInnes.</w:t>
      </w:r>
      <w:r>
        <w:t xml:space="preserve"> </w:t>
      </w:r>
      <w:r>
        <w:rPr>
          <w:iCs/>
          <w:i/>
        </w:rPr>
        <w:t xml:space="preserve">Improving usability and productivity of PETSc with agent-based workflows.</w:t>
      </w:r>
      <w:r>
        <w:t xml:space="preserve"> </w:t>
      </w:r>
      <w:r>
        <w:t xml:space="preserve">2026. doi:10.13140/RG.2.2.35234.80326.</w:t>
      </w:r>
    </w:p>
    <w:p>
      <w:pPr>
        <w:numPr>
          <w:ilvl w:val="0"/>
          <w:numId w:val="1001"/>
        </w:numPr>
        <w:pStyle w:val="Compact"/>
      </w:pPr>
      <w:r>
        <w:t xml:space="preserve">L. C. McInnes et al. </w:t>
      </w:r>
      <w:r>
        <w:rPr>
          <w:iCs/>
          <w:i/>
        </w:rPr>
        <w:t xml:space="preserve">Automated Problem-to-Solution Generation for PDE-Based Simulation Science.</w:t>
      </w:r>
      <w:r>
        <w:t xml:space="preserve"> </w:t>
      </w:r>
      <w:r>
        <w:t xml:space="preserve">Argonne National Laboratory proposal, DE-FOA-0003612, 2026.</w:t>
      </w:r>
    </w:p>
    <w:p>
      <w:pPr>
        <w:numPr>
          <w:ilvl w:val="0"/>
          <w:numId w:val="1001"/>
        </w:numPr>
        <w:pStyle w:val="Compact"/>
      </w:pPr>
      <w:r>
        <w:t xml:space="preserve">S. Balay et al. </w:t>
      </w:r>
      <w:r>
        <w:rPr>
          <w:iCs/>
          <w:i/>
        </w:rPr>
        <w:t xml:space="preserve">PETSc/TAO Users Manual.</w:t>
      </w:r>
      <w:r>
        <w:t xml:space="preserve"> </w:t>
      </w:r>
      <w:r>
        <w:t xml:space="preserve">ANL-21/39 Rev. 3.25, Argonne National Laboratory, 2026. https://petsc.org</w:t>
      </w:r>
    </w:p>
    <w:p>
      <w:pPr>
        <w:numPr>
          <w:ilvl w:val="0"/>
          <w:numId w:val="1001"/>
        </w:numPr>
        <w:pStyle w:val="Compact"/>
      </w:pPr>
      <w:r>
        <w:t xml:space="preserve">PETSc multi-agent MCP servers. https://gitlab.com/petsc/petsc_mcp_servers ; https://mcp.petsc-ai.org</w:t>
      </w:r>
    </w:p>
    <w:p>
      <w:pPr>
        <w:numPr>
          <w:ilvl w:val="0"/>
          <w:numId w:val="1001"/>
        </w:numPr>
        <w:pStyle w:val="Compact"/>
      </w:pPr>
      <w:r>
        <w:t xml:space="preserve">H. Grad, H. Rubin.</w:t>
      </w:r>
      <w:r>
        <w:t xml:space="preserve"> </w:t>
      </w:r>
      <w:r>
        <w:rPr>
          <w:iCs/>
          <w:i/>
        </w:rPr>
        <w:t xml:space="preserve">Hydromagnetic equilibria and force-free fields.</w:t>
      </w:r>
      <w:r>
        <w:t xml:space="preserve"> </w:t>
      </w:r>
      <w:r>
        <w:t xml:space="preserve">Proc. 2nd UN Conf. on the Peaceful Uses of Atomic Energy, 1958. (Grad–Shafranov equation.)</w:t>
      </w:r>
    </w:p>
    <w:p>
      <w:pPr>
        <w:numPr>
          <w:ilvl w:val="0"/>
          <w:numId w:val="1001"/>
        </w:numPr>
        <w:pStyle w:val="Compact"/>
      </w:pPr>
      <w:r>
        <w:t xml:space="preserve">A. J. Cerfon, J. P. Freidberg.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One size fits all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analytic solutions to the Grad–Shafranov equation.</w:t>
      </w:r>
      <w:r>
        <w:t xml:space="preserve"> </w:t>
      </w:r>
      <w:r>
        <w:t xml:space="preserve">Physics of Plasmas 17, 032502, 2010.</w:t>
      </w:r>
    </w:p>
    <w:p>
      <w:pPr>
        <w:numPr>
          <w:ilvl w:val="0"/>
          <w:numId w:val="1001"/>
        </w:numPr>
        <w:pStyle w:val="Compact"/>
      </w:pPr>
      <w:r>
        <w:t xml:space="preserve">This work: https://github.com/engineer-scientist/petsc_mcp_servers_tokamak</w:t>
      </w:r>
    </w:p>
    <w:bookmarkEnd w:id="26"/>
    <w:bookmarkStart w:id="27" w:name="Xbdaa20e9b4e967ea0b3bec07470a7dcae069dba"/>
    <w:p>
      <w:pPr>
        <w:pStyle w:val="Heading1"/>
      </w:pPr>
      <w:r>
        <w:t xml:space="preserve">Connection to Mission, Goals, &amp; Interests of US-RSE Community</w:t>
      </w:r>
    </w:p>
    <w:p>
      <w:pPr>
        <w:pStyle w:val="FirstParagraph"/>
      </w:pPr>
      <w:r>
        <w:t xml:space="preserve">Research software engineers increasingly sit between AI code-generation tools and the</w:t>
      </w:r>
      <w:r>
        <w:t xml:space="preserve"> </w:t>
      </w:r>
      <w:r>
        <w:t xml:space="preserve">trusted, performance-critical libraries that underpin computational science. This</w:t>
      </w:r>
      <w:r>
        <w:t xml:space="preserve"> </w:t>
      </w:r>
      <w:r>
        <w:t xml:space="preserve">submission speaks directly to that intersection. It is a candid RSE case study of</w:t>
      </w:r>
      <w:r>
        <w:t xml:space="preserve"> </w:t>
      </w:r>
      <w:r>
        <w:rPr>
          <w:iCs/>
          <w:i/>
        </w:rPr>
        <w:t xml:space="preserve">using</w:t>
      </w:r>
      <w:r>
        <w:t xml:space="preserve"> </w:t>
      </w:r>
      <w:r>
        <w:t xml:space="preserve">an agentic system on a real HPC library (PETSc) for a real DOE-mission problem</w:t>
      </w:r>
      <w:r>
        <w:t xml:space="preserve"> </w:t>
      </w:r>
      <w:r>
        <w:t xml:space="preserve">(fusion-energy plasma), rather than a toy benchmark — including the unglamorous</w:t>
      </w:r>
      <w:r>
        <w:t xml:space="preserve"> </w:t>
      </w:r>
      <w:r>
        <w:t xml:space="preserve">engineering that makes such systems actually work on a shared compute node: environment</w:t>
      </w:r>
      <w:r>
        <w:t xml:space="preserve"> </w:t>
      </w:r>
      <w:r>
        <w:t xml:space="preserve">and dependency wrangling, making services degrade gracefully when optional components are</w:t>
      </w:r>
      <w:r>
        <w:t xml:space="preserve"> </w:t>
      </w:r>
      <w:r>
        <w:t xml:space="preserve">absent, working-directory-independent process spawning, and reproducible,</w:t>
      </w:r>
      <w:r>
        <w:t xml:space="preserve"> </w:t>
      </w:r>
      <w:r>
        <w:t xml:space="preserve">provenance-tracked runs. We treat</w:t>
      </w:r>
      <w:r>
        <w:t xml:space="preserve"> </w:t>
      </w:r>
      <w:r>
        <w:rPr>
          <w:bCs/>
          <w:b/>
        </w:rPr>
        <w:t xml:space="preserve">verification as a first-class deliverable</w:t>
      </w:r>
      <w:r>
        <w:t xml:space="preserve">: the</w:t>
      </w:r>
      <w:r>
        <w:t xml:space="preserve"> </w:t>
      </w:r>
      <w:r>
        <w:t xml:space="preserve">generated simulation is checked against an exact solution and a grid-convergence study,</w:t>
      </w:r>
      <w:r>
        <w:t xml:space="preserve"> </w:t>
      </w:r>
      <w:r>
        <w:t xml:space="preserve">reflecting the RSE community’s emphasis on correctness, testing, and reproducibility over</w:t>
      </w:r>
      <w:r>
        <w:t xml:space="preserve"> </w:t>
      </w:r>
      <w:r>
        <w:t xml:space="preserve">raw output. Finally, our improvements are contributed</w:t>
      </w:r>
      <w:r>
        <w:t xml:space="preserve"> </w:t>
      </w:r>
      <w:r>
        <w:rPr>
          <w:bCs/>
          <w:b/>
        </w:rPr>
        <w:t xml:space="preserve">back to the open-source</w:t>
      </w:r>
      <w:r>
        <w:rPr>
          <w:bCs/>
          <w:b/>
        </w:rPr>
        <w:t xml:space="preserve"> </w:t>
      </w:r>
      <w:r>
        <w:rPr>
          <w:bCs/>
          <w:b/>
        </w:rPr>
        <w:t xml:space="preserve">multi-agent project</w:t>
      </w:r>
      <w:r>
        <w:t xml:space="preserve"> </w:t>
      </w:r>
      <w:r>
        <w:t xml:space="preserve">as patches, embodying the community’s values of open, sustainable,</w:t>
      </w:r>
      <w:r>
        <w:t xml:space="preserve"> </w:t>
      </w:r>
      <w:r>
        <w:t xml:space="preserve">and collaborative software. We hope the poster sparks discussion about how RSEs can</w:t>
      </w:r>
      <w:r>
        <w:t xml:space="preserve"> </w:t>
      </w:r>
      <w:r>
        <w:t xml:space="preserve">responsibly adopt, evaluate, and harden AI-assisted workflows for scientific software.</w:t>
      </w:r>
    </w:p>
    <w:bookmarkEnd w:id="27"/>
    <w:sectPr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ilto:jczhang@anl.gov" TargetMode="External" /><Relationship Type="http://schemas.openxmlformats.org/officeDocument/2006/relationships/hyperlink" Id="rId21" Target="mailto:ss694@buffalo.edu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ailto:jczhang@anl.gov" TargetMode="External" /><Relationship Type="http://schemas.openxmlformats.org/officeDocument/2006/relationships/hyperlink" Id="rId21" Target="mailto:ss694@buffalo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2026-08-05T23:17:48Z</dcterms:created>
  <dcterms:modified xsi:type="dcterms:W3CDTF">2026-08-05T23:17:48Z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