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F7" w:rsidRDefault="009144F7" w:rsidP="0074373F">
      <w:pPr>
        <w:pStyle w:val="NormalWeb"/>
        <w:spacing w:before="0" w:beforeAutospacing="0" w:after="0" w:afterAutospacing="0"/>
        <w:rPr>
          <w:rFonts w:ascii="Arial" w:hAnsi="Arial" w:cs="Arial"/>
          <w:b/>
          <w:bCs/>
          <w:color w:val="000000"/>
          <w:sz w:val="20"/>
          <w:szCs w:val="20"/>
        </w:rPr>
      </w:pPr>
      <w:bookmarkStart w:id="0" w:name="OLE_LINK1"/>
      <w:bookmarkStart w:id="1" w:name="OLE_LINK2"/>
      <w:r>
        <w:rPr>
          <w:rFonts w:ascii="Arial" w:hAnsi="Arial" w:cs="Arial"/>
          <w:b/>
          <w:bCs/>
          <w:color w:val="000000"/>
          <w:sz w:val="20"/>
          <w:szCs w:val="20"/>
        </w:rPr>
        <w:t>INDUSTRY NEWS</w:t>
      </w:r>
    </w:p>
    <w:p w:rsidR="009866EF" w:rsidRDefault="009866EF" w:rsidP="0074373F">
      <w:pPr>
        <w:pStyle w:val="NormalWeb"/>
        <w:spacing w:before="0" w:beforeAutospacing="0" w:after="0" w:afterAutospacing="0"/>
        <w:rPr>
          <w:rFonts w:ascii="Consolas" w:hAnsi="Consolas"/>
          <w:sz w:val="21"/>
          <w:szCs w:val="21"/>
        </w:rPr>
      </w:pPr>
    </w:p>
    <w:tbl>
      <w:tblPr>
        <w:tblW w:w="10080" w:type="dxa"/>
        <w:jc w:val="center"/>
        <w:tblLayout w:type="fixed"/>
        <w:tblCellMar>
          <w:left w:w="0" w:type="dxa"/>
          <w:right w:w="0" w:type="dxa"/>
        </w:tblCellMar>
        <w:tblLook w:val="04A0"/>
      </w:tblPr>
      <w:tblGrid>
        <w:gridCol w:w="5557"/>
        <w:gridCol w:w="4523"/>
      </w:tblGrid>
      <w:tr w:rsidR="009866EF" w:rsidTr="009866EF">
        <w:trPr>
          <w:gridAfter w:val="1"/>
          <w:wAfter w:w="6060" w:type="dxa"/>
          <w:jc w:val="center"/>
        </w:trPr>
        <w:tc>
          <w:tcPr>
            <w:tcW w:w="7367" w:type="dxa"/>
            <w:tcMar>
              <w:top w:w="0" w:type="dxa"/>
              <w:left w:w="108" w:type="dxa"/>
              <w:bottom w:w="0" w:type="dxa"/>
              <w:right w:w="108" w:type="dxa"/>
            </w:tcMar>
            <w:hideMark/>
          </w:tcPr>
          <w:p w:rsidR="009866EF" w:rsidRDefault="009866EF" w:rsidP="002D73DE">
            <w:pPr>
              <w:pStyle w:val="NormalWeb"/>
            </w:pPr>
          </w:p>
        </w:tc>
      </w:tr>
      <w:tr w:rsidR="009866EF" w:rsidTr="009866EF">
        <w:trPr>
          <w:trHeight w:val="555"/>
          <w:jc w:val="center"/>
        </w:trPr>
        <w:tc>
          <w:tcPr>
            <w:tcW w:w="13395" w:type="dxa"/>
            <w:gridSpan w:val="2"/>
            <w:tcMar>
              <w:top w:w="0" w:type="dxa"/>
              <w:left w:w="108" w:type="dxa"/>
              <w:bottom w:w="0" w:type="dxa"/>
              <w:right w:w="108" w:type="dxa"/>
            </w:tcMar>
            <w:vAlign w:val="center"/>
            <w:hideMark/>
          </w:tcPr>
          <w:p w:rsidR="009866EF" w:rsidRDefault="009866EF" w:rsidP="002D73DE">
            <w:pPr>
              <w:spacing w:before="100" w:beforeAutospacing="1" w:after="100" w:afterAutospacing="1"/>
              <w:rPr>
                <w:rFonts w:ascii="Times New Roman" w:hAnsi="Times New Roman"/>
                <w:sz w:val="24"/>
                <w:szCs w:val="24"/>
              </w:rPr>
            </w:pPr>
          </w:p>
        </w:tc>
      </w:tr>
    </w:tbl>
    <w:p w:rsidR="009866EF" w:rsidRDefault="009866EF" w:rsidP="0074373F">
      <w:pPr>
        <w:pStyle w:val="NormalWeb"/>
        <w:spacing w:before="0" w:beforeAutospacing="0" w:after="0" w:afterAutospacing="0"/>
        <w:rPr>
          <w:rFonts w:ascii="Consolas" w:hAnsi="Consolas"/>
          <w:sz w:val="21"/>
          <w:szCs w:val="21"/>
        </w:rPr>
      </w:pPr>
    </w:p>
    <w:p w:rsidR="009866EF" w:rsidRDefault="009866EF" w:rsidP="0074373F">
      <w:pPr>
        <w:pStyle w:val="NormalWeb"/>
        <w:spacing w:before="0" w:beforeAutospacing="0" w:after="0" w:afterAutospacing="0"/>
        <w:rPr>
          <w:rFonts w:ascii="Consolas" w:hAnsi="Consolas"/>
          <w:sz w:val="21"/>
          <w:szCs w:val="21"/>
        </w:rPr>
      </w:pPr>
    </w:p>
    <w:p w:rsidR="009866EF" w:rsidRPr="0074373F" w:rsidRDefault="009866EF" w:rsidP="0074373F">
      <w:pPr>
        <w:pStyle w:val="NormalWeb"/>
        <w:spacing w:before="0" w:beforeAutospacing="0" w:after="0" w:afterAutospacing="0"/>
        <w:rPr>
          <w:rFonts w:ascii="Consolas" w:hAnsi="Consolas"/>
          <w:sz w:val="21"/>
          <w:szCs w:val="21"/>
        </w:rPr>
      </w:pPr>
    </w:p>
    <w:p w:rsidR="009144F7" w:rsidRDefault="00192B27" w:rsidP="009144F7">
      <w:hyperlink r:id="rId4" w:history="1">
        <w:r w:rsidR="009144F7">
          <w:rPr>
            <w:rStyle w:val="Hyperlink"/>
            <w:rFonts w:ascii="Verdana" w:hAnsi="Verdana"/>
            <w:sz w:val="18"/>
            <w:szCs w:val="18"/>
          </w:rPr>
          <w:t>2011 Budget Deal Cuts Spending for Water and Wastewater Projects</w:t>
        </w:r>
      </w:hyperlink>
    </w:p>
    <w:p w:rsidR="009144F7" w:rsidRDefault="009144F7" w:rsidP="009144F7">
      <w:r>
        <w:rPr>
          <w:rFonts w:ascii="Verdana" w:hAnsi="Verdana"/>
          <w:sz w:val="18"/>
          <w:szCs w:val="18"/>
        </w:rPr>
        <w:t>Under the bill that President Obama signed last Friday, the U.S. EPA’s budget was cut $1.6 billion for the remainder of the 2011 fiscal year. The cuts will affect the money the agency disperses to states to improve their wastewater treatment and drinking water facilities. </w:t>
      </w:r>
      <w:r w:rsidR="008A1F79" w:rsidRPr="008A1F79">
        <w:rPr>
          <w:rFonts w:ascii="Verdana" w:hAnsi="Verdana"/>
          <w:sz w:val="18"/>
          <w:szCs w:val="18"/>
        </w:rPr>
        <w:t>&lt;</w:t>
      </w:r>
      <w:proofErr w:type="gramStart"/>
      <w:r w:rsidR="008A1F79" w:rsidRPr="008A1F79">
        <w:rPr>
          <w:rFonts w:ascii="Verdana" w:hAnsi="Verdana"/>
          <w:sz w:val="18"/>
          <w:szCs w:val="18"/>
        </w:rPr>
        <w:t>a</w:t>
      </w:r>
      <w:proofErr w:type="gramEnd"/>
      <w:r w:rsidR="008A1F79" w:rsidRPr="008A1F79">
        <w:rPr>
          <w:rFonts w:ascii="Verdana" w:hAnsi="Verdana"/>
          <w:sz w:val="18"/>
          <w:szCs w:val="18"/>
        </w:rPr>
        <w:t xml:space="preserve"> href="http://www.nytimes.com/gwire/2011/04/13/13greenwire-epa-budget-deal-slams-state-regional-programs-26003.html"&gt;</w:t>
      </w:r>
      <w:r w:rsidR="008A1F79" w:rsidRPr="008A1F79">
        <w:rPr>
          <w:rFonts w:ascii="Verdana" w:hAnsi="Verdana" w:hint="eastAsia"/>
          <w:sz w:val="18"/>
          <w:szCs w:val="18"/>
        </w:rPr>
        <w:t>（阅读原文）</w:t>
      </w:r>
      <w:r w:rsidR="008A1F79" w:rsidRPr="008A1F79">
        <w:rPr>
          <w:rFonts w:ascii="Verdana" w:hAnsi="Verdana"/>
          <w:sz w:val="18"/>
          <w:szCs w:val="18"/>
        </w:rPr>
        <w:t>&lt;/a&gt;</w:t>
      </w:r>
    </w:p>
    <w:bookmarkEnd w:id="0"/>
    <w:bookmarkEnd w:id="1"/>
    <w:p w:rsidR="007B4A5E" w:rsidRDefault="007B4A5E"/>
    <w:tbl>
      <w:tblPr>
        <w:tblW w:w="10080" w:type="dxa"/>
        <w:jc w:val="center"/>
        <w:tblLayout w:type="fixed"/>
        <w:tblCellMar>
          <w:left w:w="0" w:type="dxa"/>
          <w:right w:w="0" w:type="dxa"/>
        </w:tblCellMar>
        <w:tblLook w:val="04A0"/>
      </w:tblPr>
      <w:tblGrid>
        <w:gridCol w:w="5557"/>
        <w:gridCol w:w="4523"/>
      </w:tblGrid>
      <w:tr w:rsidR="00917C77" w:rsidTr="00666F53">
        <w:trPr>
          <w:gridAfter w:val="1"/>
          <w:wAfter w:w="6060" w:type="dxa"/>
          <w:jc w:val="center"/>
        </w:trPr>
        <w:tc>
          <w:tcPr>
            <w:tcW w:w="7367" w:type="dxa"/>
            <w:tcMar>
              <w:top w:w="0" w:type="dxa"/>
              <w:left w:w="108" w:type="dxa"/>
              <w:bottom w:w="0" w:type="dxa"/>
              <w:right w:w="108" w:type="dxa"/>
            </w:tcMar>
            <w:hideMark/>
          </w:tcPr>
          <w:p w:rsidR="00917C77" w:rsidRDefault="00917C77" w:rsidP="00666F53">
            <w:pPr>
              <w:pStyle w:val="Heading1"/>
            </w:pPr>
            <w:r>
              <w:rPr>
                <w:rFonts w:cs="Arial"/>
                <w:color w:val="000080"/>
                <w:sz w:val="27"/>
                <w:szCs w:val="27"/>
              </w:rPr>
              <w:t>ASPE and NSPE partner to advance the engineering profession</w:t>
            </w:r>
          </w:p>
          <w:p w:rsidR="00917C77" w:rsidRDefault="00917C77" w:rsidP="00666F53">
            <w:pPr>
              <w:pStyle w:val="NormalWeb"/>
            </w:pPr>
            <w:r>
              <w:rPr>
                <w:rFonts w:ascii="Trebuchet MS" w:hAnsi="Trebuchet MS"/>
              </w:rPr>
              <w:t xml:space="preserve">On September 3, ASPE </w:t>
            </w:r>
            <w:hyperlink r:id="rId5" w:history="1">
              <w:r>
                <w:rPr>
                  <w:rStyle w:val="Hyperlink"/>
                  <w:rFonts w:ascii="Trebuchet MS" w:hAnsi="Trebuchet MS"/>
                </w:rPr>
                <w:t>signed a memorandum of understanding</w:t>
              </w:r>
            </w:hyperlink>
            <w:r>
              <w:rPr>
                <w:rFonts w:ascii="Trebuchet MS" w:hAnsi="Trebuchet MS"/>
              </w:rPr>
              <w:t xml:space="preserve"> with the National Society of Professional Engineers with the goal of promoting the image of professional engineering and its ethical responsibilities to the public as well as the need for professional engineering licensure and certification programs. </w:t>
            </w:r>
          </w:p>
        </w:tc>
      </w:tr>
      <w:tr w:rsidR="00917C77" w:rsidTr="00666F53">
        <w:trPr>
          <w:trHeight w:val="555"/>
          <w:jc w:val="center"/>
        </w:trPr>
        <w:tc>
          <w:tcPr>
            <w:tcW w:w="13395" w:type="dxa"/>
            <w:gridSpan w:val="2"/>
            <w:tcMar>
              <w:top w:w="0" w:type="dxa"/>
              <w:left w:w="108" w:type="dxa"/>
              <w:bottom w:w="0" w:type="dxa"/>
              <w:right w:w="108" w:type="dxa"/>
            </w:tcMar>
            <w:vAlign w:val="center"/>
            <w:hideMark/>
          </w:tcPr>
          <w:p w:rsidR="00917C77" w:rsidRDefault="00917C77" w:rsidP="00666F53">
            <w:pPr>
              <w:pStyle w:val="NormalWeb"/>
            </w:pPr>
          </w:p>
          <w:p w:rsidR="00917C77" w:rsidRDefault="00917C77" w:rsidP="00666F53">
            <w:pPr>
              <w:pStyle w:val="Heading1"/>
            </w:pPr>
            <w:r>
              <w:rPr>
                <w:rFonts w:cs="Arial"/>
                <w:color w:val="000080"/>
                <w:sz w:val="27"/>
                <w:szCs w:val="27"/>
              </w:rPr>
              <w:t>ASPE hosts the first International Water Saving Workshop</w:t>
            </w:r>
          </w:p>
          <w:p w:rsidR="00917C77" w:rsidRDefault="00917C77" w:rsidP="00666F53">
            <w:pPr>
              <w:pStyle w:val="NormalWeb"/>
            </w:pPr>
            <w:r>
              <w:rPr>
                <w:rFonts w:ascii="Trebuchet MS" w:hAnsi="Trebuchet MS"/>
              </w:rPr>
              <w:t xml:space="preserve">In collaboration with the Asian Saving Water Council, ASPE </w:t>
            </w:r>
            <w:hyperlink r:id="rId6" w:history="1">
              <w:r>
                <w:rPr>
                  <w:rStyle w:val="Hyperlink"/>
                  <w:rFonts w:ascii="Trebuchet MS" w:hAnsi="Trebuchet MS"/>
                </w:rPr>
                <w:t>organized the first International Water Saving Workshop</w:t>
              </w:r>
            </w:hyperlink>
            <w:r>
              <w:rPr>
                <w:rFonts w:ascii="Trebuchet MS" w:hAnsi="Trebuchet MS"/>
              </w:rPr>
              <w:t> in Chicago on August 28-29 to bring together U.S. and Asian plumbing industry leaders to exchange ideas related to global water-efficiency initiatives.</w:t>
            </w:r>
          </w:p>
          <w:p w:rsidR="00917C77" w:rsidRDefault="00917C77" w:rsidP="00666F53">
            <w:pPr>
              <w:pStyle w:val="Heading1"/>
            </w:pPr>
            <w:r>
              <w:rPr>
                <w:rFonts w:cs="Arial"/>
                <w:color w:val="000080"/>
                <w:sz w:val="27"/>
                <w:szCs w:val="27"/>
              </w:rPr>
              <w:t>Chapter officers: ASPE seeks your chapter’s input on UPC and UMC changes</w:t>
            </w:r>
          </w:p>
          <w:p w:rsidR="00917C77" w:rsidRDefault="00917C77" w:rsidP="00666F53">
            <w:pPr>
              <w:pStyle w:val="NormalWeb"/>
            </w:pPr>
            <w:r>
              <w:rPr>
                <w:rFonts w:ascii="Trebuchet MS" w:hAnsi="Trebuchet MS"/>
              </w:rPr>
              <w:t xml:space="preserve">The Uniform Plumbing Code and Uniform Mechanical Code are currently under review, and ASPE’s Legislative Committee seeks member input on the proposed changes. Chapter officers are asked to engage your chapter membership to review and provide suggestions on the </w:t>
            </w:r>
            <w:hyperlink r:id="rId7" w:history="1">
              <w:r>
                <w:rPr>
                  <w:rStyle w:val="Hyperlink"/>
                  <w:rFonts w:ascii="Trebuchet MS" w:hAnsi="Trebuchet MS"/>
                </w:rPr>
                <w:t>Uniform Mechanical Code Report on Proposals</w:t>
              </w:r>
            </w:hyperlink>
            <w:r>
              <w:rPr>
                <w:rFonts w:ascii="Trebuchet MS" w:hAnsi="Trebuchet MS"/>
              </w:rPr>
              <w:t xml:space="preserve"> and the </w:t>
            </w:r>
            <w:hyperlink r:id="rId8" w:history="1">
              <w:r>
                <w:rPr>
                  <w:rStyle w:val="Hyperlink"/>
                  <w:rFonts w:ascii="Trebuchet MS" w:hAnsi="Trebuchet MS"/>
                </w:rPr>
                <w:t>Uniform Plumbing Code Report on Proposals</w:t>
              </w:r>
            </w:hyperlink>
            <w:r>
              <w:rPr>
                <w:rFonts w:ascii="Trebuchet MS" w:hAnsi="Trebuchet MS"/>
              </w:rPr>
              <w:t xml:space="preserve">. Submit your chapter’s comments to </w:t>
            </w:r>
            <w:hyperlink r:id="rId9" w:history="1">
              <w:r>
                <w:rPr>
                  <w:rStyle w:val="Hyperlink"/>
                  <w:rFonts w:ascii="Trebuchet MS" w:hAnsi="Trebuchet MS"/>
                </w:rPr>
                <w:t xml:space="preserve">Jim </w:t>
              </w:r>
              <w:proofErr w:type="spellStart"/>
              <w:r>
                <w:rPr>
                  <w:rStyle w:val="Hyperlink"/>
                  <w:rFonts w:ascii="Trebuchet MS" w:hAnsi="Trebuchet MS"/>
                </w:rPr>
                <w:t>Kendzel</w:t>
              </w:r>
              <w:proofErr w:type="spellEnd"/>
            </w:hyperlink>
            <w:r>
              <w:rPr>
                <w:rFonts w:ascii="Trebuchet MS" w:hAnsi="Trebuchet MS"/>
              </w:rPr>
              <w:t xml:space="preserve"> by November 15.</w:t>
            </w:r>
          </w:p>
          <w:p w:rsidR="00917C77" w:rsidRDefault="00917C77" w:rsidP="00666F53">
            <w:pPr>
              <w:pStyle w:val="Heading1"/>
            </w:pPr>
            <w:r>
              <w:rPr>
                <w:rFonts w:cs="Arial"/>
                <w:color w:val="000080"/>
                <w:sz w:val="27"/>
                <w:szCs w:val="27"/>
              </w:rPr>
              <w:t>Celebrate World Green Building Week</w:t>
            </w:r>
          </w:p>
          <w:p w:rsidR="00917C77" w:rsidRDefault="00917C77" w:rsidP="00666F53">
            <w:pPr>
              <w:pStyle w:val="NormalWeb"/>
            </w:pPr>
            <w:r>
              <w:rPr>
                <w:rFonts w:ascii="Trebuchet MS" w:hAnsi="Trebuchet MS"/>
              </w:rPr>
              <w:t xml:space="preserve">The theme of this year’s event, organized by the World Green Building Council, is “Greener Buildings, Better Places, </w:t>
            </w:r>
            <w:proofErr w:type="gramStart"/>
            <w:r>
              <w:rPr>
                <w:rFonts w:ascii="Trebuchet MS" w:hAnsi="Trebuchet MS"/>
              </w:rPr>
              <w:t>Healthier</w:t>
            </w:r>
            <w:proofErr w:type="gramEnd"/>
            <w:r>
              <w:rPr>
                <w:rFonts w:ascii="Trebuchet MS" w:hAnsi="Trebuchet MS"/>
              </w:rPr>
              <w:t xml:space="preserve"> People.” You can find events, fact sheets, and other resources at the </w:t>
            </w:r>
            <w:hyperlink r:id="rId10" w:history="1">
              <w:r>
                <w:rPr>
                  <w:rStyle w:val="Hyperlink"/>
                  <w:rFonts w:ascii="Trebuchet MS" w:hAnsi="Trebuchet MS"/>
                </w:rPr>
                <w:t>World Green Building Week website</w:t>
              </w:r>
            </w:hyperlink>
            <w:r>
              <w:rPr>
                <w:rFonts w:ascii="Trebuchet MS" w:hAnsi="Trebuchet MS"/>
              </w:rPr>
              <w:t>.</w:t>
            </w:r>
          </w:p>
          <w:p w:rsidR="00917C77" w:rsidRDefault="00917C77" w:rsidP="00666F53">
            <w:pPr>
              <w:pStyle w:val="Heading1"/>
            </w:pPr>
            <w:r>
              <w:rPr>
                <w:rFonts w:cs="Arial"/>
                <w:color w:val="000080"/>
                <w:sz w:val="27"/>
                <w:szCs w:val="27"/>
              </w:rPr>
              <w:lastRenderedPageBreak/>
              <w:t xml:space="preserve">New Orleans Urban Water Plan promotes embracing </w:t>
            </w:r>
            <w:proofErr w:type="spellStart"/>
            <w:r>
              <w:rPr>
                <w:rFonts w:cs="Arial"/>
                <w:color w:val="000080"/>
                <w:sz w:val="27"/>
                <w:szCs w:val="27"/>
              </w:rPr>
              <w:t>stormwater</w:t>
            </w:r>
            <w:proofErr w:type="spellEnd"/>
            <w:r>
              <w:rPr>
                <w:rFonts w:cs="Arial"/>
                <w:color w:val="000080"/>
                <w:sz w:val="27"/>
                <w:szCs w:val="27"/>
              </w:rPr>
              <w:t xml:space="preserve"> rather than fighting it</w:t>
            </w:r>
          </w:p>
          <w:p w:rsidR="00917C77" w:rsidRDefault="00917C77" w:rsidP="00666F53">
            <w:pPr>
              <w:pStyle w:val="NormalWeb"/>
            </w:pPr>
            <w:r>
              <w:rPr>
                <w:rFonts w:ascii="Trebuchet MS" w:hAnsi="Trebuchet MS"/>
              </w:rPr>
              <w:t xml:space="preserve">The </w:t>
            </w:r>
            <w:hyperlink r:id="rId11" w:history="1">
              <w:r>
                <w:rPr>
                  <w:rStyle w:val="Hyperlink"/>
                  <w:rFonts w:ascii="Trebuchet MS" w:hAnsi="Trebuchet MS"/>
                </w:rPr>
                <w:t>proposed 50-year program of retrofits</w:t>
              </w:r>
            </w:hyperlink>
            <w:r>
              <w:rPr>
                <w:rFonts w:ascii="Trebuchet MS" w:hAnsi="Trebuchet MS"/>
              </w:rPr>
              <w:t xml:space="preserve"> views </w:t>
            </w:r>
            <w:proofErr w:type="spellStart"/>
            <w:r>
              <w:rPr>
                <w:rFonts w:ascii="Trebuchet MS" w:hAnsi="Trebuchet MS"/>
              </w:rPr>
              <w:t>stormwater</w:t>
            </w:r>
            <w:proofErr w:type="spellEnd"/>
            <w:r>
              <w:rPr>
                <w:rFonts w:ascii="Trebuchet MS" w:hAnsi="Trebuchet MS"/>
              </w:rPr>
              <w:t xml:space="preserve"> and groundwater as benefits rather than nuisances to be blocked or pumped away and re-envisions New Orleans as a flexible, permeable metropolis of canals and ponds to mitigate flood risk and combat subsidence.</w:t>
            </w:r>
          </w:p>
          <w:p w:rsidR="00917C77" w:rsidRDefault="00917C77" w:rsidP="00666F53">
            <w:pPr>
              <w:pStyle w:val="Heading1"/>
            </w:pPr>
            <w:r>
              <w:rPr>
                <w:rFonts w:cs="Arial"/>
                <w:color w:val="000080"/>
                <w:sz w:val="27"/>
                <w:szCs w:val="27"/>
              </w:rPr>
              <w:t>Chicago to require energy reporting starting next year</w:t>
            </w:r>
          </w:p>
          <w:p w:rsidR="00917C77" w:rsidRDefault="00917C77" w:rsidP="00666F53">
            <w:pPr>
              <w:pStyle w:val="NormalWeb"/>
            </w:pPr>
            <w:r>
              <w:rPr>
                <w:rFonts w:ascii="Trebuchet MS" w:hAnsi="Trebuchet MS"/>
              </w:rPr>
              <w:t xml:space="preserve">The Chicago City Council </w:t>
            </w:r>
            <w:hyperlink r:id="rId12" w:history="1">
              <w:r>
                <w:rPr>
                  <w:rStyle w:val="Hyperlink"/>
                  <w:rFonts w:ascii="Trebuchet MS" w:hAnsi="Trebuchet MS"/>
                </w:rPr>
                <w:t>approved an ordinance</w:t>
              </w:r>
            </w:hyperlink>
            <w:r>
              <w:rPr>
                <w:rFonts w:ascii="Trebuchet MS" w:hAnsi="Trebuchet MS"/>
              </w:rPr>
              <w:t xml:space="preserve"> that will require owners of buildings more than 50,000 square feet to disclose energy consumption data and information about building size, use, and occupancy levels using the Energy Star Portfolio Manager as part of an effort to cut energy use by 30 percent in half of Chicago buildings by 2020.</w:t>
            </w:r>
          </w:p>
          <w:p w:rsidR="00917C77" w:rsidRDefault="00917C77" w:rsidP="00666F53">
            <w:pPr>
              <w:pStyle w:val="Heading1"/>
            </w:pPr>
            <w:r>
              <w:rPr>
                <w:rFonts w:cs="Arial"/>
                <w:color w:val="000080"/>
                <w:sz w:val="27"/>
                <w:szCs w:val="27"/>
              </w:rPr>
              <w:t>Harvesting the fog</w:t>
            </w:r>
          </w:p>
          <w:p w:rsidR="00917C77" w:rsidRDefault="00917C77" w:rsidP="00666F53">
            <w:pPr>
              <w:pStyle w:val="NormalWeb"/>
            </w:pPr>
            <w:r>
              <w:rPr>
                <w:rFonts w:ascii="Trebuchet MS" w:hAnsi="Trebuchet MS"/>
              </w:rPr>
              <w:t xml:space="preserve">A fog-capturing system </w:t>
            </w:r>
            <w:hyperlink r:id="rId13" w:history="1">
              <w:r>
                <w:rPr>
                  <w:rStyle w:val="Hyperlink"/>
                  <w:rFonts w:ascii="Trebuchet MS" w:hAnsi="Trebuchet MS"/>
                </w:rPr>
                <w:t>being used in rural Kenya</w:t>
              </w:r>
            </w:hyperlink>
            <w:r>
              <w:rPr>
                <w:rFonts w:ascii="Trebuchet MS" w:hAnsi="Trebuchet MS"/>
              </w:rPr>
              <w:t xml:space="preserve"> to combat water shortages can provide enough clean water for 20-40 people, or about 400-1,000 liters, per day depending on the size and design of the collector and the atmospheric fog density.</w:t>
            </w:r>
          </w:p>
          <w:p w:rsidR="00917C77" w:rsidRDefault="00917C77" w:rsidP="00666F53">
            <w:pPr>
              <w:pStyle w:val="Heading1"/>
            </w:pPr>
            <w:r>
              <w:rPr>
                <w:rFonts w:cs="Arial"/>
                <w:color w:val="000080"/>
                <w:sz w:val="27"/>
                <w:szCs w:val="27"/>
              </w:rPr>
              <w:t>EPA releases lead-free certification guide</w:t>
            </w:r>
          </w:p>
          <w:p w:rsidR="00917C77" w:rsidRDefault="00917C77" w:rsidP="00666F53">
            <w:pPr>
              <w:pStyle w:val="NormalWeb"/>
            </w:pPr>
            <w:r>
              <w:rPr>
                <w:rFonts w:ascii="Trebuchet MS" w:hAnsi="Trebuchet MS"/>
              </w:rPr>
              <w:t>“</w:t>
            </w:r>
            <w:hyperlink r:id="rId14" w:history="1">
              <w:r>
                <w:rPr>
                  <w:rStyle w:val="Hyperlink"/>
                  <w:rFonts w:ascii="Trebuchet MS" w:hAnsi="Trebuchet MS"/>
                </w:rPr>
                <w:t>How to Identify Lead-Free Certification Marks for Drinking Water System &amp; Plumbing Materials</w:t>
              </w:r>
            </w:hyperlink>
            <w:r>
              <w:rPr>
                <w:rFonts w:ascii="Trebuchet MS" w:hAnsi="Trebuchet MS"/>
              </w:rPr>
              <w:t>” explains the requirements of the federal regulations going into effect on January 4, 2014 and describes the third-party certification process to help users identify products that comply with the new law.</w:t>
            </w:r>
          </w:p>
          <w:p w:rsidR="00917C77" w:rsidRDefault="00917C77" w:rsidP="00666F53">
            <w:pPr>
              <w:pStyle w:val="Heading1"/>
            </w:pPr>
            <w:r>
              <w:rPr>
                <w:rFonts w:cs="Arial"/>
                <w:color w:val="000080"/>
                <w:sz w:val="27"/>
                <w:szCs w:val="27"/>
              </w:rPr>
              <w:t>Cost of installing home fire sprinklers down from 2008</w:t>
            </w:r>
          </w:p>
          <w:p w:rsidR="00917C77" w:rsidRDefault="00917C77" w:rsidP="00666F53">
            <w:pPr>
              <w:pStyle w:val="NormalWeb"/>
            </w:pPr>
            <w:r>
              <w:rPr>
                <w:rFonts w:ascii="Trebuchet MS" w:hAnsi="Trebuchet MS"/>
              </w:rPr>
              <w:t xml:space="preserve">Using a larger sample size than a similar study in 2008, a </w:t>
            </w:r>
            <w:hyperlink r:id="rId15" w:history="1">
              <w:r>
                <w:rPr>
                  <w:rStyle w:val="Hyperlink"/>
                  <w:rFonts w:ascii="Trebuchet MS" w:hAnsi="Trebuchet MS"/>
                </w:rPr>
                <w:t>new report</w:t>
              </w:r>
            </w:hyperlink>
            <w:r>
              <w:rPr>
                <w:rFonts w:ascii="Trebuchet MS" w:hAnsi="Trebuchet MS"/>
              </w:rPr>
              <w:t xml:space="preserve"> by the Fire Protection Research Foundation finds that the average cost to install sprinklers in residential dwellings is currently $1.35 per square foot, compared to $1.61 </w:t>
            </w:r>
            <w:proofErr w:type="spellStart"/>
            <w:r>
              <w:rPr>
                <w:rFonts w:ascii="Trebuchet MS" w:hAnsi="Trebuchet MS"/>
              </w:rPr>
              <w:t>psf</w:t>
            </w:r>
            <w:proofErr w:type="spellEnd"/>
            <w:r>
              <w:rPr>
                <w:rFonts w:ascii="Trebuchet MS" w:hAnsi="Trebuchet MS"/>
              </w:rPr>
              <w:t xml:space="preserve"> in 2008. </w:t>
            </w:r>
          </w:p>
          <w:p w:rsidR="00917C77" w:rsidRDefault="00917C77" w:rsidP="00666F53">
            <w:pPr>
              <w:pStyle w:val="Heading1"/>
            </w:pPr>
            <w:r>
              <w:rPr>
                <w:rFonts w:cs="Arial"/>
                <w:color w:val="000080"/>
                <w:sz w:val="27"/>
                <w:szCs w:val="27"/>
              </w:rPr>
              <w:t>Green building gains steam in the U.S.</w:t>
            </w:r>
          </w:p>
          <w:p w:rsidR="00917C77" w:rsidRDefault="00917C77" w:rsidP="00666F53">
            <w:pPr>
              <w:pStyle w:val="NormalWeb"/>
            </w:pPr>
            <w:r>
              <w:rPr>
                <w:rFonts w:ascii="Trebuchet MS" w:hAnsi="Trebuchet MS"/>
              </w:rPr>
              <w:t xml:space="preserve">Even if you aren’t a proponent of LEED, you cannot deny its impact on increasing awareness of sustainable building in the United States. The USGBC now offers a state-by-state </w:t>
            </w:r>
            <w:hyperlink r:id="rId16" w:history="1">
              <w:r>
                <w:rPr>
                  <w:rStyle w:val="Hyperlink"/>
                  <w:rFonts w:ascii="Trebuchet MS" w:hAnsi="Trebuchet MS"/>
                </w:rPr>
                <w:t>snapshot of green building activity</w:t>
              </w:r>
            </w:hyperlink>
            <w:r>
              <w:rPr>
                <w:rFonts w:ascii="Trebuchet MS" w:hAnsi="Trebuchet MS"/>
              </w:rPr>
              <w:t>, including public policy initiatives, example projects, and market statistics.</w:t>
            </w:r>
          </w:p>
          <w:p w:rsidR="00917C77" w:rsidRDefault="00917C77" w:rsidP="00666F53">
            <w:pPr>
              <w:pStyle w:val="Heading1"/>
            </w:pPr>
            <w:r>
              <w:rPr>
                <w:rFonts w:cs="Arial"/>
                <w:color w:val="000080"/>
                <w:sz w:val="27"/>
                <w:szCs w:val="27"/>
              </w:rPr>
              <w:t>FGI posts sustainability white paper for comment</w:t>
            </w:r>
          </w:p>
          <w:p w:rsidR="00917C77" w:rsidRDefault="00917C77" w:rsidP="00666F53">
            <w:pPr>
              <w:pStyle w:val="NormalWeb"/>
            </w:pPr>
            <w:r>
              <w:rPr>
                <w:rFonts w:ascii="Trebuchet MS" w:hAnsi="Trebuchet MS"/>
              </w:rPr>
              <w:t xml:space="preserve">The Facility Guidelines Institute seeks comments on the first draft of “Sustainable Design Guidelines for Hospitals and Outpatient Facilities.” The paper and commenting directions </w:t>
            </w:r>
            <w:r>
              <w:rPr>
                <w:rFonts w:ascii="Trebuchet MS" w:hAnsi="Trebuchet MS"/>
              </w:rPr>
              <w:lastRenderedPageBreak/>
              <w:t xml:space="preserve">can be found at </w:t>
            </w:r>
            <w:hyperlink r:id="rId17" w:history="1">
              <w:r>
                <w:rPr>
                  <w:rStyle w:val="Hyperlink"/>
                  <w:rFonts w:ascii="Trebuchet MS" w:hAnsi="Trebuchet MS"/>
                </w:rPr>
                <w:t>fgiguidelines.org/resources.php</w:t>
              </w:r>
            </w:hyperlink>
            <w:r>
              <w:rPr>
                <w:rFonts w:ascii="Trebuchet MS" w:hAnsi="Trebuchet MS"/>
              </w:rPr>
              <w:t>.</w:t>
            </w:r>
          </w:p>
          <w:p w:rsidR="00917C77" w:rsidRDefault="00917C77" w:rsidP="00666F53">
            <w:pPr>
              <w:pStyle w:val="Heading1"/>
            </w:pPr>
            <w:r>
              <w:rPr>
                <w:rFonts w:cs="Arial"/>
                <w:color w:val="000080"/>
                <w:sz w:val="27"/>
                <w:szCs w:val="27"/>
              </w:rPr>
              <w:t>New structural design manuals published</w:t>
            </w:r>
          </w:p>
          <w:p w:rsidR="00917C77" w:rsidRDefault="00917C77" w:rsidP="00666F53">
            <w:pPr>
              <w:pStyle w:val="NormalWeb"/>
            </w:pPr>
            <w:r>
              <w:rPr>
                <w:rFonts w:ascii="Trebuchet MS" w:hAnsi="Trebuchet MS"/>
              </w:rPr>
              <w:t xml:space="preserve">The International Code Council and the Structural Engineers Association of California have partnered to publish a five-volume series of </w:t>
            </w:r>
            <w:hyperlink r:id="rId18" w:history="1">
              <w:r>
                <w:rPr>
                  <w:rStyle w:val="Hyperlink"/>
                  <w:rFonts w:ascii="Trebuchet MS" w:hAnsi="Trebuchet MS"/>
                </w:rPr>
                <w:t>Structural/Seismic Design Manuals</w:t>
              </w:r>
            </w:hyperlink>
            <w:r>
              <w:rPr>
                <w:rFonts w:ascii="Trebuchet MS" w:hAnsi="Trebuchet MS"/>
              </w:rPr>
              <w:t> updated to the 2012 International Building Code and referenced standards.</w:t>
            </w:r>
          </w:p>
          <w:p w:rsidR="00917C77" w:rsidRDefault="00917C77" w:rsidP="00666F53">
            <w:pPr>
              <w:pStyle w:val="Heading1"/>
            </w:pPr>
            <w:r>
              <w:rPr>
                <w:rFonts w:cs="Arial"/>
                <w:color w:val="000080"/>
                <w:sz w:val="27"/>
                <w:szCs w:val="27"/>
              </w:rPr>
              <w:t xml:space="preserve">CIPHEX </w:t>
            </w:r>
            <w:proofErr w:type="spellStart"/>
            <w:r>
              <w:rPr>
                <w:rFonts w:cs="Arial"/>
                <w:color w:val="000080"/>
                <w:sz w:val="27"/>
                <w:szCs w:val="27"/>
              </w:rPr>
              <w:t>Roadshow</w:t>
            </w:r>
            <w:proofErr w:type="spellEnd"/>
            <w:r>
              <w:rPr>
                <w:rFonts w:cs="Arial"/>
                <w:color w:val="000080"/>
                <w:sz w:val="27"/>
                <w:szCs w:val="27"/>
              </w:rPr>
              <w:t xml:space="preserve"> travels to four Canadian cities this October</w:t>
            </w:r>
          </w:p>
          <w:p w:rsidR="00917C77" w:rsidRDefault="00917C77" w:rsidP="00666F53">
            <w:pPr>
              <w:pStyle w:val="NormalWeb"/>
            </w:pPr>
            <w:r>
              <w:rPr>
                <w:rFonts w:ascii="Trebuchet MS" w:hAnsi="Trebuchet MS"/>
              </w:rPr>
              <w:t xml:space="preserve">The free </w:t>
            </w:r>
            <w:hyperlink r:id="rId19" w:history="1">
              <w:r>
                <w:rPr>
                  <w:rStyle w:val="Hyperlink"/>
                  <w:rFonts w:ascii="Trebuchet MS" w:hAnsi="Trebuchet MS"/>
                </w:rPr>
                <w:t>traveling expo</w:t>
              </w:r>
            </w:hyperlink>
            <w:r>
              <w:rPr>
                <w:rFonts w:ascii="Trebuchet MS" w:hAnsi="Trebuchet MS"/>
              </w:rPr>
              <w:t xml:space="preserve"> for plumbing, HVACR, </w:t>
            </w:r>
            <w:proofErr w:type="spellStart"/>
            <w:r>
              <w:rPr>
                <w:rFonts w:ascii="Trebuchet MS" w:hAnsi="Trebuchet MS"/>
              </w:rPr>
              <w:t>hydronics</w:t>
            </w:r>
            <w:proofErr w:type="spellEnd"/>
            <w:r>
              <w:rPr>
                <w:rFonts w:ascii="Trebuchet MS" w:hAnsi="Trebuchet MS"/>
              </w:rPr>
              <w:t>, water treatment, tools, equipment, software, and services visits Halifax on October 1, Quebec City on October 3, Winnipeg on October 8, and Edmonton on October 10.</w:t>
            </w:r>
          </w:p>
          <w:p w:rsidR="00917C77" w:rsidRDefault="00917C77" w:rsidP="00666F53">
            <w:pPr>
              <w:pStyle w:val="Heading1"/>
            </w:pPr>
            <w:r>
              <w:rPr>
                <w:rFonts w:cs="Arial"/>
                <w:color w:val="000080"/>
                <w:sz w:val="27"/>
                <w:szCs w:val="27"/>
              </w:rPr>
              <w:t>Input on hot water distribution needed for new research study</w:t>
            </w:r>
          </w:p>
          <w:p w:rsidR="00917C77" w:rsidRDefault="00917C77" w:rsidP="00666F53">
            <w:pPr>
              <w:pStyle w:val="NormalWeb"/>
            </w:pPr>
            <w:r>
              <w:rPr>
                <w:rFonts w:ascii="Trebuchet MS" w:hAnsi="Trebuchet MS"/>
              </w:rPr>
              <w:t xml:space="preserve">Your expertise in the field of hot water distribution is needed for a research project funded by the California Energy Commission that will study issues that diminish distribution efficiency and overall energy use within a multifamily building’s central domestic hot water system. To participate in a short interview, send your name, phone number, and the best time to reach you to </w:t>
            </w:r>
            <w:hyperlink r:id="rId20" w:history="1">
              <w:r>
                <w:rPr>
                  <w:rStyle w:val="Hyperlink"/>
                  <w:rFonts w:ascii="Trebuchet MS" w:hAnsi="Trebuchet MS"/>
                </w:rPr>
                <w:t>gabe@enovativegroup.com</w:t>
              </w:r>
            </w:hyperlink>
            <w:r>
              <w:rPr>
                <w:rFonts w:ascii="Trebuchet MS" w:hAnsi="Trebuchet MS"/>
              </w:rPr>
              <w:t>.</w:t>
            </w:r>
          </w:p>
          <w:p w:rsidR="00917C77" w:rsidRDefault="00917C77" w:rsidP="00666F53">
            <w:pPr>
              <w:pStyle w:val="Heading1"/>
            </w:pPr>
            <w:r>
              <w:rPr>
                <w:rFonts w:cs="Arial"/>
                <w:color w:val="000080"/>
                <w:sz w:val="27"/>
                <w:szCs w:val="27"/>
              </w:rPr>
              <w:t>WPC announces individual memberships</w:t>
            </w:r>
          </w:p>
          <w:p w:rsidR="00917C77" w:rsidRDefault="00917C77" w:rsidP="00666F53">
            <w:pPr>
              <w:pStyle w:val="NormalWeb"/>
            </w:pPr>
            <w:r>
              <w:rPr>
                <w:rFonts w:ascii="Trebuchet MS" w:hAnsi="Trebuchet MS"/>
              </w:rPr>
              <w:t xml:space="preserve">An individual membership in the World Plumbing Council is only $55 per year and affords members worldwide networking and leadership opportunities. Click </w:t>
            </w:r>
            <w:hyperlink r:id="rId21" w:history="1">
              <w:r>
                <w:rPr>
                  <w:rStyle w:val="Hyperlink"/>
                  <w:rFonts w:ascii="Trebuchet MS" w:hAnsi="Trebuchet MS"/>
                </w:rPr>
                <w:t>here</w:t>
              </w:r>
            </w:hyperlink>
            <w:r>
              <w:rPr>
                <w:rFonts w:ascii="Trebuchet MS" w:hAnsi="Trebuchet MS"/>
              </w:rPr>
              <w:t xml:space="preserve"> to learn more.</w:t>
            </w:r>
          </w:p>
          <w:p w:rsidR="00917C77" w:rsidRDefault="00917C77" w:rsidP="00666F53">
            <w:pPr>
              <w:spacing w:before="100" w:beforeAutospacing="1" w:after="100" w:afterAutospacing="1"/>
              <w:jc w:val="center"/>
              <w:rPr>
                <w:rFonts w:ascii="Times New Roman" w:hAnsi="Times New Roman"/>
                <w:sz w:val="24"/>
                <w:szCs w:val="24"/>
              </w:rPr>
            </w:pPr>
            <w:r>
              <w:t> </w:t>
            </w:r>
          </w:p>
          <w:p w:rsidR="00917C77" w:rsidRDefault="00917C77" w:rsidP="00666F53">
            <w:pPr>
              <w:spacing w:before="100" w:beforeAutospacing="1" w:after="100" w:afterAutospacing="1"/>
              <w:rPr>
                <w:rFonts w:ascii="Times New Roman" w:hAnsi="Times New Roman"/>
                <w:sz w:val="24"/>
                <w:szCs w:val="24"/>
              </w:rPr>
            </w:pPr>
            <w:r>
              <w:t> </w:t>
            </w:r>
          </w:p>
        </w:tc>
      </w:tr>
    </w:tbl>
    <w:p w:rsidR="00917C77" w:rsidRDefault="00917C77"/>
    <w:sectPr w:rsidR="00917C77" w:rsidSect="007B4A5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44F7"/>
    <w:rsid w:val="001408BF"/>
    <w:rsid w:val="00192B27"/>
    <w:rsid w:val="001D410B"/>
    <w:rsid w:val="00576C27"/>
    <w:rsid w:val="005F6743"/>
    <w:rsid w:val="006376A8"/>
    <w:rsid w:val="0074373F"/>
    <w:rsid w:val="007B4A5E"/>
    <w:rsid w:val="008A1F79"/>
    <w:rsid w:val="008A7A33"/>
    <w:rsid w:val="009144F7"/>
    <w:rsid w:val="00917C77"/>
    <w:rsid w:val="009866EF"/>
    <w:rsid w:val="00A868E7"/>
    <w:rsid w:val="00B21F63"/>
    <w:rsid w:val="00B26F4D"/>
    <w:rsid w:val="00E65E25"/>
    <w:rsid w:val="00F47B4A"/>
    <w:rsid w:val="00F922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EI"/>
    <w:qFormat/>
    <w:rsid w:val="009144F7"/>
    <w:rPr>
      <w:rFonts w:ascii="Calibri" w:hAnsi="Calibri"/>
      <w:sz w:val="22"/>
      <w:szCs w:val="22"/>
    </w:rPr>
  </w:style>
  <w:style w:type="paragraph" w:styleId="Heading1">
    <w:name w:val="heading 1"/>
    <w:basedOn w:val="Normal"/>
    <w:next w:val="Normal"/>
    <w:link w:val="Heading1Char"/>
    <w:qFormat/>
    <w:rsid w:val="008A7A33"/>
    <w:pPr>
      <w:keepNext/>
      <w:tabs>
        <w:tab w:val="left" w:pos="8366"/>
      </w:tabs>
      <w:ind w:left="-90"/>
      <w:outlineLvl w:val="0"/>
    </w:pPr>
    <w:rPr>
      <w:rFonts w:ascii="Arial" w:hAnsi="Arial"/>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A33"/>
    <w:rPr>
      <w:rFonts w:ascii="Arial" w:hAnsi="Arial"/>
      <w:b/>
      <w:bCs/>
      <w:sz w:val="28"/>
      <w:lang w:eastAsia="en-US"/>
    </w:rPr>
  </w:style>
  <w:style w:type="paragraph" w:styleId="ListParagraph">
    <w:name w:val="List Paragraph"/>
    <w:basedOn w:val="Normal"/>
    <w:uiPriority w:val="34"/>
    <w:qFormat/>
    <w:rsid w:val="008A7A33"/>
    <w:pPr>
      <w:ind w:left="720"/>
      <w:contextualSpacing/>
    </w:pPr>
    <w:rPr>
      <w:rFonts w:ascii="Arial" w:hAnsi="Arial"/>
      <w:sz w:val="20"/>
      <w:szCs w:val="20"/>
      <w:lang w:eastAsia="en-US"/>
    </w:rPr>
  </w:style>
  <w:style w:type="character" w:styleId="Hyperlink">
    <w:name w:val="Hyperlink"/>
    <w:basedOn w:val="DefaultParagraphFont"/>
    <w:uiPriority w:val="99"/>
    <w:semiHidden/>
    <w:unhideWhenUsed/>
    <w:rsid w:val="009144F7"/>
    <w:rPr>
      <w:color w:val="0000FF"/>
      <w:u w:val="single"/>
    </w:rPr>
  </w:style>
  <w:style w:type="paragraph" w:styleId="NormalWeb">
    <w:name w:val="Normal (Web)"/>
    <w:basedOn w:val="Normal"/>
    <w:uiPriority w:val="99"/>
    <w:unhideWhenUsed/>
    <w:rsid w:val="009144F7"/>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3618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pmo.org/Documents/Codes/2013%20UPC%20Report%20on%20Proposals.pdf" TargetMode="External"/><Relationship Id="rId13" Type="http://schemas.openxmlformats.org/officeDocument/2006/relationships/hyperlink" Target="http://www.trust.org/item/20130909154810-05z9s/?source=hptop" TargetMode="External"/><Relationship Id="rId18" Type="http://schemas.openxmlformats.org/officeDocument/2006/relationships/hyperlink" Target="http://shop.iccsafe.org/tag/product/list/tagId/59?r=ssdmrelease" TargetMode="External"/><Relationship Id="rId3" Type="http://schemas.openxmlformats.org/officeDocument/2006/relationships/webSettings" Target="webSettings.xml"/><Relationship Id="rId21" Type="http://schemas.openxmlformats.org/officeDocument/2006/relationships/hyperlink" Target="http://aspe.org/sites/default/files/webfm/pdfs/WPC_IndivMemberBrochure.pdf" TargetMode="External"/><Relationship Id="rId7" Type="http://schemas.openxmlformats.org/officeDocument/2006/relationships/hyperlink" Target="http://www.iapmo.org/Documents/Codes/2013%20UMC%20Report%20on%20Proposals.pdf" TargetMode="External"/><Relationship Id="rId12" Type="http://schemas.openxmlformats.org/officeDocument/2006/relationships/hyperlink" Target="http://www.cityofchicago.org/content/dam/city/depts/mayor/Press%20Room/Press%20Releases/2013/September/9.11.13AppEnergy.pdf" TargetMode="External"/><Relationship Id="rId17" Type="http://schemas.openxmlformats.org/officeDocument/2006/relationships/hyperlink" Target="http://www.fgiguidelines.org/resources.php" TargetMode="External"/><Relationship Id="rId2" Type="http://schemas.openxmlformats.org/officeDocument/2006/relationships/settings" Target="settings.xml"/><Relationship Id="rId16" Type="http://schemas.openxmlformats.org/officeDocument/2006/relationships/hyperlink" Target="http://www.usgbc.org/articles/built-usa-%E2%80%93-snapshot-green-building-activity-across-all-50-states" TargetMode="External"/><Relationship Id="rId20" Type="http://schemas.openxmlformats.org/officeDocument/2006/relationships/hyperlink" Target="mailto:gabe@enovativegroup.com?subject=CEC%20hot%20water%20research" TargetMode="External"/><Relationship Id="rId1" Type="http://schemas.openxmlformats.org/officeDocument/2006/relationships/styles" Target="styles.xml"/><Relationship Id="rId6" Type="http://schemas.openxmlformats.org/officeDocument/2006/relationships/hyperlink" Target="http://www.aspe.org/node/1312" TargetMode="External"/><Relationship Id="rId11" Type="http://schemas.openxmlformats.org/officeDocument/2006/relationships/hyperlink" Target="http://livingwithwater.com/" TargetMode="External"/><Relationship Id="rId5" Type="http://schemas.openxmlformats.org/officeDocument/2006/relationships/hyperlink" Target="http://aspe.org/node/1311" TargetMode="External"/><Relationship Id="rId15" Type="http://schemas.openxmlformats.org/officeDocument/2006/relationships/hyperlink" Target="http://www.nfpa.org/~/media/Files/Research/Research%20Foundation/Research%20Foundation%20reports/Suppression/HomeFireSprinklerCostAssessment2013.pdf" TargetMode="External"/><Relationship Id="rId23" Type="http://schemas.openxmlformats.org/officeDocument/2006/relationships/theme" Target="theme/theme1.xml"/><Relationship Id="rId10" Type="http://schemas.openxmlformats.org/officeDocument/2006/relationships/hyperlink" Target="http://www.worldgbc.org/activities/wgbw2013/" TargetMode="External"/><Relationship Id="rId19" Type="http://schemas.openxmlformats.org/officeDocument/2006/relationships/hyperlink" Target="http://www.ciphexroadshow.com/" TargetMode="External"/><Relationship Id="rId4" Type="http://schemas.openxmlformats.org/officeDocument/2006/relationships/hyperlink" Target="http://www.nytimes.com/gwire/2011/04/13/13greenwire-epa-budget-deal-slams-state-regional-programs-26003.html" TargetMode="External"/><Relationship Id="rId9" Type="http://schemas.openxmlformats.org/officeDocument/2006/relationships/hyperlink" Target="mailto:jkendzel@aspe.org" TargetMode="External"/><Relationship Id="rId14" Type="http://schemas.openxmlformats.org/officeDocument/2006/relationships/hyperlink" Target="http://nepis.epa.gov/Exe/ZyPDF.cgi?Dockey=P100GRDZ.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anjian lu</cp:lastModifiedBy>
  <cp:revision>3</cp:revision>
  <dcterms:created xsi:type="dcterms:W3CDTF">2013-09-20T21:31:00Z</dcterms:created>
  <dcterms:modified xsi:type="dcterms:W3CDTF">2013-09-21T11:52:00Z</dcterms:modified>
</cp:coreProperties>
</file>