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379" w:type="dxa"/>
        <w:jc w:val="center"/>
        <w:tblCellMar>
          <w:left w:w="0" w:type="dxa"/>
          <w:right w:w="0" w:type="dxa"/>
        </w:tblCellMar>
        <w:tblLook w:val="04A0"/>
      </w:tblPr>
      <w:tblGrid>
        <w:gridCol w:w="7367"/>
        <w:gridCol w:w="6060"/>
      </w:tblGrid>
      <w:tr w:rsidR="00F55C2A" w:rsidTr="005C43BA">
        <w:trPr>
          <w:jc w:val="center"/>
        </w:trPr>
        <w:tc>
          <w:tcPr>
            <w:tcW w:w="7367" w:type="dxa"/>
            <w:gridSpan w:val="2"/>
            <w:tcMar>
              <w:top w:w="0" w:type="dxa"/>
              <w:left w:w="108" w:type="dxa"/>
              <w:bottom w:w="0" w:type="dxa"/>
              <w:right w:w="108" w:type="dxa"/>
            </w:tcMar>
            <w:hideMark/>
          </w:tcPr>
          <w:p w:rsidR="00F55C2A" w:rsidRDefault="00F55C2A" w:rsidP="005C43BA">
            <w:pPr>
              <w:pStyle w:val="NormalWeb"/>
            </w:pPr>
            <w:r>
              <w:rPr>
                <w:rStyle w:val="Strong"/>
                <w:rFonts w:ascii="Arial" w:hAnsi="Arial" w:cs="Arial"/>
                <w:color w:val="000080"/>
                <w:sz w:val="27"/>
                <w:szCs w:val="27"/>
              </w:rPr>
              <w:t>ASPE named administrator of new U.S. Technical Advisory Group to ISO/TC 282-Water Reuse</w:t>
            </w:r>
            <w:r>
              <w:br/>
            </w:r>
            <w:r>
              <w:rPr>
                <w:rFonts w:ascii="Trebuchet MS" w:hAnsi="Trebuchet MS"/>
                <w:color w:val="808080"/>
              </w:rPr>
              <w:t xml:space="preserve">The American Society of Plumbing Engineers is pleased to announce that its application to form and administer a U.S. Technical Advisory Group (TAG) to the newly created International Organization for Standardization Technical Committee on Water Reuse </w:t>
            </w:r>
            <w:hyperlink r:id="rId4" w:history="1">
              <w:r>
                <w:rPr>
                  <w:rStyle w:val="Hyperlink"/>
                  <w:rFonts w:ascii="Trebuchet MS" w:hAnsi="Trebuchet MS"/>
                </w:rPr>
                <w:t>was approved</w:t>
              </w:r>
            </w:hyperlink>
            <w:r>
              <w:rPr>
                <w:rFonts w:ascii="Trebuchet MS" w:hAnsi="Trebuchet MS"/>
                <w:color w:val="808080"/>
              </w:rPr>
              <w:t xml:space="preserve"> by the American National Standards Institute. The U.S. TAG, with ASPE as the administrator, will be responsible for formulating U.S. positions on draft standards developed within ISO/TC 282. If you or your organization is interested in participating on the U.S. TAG, contact </w:t>
            </w:r>
            <w:hyperlink r:id="rId5" w:history="1">
              <w:r>
                <w:rPr>
                  <w:rStyle w:val="Hyperlink"/>
                  <w:rFonts w:ascii="Trebuchet MS" w:hAnsi="Trebuchet MS"/>
                </w:rPr>
                <w:t xml:space="preserve">Gretchen </w:t>
              </w:r>
              <w:proofErr w:type="spellStart"/>
              <w:r>
                <w:rPr>
                  <w:rStyle w:val="Hyperlink"/>
                  <w:rFonts w:ascii="Trebuchet MS" w:hAnsi="Trebuchet MS"/>
                </w:rPr>
                <w:t>Pienta</w:t>
              </w:r>
              <w:proofErr w:type="spellEnd"/>
            </w:hyperlink>
            <w:r>
              <w:rPr>
                <w:rFonts w:ascii="Trebuchet MS" w:hAnsi="Trebuchet MS"/>
                <w:color w:val="808080"/>
              </w:rPr>
              <w:t>.</w:t>
            </w:r>
          </w:p>
          <w:p w:rsidR="00F55C2A" w:rsidRDefault="00F55C2A" w:rsidP="005C43BA">
            <w:pPr>
              <w:pStyle w:val="NormalWeb"/>
            </w:pPr>
            <w:r>
              <w:rPr>
                <w:rStyle w:val="Strong"/>
                <w:rFonts w:ascii="Arial" w:hAnsi="Arial" w:cs="Arial"/>
                <w:color w:val="000080"/>
                <w:sz w:val="27"/>
                <w:szCs w:val="27"/>
              </w:rPr>
              <w:t xml:space="preserve">Learn about </w:t>
            </w:r>
            <w:proofErr w:type="spellStart"/>
            <w:r>
              <w:rPr>
                <w:rStyle w:val="Strong"/>
                <w:rFonts w:ascii="Arial" w:hAnsi="Arial" w:cs="Arial"/>
                <w:color w:val="000080"/>
                <w:sz w:val="27"/>
                <w:szCs w:val="27"/>
              </w:rPr>
              <w:t>graywater</w:t>
            </w:r>
            <w:proofErr w:type="spellEnd"/>
            <w:r>
              <w:rPr>
                <w:rStyle w:val="Strong"/>
                <w:rFonts w:ascii="Arial" w:hAnsi="Arial" w:cs="Arial"/>
                <w:color w:val="000080"/>
                <w:sz w:val="27"/>
                <w:szCs w:val="27"/>
              </w:rPr>
              <w:t xml:space="preserve"> recovery and reuse at the next ASPE webinar</w:t>
            </w:r>
            <w:r>
              <w:br/>
            </w:r>
            <w:r>
              <w:rPr>
                <w:rFonts w:ascii="Trebuchet MS" w:hAnsi="Trebuchet MS"/>
                <w:color w:val="808080"/>
              </w:rPr>
              <w:t xml:space="preserve">On Wednesday, October 23 at 2 p.m. EDT, industry expert Peter Cartwright will explain how to incorporate the appropriate </w:t>
            </w:r>
            <w:proofErr w:type="spellStart"/>
            <w:r>
              <w:rPr>
                <w:rFonts w:ascii="Trebuchet MS" w:hAnsi="Trebuchet MS"/>
                <w:color w:val="808080"/>
              </w:rPr>
              <w:t>graywater</w:t>
            </w:r>
            <w:proofErr w:type="spellEnd"/>
            <w:r>
              <w:rPr>
                <w:rFonts w:ascii="Trebuchet MS" w:hAnsi="Trebuchet MS"/>
                <w:color w:val="808080"/>
              </w:rPr>
              <w:t xml:space="preserve"> recovery and treatment methods for specific reuse applications. This </w:t>
            </w:r>
            <w:hyperlink r:id="rId6" w:history="1">
              <w:r>
                <w:rPr>
                  <w:rStyle w:val="Hyperlink"/>
                  <w:rFonts w:ascii="Trebuchet MS" w:hAnsi="Trebuchet MS"/>
                </w:rPr>
                <w:t>one-hour webinar</w:t>
              </w:r>
            </w:hyperlink>
            <w:r>
              <w:rPr>
                <w:rFonts w:ascii="Trebuchet MS" w:hAnsi="Trebuchet MS"/>
                <w:color w:val="808080"/>
              </w:rPr>
              <w:t xml:space="preserve"> offers one contact hour of continuing education—right from your office or home computer!</w:t>
            </w:r>
          </w:p>
          <w:p w:rsidR="00F55C2A" w:rsidRDefault="00F55C2A" w:rsidP="005C43BA">
            <w:pPr>
              <w:pStyle w:val="NormalWeb"/>
            </w:pPr>
            <w:r>
              <w:rPr>
                <w:rStyle w:val="Strong"/>
                <w:rFonts w:ascii="Arial" w:hAnsi="Arial" w:cs="Arial"/>
                <w:color w:val="000080"/>
                <w:sz w:val="27"/>
                <w:szCs w:val="27"/>
              </w:rPr>
              <w:t>Photos from the 2013 ASPE Technical Symposium are now available</w:t>
            </w:r>
            <w:r>
              <w:br/>
            </w:r>
            <w:r>
              <w:rPr>
                <w:rFonts w:ascii="Trebuchet MS" w:hAnsi="Trebuchet MS"/>
                <w:color w:val="808080"/>
              </w:rPr>
              <w:t xml:space="preserve">Just to go </w:t>
            </w:r>
            <w:hyperlink r:id="rId7" w:history="1">
              <w:r>
                <w:rPr>
                  <w:rStyle w:val="Hyperlink"/>
                  <w:rFonts w:ascii="Trebuchet MS" w:hAnsi="Trebuchet MS"/>
                </w:rPr>
                <w:t>aspe.smugmug.com/Events/2013-Technical-Symposium</w:t>
              </w:r>
            </w:hyperlink>
            <w:r>
              <w:rPr>
                <w:rFonts w:ascii="Trebuchet MS" w:hAnsi="Trebuchet MS"/>
                <w:color w:val="808080"/>
              </w:rPr>
              <w:t xml:space="preserve"> to view, download, and print photos from the 2013 ASPE Technical Symposium. Also, check out the November issue of </w:t>
            </w:r>
            <w:r>
              <w:rPr>
                <w:rStyle w:val="Emphasis"/>
                <w:rFonts w:ascii="Trebuchet MS" w:hAnsi="Trebuchet MS"/>
                <w:color w:val="808080"/>
              </w:rPr>
              <w:t>Plumbing Engineer</w:t>
            </w:r>
            <w:r>
              <w:rPr>
                <w:rFonts w:ascii="Trebuchet MS" w:hAnsi="Trebuchet MS"/>
                <w:color w:val="808080"/>
              </w:rPr>
              <w:t xml:space="preserve"> magazine for highlights from the event. </w:t>
            </w:r>
          </w:p>
        </w:tc>
      </w:tr>
      <w:tr w:rsidR="00F55C2A" w:rsidTr="005C43BA">
        <w:trPr>
          <w:jc w:val="center"/>
        </w:trPr>
        <w:tc>
          <w:tcPr>
            <w:tcW w:w="7367" w:type="dxa"/>
            <w:tcMar>
              <w:top w:w="0" w:type="dxa"/>
              <w:left w:w="108" w:type="dxa"/>
              <w:bottom w:w="0" w:type="dxa"/>
              <w:right w:w="108" w:type="dxa"/>
            </w:tcMar>
            <w:hideMark/>
          </w:tcPr>
          <w:p w:rsidR="00F55C2A" w:rsidRDefault="00F55C2A" w:rsidP="005C43BA">
            <w:pPr>
              <w:pStyle w:val="NormalWeb"/>
            </w:pPr>
            <w:r>
              <w:rPr>
                <w:rStyle w:val="Strong"/>
                <w:rFonts w:ascii="Arial" w:hAnsi="Arial" w:cs="Arial"/>
                <w:color w:val="000080"/>
                <w:sz w:val="27"/>
                <w:szCs w:val="27"/>
              </w:rPr>
              <w:t>ASPE executive director/CEO appointed chair of USEHC Technical Committee</w:t>
            </w:r>
            <w:r>
              <w:br/>
            </w:r>
            <w:r>
              <w:rPr>
                <w:rFonts w:ascii="Trebuchet MS" w:hAnsi="Trebuchet MS"/>
                <w:color w:val="808080"/>
              </w:rPr>
              <w:t xml:space="preserve">The International Association of Plumbing &amp; Mechanical Officials Executive Committee appointed Jim </w:t>
            </w:r>
            <w:proofErr w:type="spellStart"/>
            <w:r>
              <w:rPr>
                <w:rFonts w:ascii="Trebuchet MS" w:hAnsi="Trebuchet MS"/>
                <w:color w:val="808080"/>
              </w:rPr>
              <w:t>Kendzel</w:t>
            </w:r>
            <w:proofErr w:type="spellEnd"/>
            <w:r>
              <w:rPr>
                <w:rFonts w:ascii="Trebuchet MS" w:hAnsi="Trebuchet MS"/>
                <w:color w:val="808080"/>
              </w:rPr>
              <w:t xml:space="preserve">, MPH, CAE, chair of the 2015 Uniform Solar Energy &amp; </w:t>
            </w:r>
            <w:proofErr w:type="spellStart"/>
            <w:r>
              <w:rPr>
                <w:rFonts w:ascii="Trebuchet MS" w:hAnsi="Trebuchet MS"/>
                <w:color w:val="808080"/>
              </w:rPr>
              <w:t>Hydronics</w:t>
            </w:r>
            <w:proofErr w:type="spellEnd"/>
            <w:r>
              <w:rPr>
                <w:rFonts w:ascii="Trebuchet MS" w:hAnsi="Trebuchet MS"/>
                <w:color w:val="808080"/>
              </w:rPr>
              <w:t xml:space="preserve"> Code Technical Committee. Jim brings a long history of codes- and standards-related experience to the position, and as chair of the committee he will be working with other interested stakeholders to develop the first code that fully integrates all aspects of </w:t>
            </w:r>
            <w:proofErr w:type="spellStart"/>
            <w:r>
              <w:rPr>
                <w:rFonts w:ascii="Trebuchet MS" w:hAnsi="Trebuchet MS"/>
                <w:color w:val="808080"/>
              </w:rPr>
              <w:t>hydronic</w:t>
            </w:r>
            <w:proofErr w:type="spellEnd"/>
            <w:r>
              <w:rPr>
                <w:rFonts w:ascii="Trebuchet MS" w:hAnsi="Trebuchet MS"/>
                <w:color w:val="808080"/>
              </w:rPr>
              <w:t xml:space="preserve"> heating and cooling systems, including solar thermal, radiant, and geothermal technology, using the IAPMO/ANSI 2012 Uniform Solar Energy Code as the starting point.</w:t>
            </w:r>
          </w:p>
        </w:tc>
        <w:tc>
          <w:tcPr>
            <w:tcW w:w="6061" w:type="dxa"/>
            <w:tcMar>
              <w:top w:w="0" w:type="dxa"/>
              <w:left w:w="108" w:type="dxa"/>
              <w:bottom w:w="0" w:type="dxa"/>
              <w:right w:w="108" w:type="dxa"/>
            </w:tcMar>
            <w:vAlign w:val="center"/>
            <w:hideMark/>
          </w:tcPr>
          <w:p w:rsidR="00F55C2A" w:rsidRDefault="00F55C2A" w:rsidP="005C43BA">
            <w:pPr>
              <w:spacing w:before="100" w:beforeAutospacing="1" w:after="100" w:afterAutospacing="1"/>
              <w:jc w:val="center"/>
            </w:pPr>
          </w:p>
        </w:tc>
      </w:tr>
      <w:tr w:rsidR="00F55C2A" w:rsidTr="005C43BA">
        <w:trPr>
          <w:trHeight w:val="555"/>
          <w:jc w:val="center"/>
        </w:trPr>
        <w:tc>
          <w:tcPr>
            <w:tcW w:w="13395" w:type="dxa"/>
            <w:gridSpan w:val="2"/>
            <w:tcMar>
              <w:top w:w="0" w:type="dxa"/>
              <w:left w:w="108" w:type="dxa"/>
              <w:bottom w:w="0" w:type="dxa"/>
              <w:right w:w="108" w:type="dxa"/>
            </w:tcMar>
            <w:vAlign w:val="center"/>
            <w:hideMark/>
          </w:tcPr>
          <w:p w:rsidR="00F55C2A" w:rsidRDefault="00F55C2A" w:rsidP="005C43BA">
            <w:pPr>
              <w:pStyle w:val="NormalWeb"/>
            </w:pPr>
            <w:r>
              <w:rPr>
                <w:rStyle w:val="Strong"/>
                <w:rFonts w:ascii="Arial" w:hAnsi="Arial" w:cs="Arial"/>
                <w:color w:val="000080"/>
                <w:sz w:val="27"/>
                <w:szCs w:val="27"/>
              </w:rPr>
              <w:t>Which U.S. city was named the most energy efficient?</w:t>
            </w:r>
            <w:r>
              <w:br/>
            </w:r>
            <w:r>
              <w:rPr>
                <w:rFonts w:ascii="Trebuchet MS" w:hAnsi="Trebuchet MS"/>
                <w:color w:val="808080"/>
              </w:rPr>
              <w:t xml:space="preserve">In a </w:t>
            </w:r>
            <w:hyperlink r:id="rId8" w:history="1">
              <w:r>
                <w:rPr>
                  <w:rStyle w:val="Hyperlink"/>
                  <w:rFonts w:ascii="Trebuchet MS" w:hAnsi="Trebuchet MS"/>
                </w:rPr>
                <w:t>new ranking</w:t>
              </w:r>
            </w:hyperlink>
            <w:r>
              <w:rPr>
                <w:rFonts w:ascii="Trebuchet MS" w:hAnsi="Trebuchet MS"/>
                <w:color w:val="808080"/>
              </w:rPr>
              <w:t xml:space="preserve"> of the 34 most populous U.S. cities, the American Council for an Energy-Efficient Economy named Boston the most energy efficient, beating out Portland (Oregon), New York, San Francisco, and Seattle.</w:t>
            </w:r>
          </w:p>
          <w:p w:rsidR="00F55C2A" w:rsidRDefault="00F55C2A" w:rsidP="005C43BA">
            <w:pPr>
              <w:pStyle w:val="NormalWeb"/>
            </w:pPr>
            <w:r>
              <w:rPr>
                <w:rStyle w:val="Strong"/>
                <w:rFonts w:ascii="Arial" w:hAnsi="Arial" w:cs="Arial"/>
                <w:color w:val="000080"/>
                <w:sz w:val="27"/>
                <w:szCs w:val="27"/>
              </w:rPr>
              <w:t>New California law expedites water treatment device certification</w:t>
            </w:r>
            <w:r>
              <w:br/>
            </w:r>
            <w:hyperlink r:id="rId9" w:history="1">
              <w:r>
                <w:rPr>
                  <w:rStyle w:val="Hyperlink"/>
                  <w:rFonts w:ascii="Trebuchet MS" w:hAnsi="Trebuchet MS"/>
                </w:rPr>
                <w:t>AB 119</w:t>
              </w:r>
            </w:hyperlink>
            <w:r>
              <w:rPr>
                <w:rFonts w:ascii="Trebuchet MS" w:hAnsi="Trebuchet MS"/>
                <w:color w:val="808080"/>
              </w:rPr>
              <w:t xml:space="preserve"> allows the California Department of Public Health to accept certifications granted by independent third-party testing organizations such as NSF and WQA that are accredited by the American National Standards Institute to streamline the certification process for water treatment devices in the state of California.</w:t>
            </w:r>
          </w:p>
          <w:p w:rsidR="00F55C2A" w:rsidRDefault="00F55C2A" w:rsidP="005C43BA">
            <w:pPr>
              <w:pStyle w:val="NormalWeb"/>
            </w:pPr>
            <w:r>
              <w:rPr>
                <w:rStyle w:val="Strong"/>
                <w:rFonts w:ascii="Arial" w:hAnsi="Arial" w:cs="Arial"/>
                <w:color w:val="000080"/>
                <w:sz w:val="27"/>
                <w:szCs w:val="27"/>
              </w:rPr>
              <w:t>NYC releases building energy and water use data</w:t>
            </w:r>
            <w:r>
              <w:rPr>
                <w:rFonts w:ascii="Arial" w:hAnsi="Arial" w:cs="Arial"/>
                <w:b/>
                <w:bCs/>
                <w:color w:val="000080"/>
                <w:sz w:val="27"/>
                <w:szCs w:val="27"/>
              </w:rPr>
              <w:br/>
            </w:r>
            <w:r>
              <w:rPr>
                <w:rFonts w:ascii="Trebuchet MS" w:hAnsi="Trebuchet MS"/>
                <w:color w:val="808080"/>
              </w:rPr>
              <w:t xml:space="preserve">As part of New York City's energy benchmarking mandate, the mayor’s office released a report detailing data on energy and water use in more than 24,000 buildings greater than 50,000 sf, which finds that the city’s median Energy Star score increased from 64 in 2011 to 67 in 2012. </w:t>
            </w:r>
            <w:hyperlink r:id="rId10" w:history="1">
              <w:r>
                <w:rPr>
                  <w:rStyle w:val="Hyperlink"/>
                  <w:rFonts w:ascii="Trebuchet MS" w:hAnsi="Trebuchet MS"/>
                </w:rPr>
                <w:t>More&gt;&gt;</w:t>
              </w:r>
            </w:hyperlink>
          </w:p>
          <w:p w:rsidR="00F55C2A" w:rsidRDefault="00F55C2A" w:rsidP="005C43BA">
            <w:pPr>
              <w:pStyle w:val="NormalWeb"/>
            </w:pPr>
            <w:r>
              <w:rPr>
                <w:rStyle w:val="Strong"/>
                <w:rFonts w:ascii="Arial" w:hAnsi="Arial" w:cs="Arial"/>
                <w:color w:val="000080"/>
                <w:sz w:val="27"/>
                <w:szCs w:val="27"/>
              </w:rPr>
              <w:t>64 percent of Americans operate public toilets with their foot</w:t>
            </w:r>
            <w:r>
              <w:br/>
            </w:r>
            <w:r>
              <w:rPr>
                <w:rFonts w:ascii="Trebuchet MS" w:hAnsi="Trebuchet MS"/>
                <w:color w:val="808080"/>
              </w:rPr>
              <w:t xml:space="preserve">This behavior might have something to do with the fact that 81 percent also saw a person leaving a public restroom </w:t>
            </w:r>
            <w:r>
              <w:rPr>
                <w:rFonts w:ascii="Trebuchet MS" w:hAnsi="Trebuchet MS"/>
                <w:color w:val="808080"/>
              </w:rPr>
              <w:lastRenderedPageBreak/>
              <w:t xml:space="preserve">without washing their hands, according to Bradley Corp.'s </w:t>
            </w:r>
            <w:hyperlink r:id="rId11" w:history="1">
              <w:r>
                <w:rPr>
                  <w:rStyle w:val="Hyperlink"/>
                  <w:rFonts w:ascii="Trebuchet MS" w:hAnsi="Trebuchet MS"/>
                </w:rPr>
                <w:t xml:space="preserve">2013 Healthy </w:t>
              </w:r>
              <w:proofErr w:type="spellStart"/>
              <w:r>
                <w:rPr>
                  <w:rStyle w:val="Hyperlink"/>
                  <w:rFonts w:ascii="Trebuchet MS" w:hAnsi="Trebuchet MS"/>
                </w:rPr>
                <w:t>Handwashing</w:t>
              </w:r>
              <w:proofErr w:type="spellEnd"/>
              <w:r>
                <w:rPr>
                  <w:rStyle w:val="Hyperlink"/>
                  <w:rFonts w:ascii="Trebuchet MS" w:hAnsi="Trebuchet MS"/>
                </w:rPr>
                <w:t xml:space="preserve"> Survey</w:t>
              </w:r>
            </w:hyperlink>
            <w:r>
              <w:rPr>
                <w:rFonts w:ascii="Trebuchet MS" w:hAnsi="Trebuchet MS"/>
                <w:color w:val="808080"/>
              </w:rPr>
              <w:t>. </w:t>
            </w:r>
          </w:p>
          <w:p w:rsidR="00F55C2A" w:rsidRDefault="00F55C2A" w:rsidP="005C43BA">
            <w:pPr>
              <w:pStyle w:val="NormalWeb"/>
            </w:pPr>
            <w:r>
              <w:rPr>
                <w:rStyle w:val="Strong"/>
                <w:rFonts w:ascii="Arial" w:hAnsi="Arial" w:cs="Arial"/>
                <w:color w:val="000080"/>
                <w:sz w:val="27"/>
                <w:szCs w:val="27"/>
              </w:rPr>
              <w:t>First standard on the commissioning process published</w:t>
            </w:r>
            <w:r>
              <w:rPr>
                <w:rFonts w:ascii="Arial" w:hAnsi="Arial" w:cs="Arial"/>
                <w:b/>
                <w:bCs/>
                <w:color w:val="000080"/>
                <w:sz w:val="27"/>
                <w:szCs w:val="27"/>
              </w:rPr>
              <w:br/>
            </w:r>
            <w:r>
              <w:rPr>
                <w:rFonts w:ascii="Trebuchet MS" w:hAnsi="Trebuchet MS"/>
                <w:color w:val="808080"/>
              </w:rPr>
              <w:t>ANSI/ASHRAE/IES Standard 202: </w:t>
            </w:r>
            <w:r>
              <w:rPr>
                <w:rStyle w:val="Emphasis"/>
                <w:rFonts w:ascii="Trebuchet MS" w:hAnsi="Trebuchet MS"/>
                <w:color w:val="808080"/>
              </w:rPr>
              <w:t>Commissioning Process for Buildings and Systems</w:t>
            </w:r>
            <w:r>
              <w:rPr>
                <w:rFonts w:ascii="Trebuchet MS" w:hAnsi="Trebuchet MS"/>
                <w:color w:val="808080"/>
              </w:rPr>
              <w:t xml:space="preserve"> identifies the minimum acceptable commissioning process for buildings and systems as described in ASHRAE’s Guideline 0-2005: </w:t>
            </w:r>
            <w:r>
              <w:rPr>
                <w:rStyle w:val="Emphasis"/>
                <w:rFonts w:ascii="Trebuchet MS" w:hAnsi="Trebuchet MS"/>
                <w:color w:val="808080"/>
              </w:rPr>
              <w:t>The Commissioning Process. </w:t>
            </w:r>
            <w:hyperlink r:id="rId12" w:history="1">
              <w:r>
                <w:rPr>
                  <w:rStyle w:val="Hyperlink"/>
                  <w:rFonts w:ascii="Trebuchet MS" w:hAnsi="Trebuchet MS"/>
                </w:rPr>
                <w:t>More&gt;&gt;</w:t>
              </w:r>
            </w:hyperlink>
          </w:p>
          <w:p w:rsidR="00F55C2A" w:rsidRDefault="00F55C2A" w:rsidP="005C43BA">
            <w:pPr>
              <w:pStyle w:val="NormalWeb"/>
            </w:pPr>
            <w:r>
              <w:rPr>
                <w:rStyle w:val="Strong"/>
                <w:rFonts w:ascii="Arial" w:hAnsi="Arial" w:cs="Arial"/>
                <w:color w:val="000080"/>
                <w:sz w:val="27"/>
                <w:szCs w:val="27"/>
              </w:rPr>
              <w:t>ICC seeks PMG Code Action Committee members</w:t>
            </w:r>
            <w:r>
              <w:br/>
            </w:r>
            <w:r>
              <w:rPr>
                <w:rFonts w:ascii="Trebuchet MS" w:hAnsi="Trebuchet MS"/>
                <w:color w:val="808080"/>
              </w:rPr>
              <w:t xml:space="preserve">All interested individuals are invited to apply to sit on the International Code Council’s Plumbing, Mechanical, and Fuel Gas Code Action Committee (PMGCAC) for the 2014-2016 </w:t>
            </w:r>
            <w:proofErr w:type="gramStart"/>
            <w:r>
              <w:rPr>
                <w:rFonts w:ascii="Trebuchet MS" w:hAnsi="Trebuchet MS"/>
                <w:color w:val="808080"/>
              </w:rPr>
              <w:t>term</w:t>
            </w:r>
            <w:proofErr w:type="gramEnd"/>
            <w:r>
              <w:rPr>
                <w:rFonts w:ascii="Trebuchet MS" w:hAnsi="Trebuchet MS"/>
                <w:color w:val="808080"/>
              </w:rPr>
              <w:t xml:space="preserve">. Click </w:t>
            </w:r>
            <w:hyperlink r:id="rId13" w:history="1">
              <w:r>
                <w:rPr>
                  <w:rStyle w:val="Hyperlink"/>
                  <w:rFonts w:ascii="Trebuchet MS" w:hAnsi="Trebuchet MS"/>
                </w:rPr>
                <w:t>here</w:t>
              </w:r>
            </w:hyperlink>
            <w:r>
              <w:rPr>
                <w:rFonts w:ascii="Trebuchet MS" w:hAnsi="Trebuchet MS"/>
                <w:color w:val="808080"/>
              </w:rPr>
              <w:t xml:space="preserve"> to learn more (scroll to bottom of page) and find an application. The deadline to apply is October 21.</w:t>
            </w:r>
          </w:p>
          <w:p w:rsidR="00F55C2A" w:rsidRDefault="00F55C2A" w:rsidP="005C43BA">
            <w:pPr>
              <w:pStyle w:val="NormalWeb"/>
            </w:pPr>
            <w:r>
              <w:rPr>
                <w:rStyle w:val="Strong"/>
                <w:rFonts w:ascii="Arial" w:hAnsi="Arial" w:cs="Arial"/>
                <w:color w:val="000080"/>
                <w:sz w:val="27"/>
                <w:szCs w:val="27"/>
              </w:rPr>
              <w:t>UPC TIAs available for public comment</w:t>
            </w:r>
            <w:r>
              <w:br/>
            </w:r>
            <w:r>
              <w:rPr>
                <w:rFonts w:ascii="Trebuchet MS" w:hAnsi="Trebuchet MS"/>
                <w:color w:val="808080"/>
              </w:rPr>
              <w:t xml:space="preserve">Two tentative interim amendments to the 2012 Uniform Plumbing Code are open for public comment until October 8. Click </w:t>
            </w:r>
            <w:hyperlink r:id="rId14" w:history="1">
              <w:r>
                <w:rPr>
                  <w:rStyle w:val="Hyperlink"/>
                  <w:rFonts w:ascii="Trebuchet MS" w:hAnsi="Trebuchet MS"/>
                </w:rPr>
                <w:t>here</w:t>
              </w:r>
            </w:hyperlink>
            <w:r>
              <w:rPr>
                <w:rFonts w:ascii="Trebuchet MS" w:hAnsi="Trebuchet MS"/>
                <w:color w:val="808080"/>
              </w:rPr>
              <w:t xml:space="preserve"> to learn more.</w:t>
            </w:r>
          </w:p>
          <w:p w:rsidR="00F55C2A" w:rsidRDefault="00F55C2A" w:rsidP="005C43BA">
            <w:pPr>
              <w:pStyle w:val="NormalWeb"/>
            </w:pPr>
            <w:r>
              <w:rPr>
                <w:rStyle w:val="Strong"/>
                <w:rFonts w:ascii="Arial" w:hAnsi="Arial" w:cs="Arial"/>
                <w:color w:val="000080"/>
                <w:sz w:val="27"/>
                <w:szCs w:val="27"/>
              </w:rPr>
              <w:t>Campus Conservation Nationals 2014 is open for registration</w:t>
            </w:r>
            <w:r>
              <w:br/>
            </w:r>
            <w:r>
              <w:rPr>
                <w:rFonts w:ascii="Trebuchet MS" w:hAnsi="Trebuchet MS"/>
                <w:color w:val="808080"/>
              </w:rPr>
              <w:t xml:space="preserve">All two- and four-year institutions are invited to participate in the largest </w:t>
            </w:r>
            <w:hyperlink r:id="rId15" w:history="1">
              <w:r>
                <w:rPr>
                  <w:rStyle w:val="Hyperlink"/>
                  <w:rFonts w:ascii="Trebuchet MS" w:hAnsi="Trebuchet MS"/>
                </w:rPr>
                <w:t>conservation competition program for colleges and universities</w:t>
              </w:r>
            </w:hyperlink>
            <w:r>
              <w:rPr>
                <w:rFonts w:ascii="Trebuchet MS" w:hAnsi="Trebuchet MS"/>
                <w:color w:val="808080"/>
              </w:rPr>
              <w:t xml:space="preserve"> in the world to reduce electricity and water consumption. Registration is open until October 25.</w:t>
            </w:r>
          </w:p>
          <w:p w:rsidR="00F55C2A" w:rsidRDefault="00F55C2A" w:rsidP="005C43BA">
            <w:pPr>
              <w:pStyle w:val="NormalWeb"/>
            </w:pPr>
            <w:r>
              <w:rPr>
                <w:rStyle w:val="Strong"/>
                <w:rFonts w:ascii="Arial" w:hAnsi="Arial" w:cs="Arial"/>
                <w:color w:val="000080"/>
                <w:sz w:val="27"/>
                <w:szCs w:val="27"/>
              </w:rPr>
              <w:t>CIPH launches career information website</w:t>
            </w:r>
            <w:r>
              <w:rPr>
                <w:rFonts w:ascii="Trebuchet MS" w:hAnsi="Trebuchet MS"/>
                <w:color w:val="808080"/>
              </w:rPr>
              <w:br/>
            </w:r>
            <w:hyperlink r:id="rId16" w:history="1">
              <w:r>
                <w:rPr>
                  <w:rStyle w:val="Hyperlink"/>
                  <w:rFonts w:ascii="Trebuchet MS" w:hAnsi="Trebuchet MS"/>
                </w:rPr>
                <w:t>CareerTap.ca</w:t>
              </w:r>
            </w:hyperlink>
            <w:r>
              <w:rPr>
                <w:rFonts w:ascii="Trebuchet MS" w:hAnsi="Trebuchet MS"/>
                <w:color w:val="808080"/>
              </w:rPr>
              <w:t xml:space="preserve"> highlights the wide range of career paths, co-op education opportunities, and potential employers available within Canada's plumbing and </w:t>
            </w:r>
            <w:proofErr w:type="spellStart"/>
            <w:r>
              <w:rPr>
                <w:rFonts w:ascii="Trebuchet MS" w:hAnsi="Trebuchet MS"/>
                <w:color w:val="808080"/>
              </w:rPr>
              <w:t>hydronic</w:t>
            </w:r>
            <w:proofErr w:type="spellEnd"/>
            <w:r>
              <w:rPr>
                <w:rFonts w:ascii="Trebuchet MS" w:hAnsi="Trebuchet MS"/>
                <w:color w:val="808080"/>
              </w:rPr>
              <w:t xml:space="preserve"> heating industry.</w:t>
            </w:r>
          </w:p>
          <w:p w:rsidR="00F55C2A" w:rsidRDefault="00F55C2A" w:rsidP="005C43BA">
            <w:pPr>
              <w:pStyle w:val="NormalWeb"/>
            </w:pPr>
            <w:r>
              <w:rPr>
                <w:rStyle w:val="Strong"/>
                <w:rFonts w:ascii="Arial" w:hAnsi="Arial" w:cs="Arial"/>
                <w:color w:val="000080"/>
                <w:sz w:val="27"/>
                <w:szCs w:val="27"/>
              </w:rPr>
              <w:t>ARCSA announces new accreditation workshops</w:t>
            </w:r>
            <w:r>
              <w:rPr>
                <w:rFonts w:ascii="Trebuchet MS" w:hAnsi="Trebuchet MS"/>
                <w:color w:val="808080"/>
              </w:rPr>
              <w:br/>
              <w:t xml:space="preserve">As part of its </w:t>
            </w:r>
            <w:hyperlink r:id="rId17" w:history="1">
              <w:r>
                <w:rPr>
                  <w:rStyle w:val="Hyperlink"/>
                  <w:rFonts w:ascii="Trebuchet MS" w:hAnsi="Trebuchet MS"/>
                </w:rPr>
                <w:t>annual conference</w:t>
              </w:r>
            </w:hyperlink>
            <w:r>
              <w:rPr>
                <w:rFonts w:ascii="Trebuchet MS" w:hAnsi="Trebuchet MS"/>
                <w:color w:val="808080"/>
              </w:rPr>
              <w:t xml:space="preserve"> in Austin, Texas (November 4-8), co-sponsored by the Irrigation Association, the American Rainwater Catchment Systems Association will hold </w:t>
            </w:r>
            <w:hyperlink r:id="rId18" w:history="1">
              <w:r>
                <w:rPr>
                  <w:rStyle w:val="Hyperlink"/>
                  <w:rFonts w:ascii="Trebuchet MS" w:hAnsi="Trebuchet MS"/>
                </w:rPr>
                <w:t>workshops</w:t>
              </w:r>
            </w:hyperlink>
            <w:r>
              <w:rPr>
                <w:rFonts w:ascii="Trebuchet MS" w:hAnsi="Trebuchet MS"/>
                <w:color w:val="808080"/>
              </w:rPr>
              <w:t xml:space="preserve"> for ARCSA Accredited Professionals, Certified Associates, and Inspector Specialists. </w:t>
            </w:r>
          </w:p>
          <w:tbl>
            <w:tblPr>
              <w:tblW w:w="13211" w:type="dxa"/>
              <w:tblCellSpacing w:w="0" w:type="dxa"/>
              <w:tblCellMar>
                <w:left w:w="0" w:type="dxa"/>
                <w:right w:w="0" w:type="dxa"/>
              </w:tblCellMar>
              <w:tblLook w:val="04A0"/>
            </w:tblPr>
            <w:tblGrid>
              <w:gridCol w:w="13211"/>
            </w:tblGrid>
            <w:tr w:rsidR="00F55C2A" w:rsidTr="005C43BA">
              <w:trPr>
                <w:trHeight w:val="1524"/>
                <w:tblCellSpacing w:w="0" w:type="dxa"/>
              </w:trPr>
              <w:tc>
                <w:tcPr>
                  <w:tcW w:w="13998" w:type="dxa"/>
                  <w:tcBorders>
                    <w:top w:val="nil"/>
                    <w:left w:val="nil"/>
                    <w:bottom w:val="nil"/>
                    <w:right w:val="nil"/>
                  </w:tcBorders>
                  <w:vAlign w:val="center"/>
                  <w:hideMark/>
                </w:tcPr>
                <w:p w:rsidR="00F55C2A" w:rsidRDefault="00F55C2A" w:rsidP="005C43BA">
                  <w:pPr>
                    <w:pStyle w:val="NormalWeb"/>
                    <w:jc w:val="center"/>
                  </w:pPr>
                </w:p>
              </w:tc>
            </w:tr>
          </w:tbl>
          <w:p w:rsidR="00F55C2A" w:rsidRDefault="00F55C2A" w:rsidP="005C43BA">
            <w:pPr>
              <w:spacing w:before="100" w:beforeAutospacing="1" w:after="100" w:afterAutospacing="1"/>
              <w:jc w:val="center"/>
            </w:pPr>
            <w:r>
              <w:t> </w:t>
            </w:r>
          </w:p>
        </w:tc>
      </w:tr>
    </w:tbl>
    <w:p w:rsidR="00917C77" w:rsidRPr="00F55C2A" w:rsidRDefault="00917C77" w:rsidP="00F55C2A"/>
    <w:sectPr w:rsidR="00917C77" w:rsidRPr="00F55C2A" w:rsidSect="00F55C2A">
      <w:pgSz w:w="15840" w:h="24480" w:code="3"/>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9144F7"/>
    <w:rsid w:val="000F5151"/>
    <w:rsid w:val="001408BF"/>
    <w:rsid w:val="00192B27"/>
    <w:rsid w:val="001D410B"/>
    <w:rsid w:val="004C19AA"/>
    <w:rsid w:val="00576C27"/>
    <w:rsid w:val="005F6743"/>
    <w:rsid w:val="006376A8"/>
    <w:rsid w:val="0074373F"/>
    <w:rsid w:val="007B4A5E"/>
    <w:rsid w:val="008A1F79"/>
    <w:rsid w:val="008A7A33"/>
    <w:rsid w:val="009144F7"/>
    <w:rsid w:val="00917C77"/>
    <w:rsid w:val="009866EF"/>
    <w:rsid w:val="00A868E7"/>
    <w:rsid w:val="00B21F63"/>
    <w:rsid w:val="00B26F4D"/>
    <w:rsid w:val="00E65E25"/>
    <w:rsid w:val="00F47B4A"/>
    <w:rsid w:val="00F55C2A"/>
    <w:rsid w:val="00F922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EI"/>
    <w:qFormat/>
    <w:rsid w:val="009144F7"/>
    <w:rPr>
      <w:rFonts w:ascii="Calibri" w:hAnsi="Calibri"/>
      <w:sz w:val="22"/>
      <w:szCs w:val="22"/>
    </w:rPr>
  </w:style>
  <w:style w:type="paragraph" w:styleId="Heading1">
    <w:name w:val="heading 1"/>
    <w:basedOn w:val="Normal"/>
    <w:next w:val="Normal"/>
    <w:link w:val="Heading1Char"/>
    <w:qFormat/>
    <w:rsid w:val="008A7A33"/>
    <w:pPr>
      <w:keepNext/>
      <w:tabs>
        <w:tab w:val="left" w:pos="8366"/>
      </w:tabs>
      <w:ind w:left="-90"/>
      <w:outlineLvl w:val="0"/>
    </w:pPr>
    <w:rPr>
      <w:rFonts w:ascii="Arial" w:hAnsi="Arial"/>
      <w:b/>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A33"/>
    <w:rPr>
      <w:rFonts w:ascii="Arial" w:hAnsi="Arial"/>
      <w:b/>
      <w:bCs/>
      <w:sz w:val="28"/>
      <w:lang w:eastAsia="en-US"/>
    </w:rPr>
  </w:style>
  <w:style w:type="paragraph" w:styleId="ListParagraph">
    <w:name w:val="List Paragraph"/>
    <w:basedOn w:val="Normal"/>
    <w:uiPriority w:val="34"/>
    <w:qFormat/>
    <w:rsid w:val="008A7A33"/>
    <w:pPr>
      <w:ind w:left="720"/>
      <w:contextualSpacing/>
    </w:pPr>
    <w:rPr>
      <w:rFonts w:ascii="Arial" w:hAnsi="Arial"/>
      <w:sz w:val="20"/>
      <w:szCs w:val="20"/>
      <w:lang w:eastAsia="en-US"/>
    </w:rPr>
  </w:style>
  <w:style w:type="character" w:styleId="Hyperlink">
    <w:name w:val="Hyperlink"/>
    <w:basedOn w:val="DefaultParagraphFont"/>
    <w:uiPriority w:val="99"/>
    <w:semiHidden/>
    <w:unhideWhenUsed/>
    <w:rsid w:val="009144F7"/>
    <w:rPr>
      <w:color w:val="0000FF"/>
      <w:u w:val="single"/>
    </w:rPr>
  </w:style>
  <w:style w:type="paragraph" w:styleId="NormalWeb">
    <w:name w:val="Normal (Web)"/>
    <w:basedOn w:val="Normal"/>
    <w:uiPriority w:val="99"/>
    <w:unhideWhenUsed/>
    <w:rsid w:val="009144F7"/>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F55C2A"/>
    <w:rPr>
      <w:rFonts w:cs="Times New Roman"/>
      <w:b/>
      <w:bCs/>
    </w:rPr>
  </w:style>
  <w:style w:type="character" w:styleId="Emphasis">
    <w:name w:val="Emphasis"/>
    <w:basedOn w:val="DefaultParagraphFont"/>
    <w:uiPriority w:val="20"/>
    <w:qFormat/>
    <w:rsid w:val="00F55C2A"/>
    <w:rPr>
      <w:rFonts w:cs="Times New Roman"/>
      <w:i/>
      <w:iCs/>
    </w:rPr>
  </w:style>
</w:styles>
</file>

<file path=word/webSettings.xml><?xml version="1.0" encoding="utf-8"?>
<w:webSettings xmlns:r="http://schemas.openxmlformats.org/officeDocument/2006/relationships" xmlns:w="http://schemas.openxmlformats.org/wordprocessingml/2006/main">
  <w:divs>
    <w:div w:id="136185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eee.org/local-policy/city-scorecard" TargetMode="External"/><Relationship Id="rId13" Type="http://schemas.openxmlformats.org/officeDocument/2006/relationships/hyperlink" Target="http://www.iccsafe.org/cc/Pages/calls.aspx" TargetMode="External"/><Relationship Id="rId18" Type="http://schemas.openxmlformats.org/officeDocument/2006/relationships/hyperlink" Target="http://www.arcsa.org/?page=2013confworkshops" TargetMode="External"/><Relationship Id="rId3" Type="http://schemas.openxmlformats.org/officeDocument/2006/relationships/webSettings" Target="webSettings.xml"/><Relationship Id="rId7" Type="http://schemas.openxmlformats.org/officeDocument/2006/relationships/hyperlink" Target="http://aspe.smugmug.com/Events/2013-Technical-Symposium" TargetMode="External"/><Relationship Id="rId12" Type="http://schemas.openxmlformats.org/officeDocument/2006/relationships/hyperlink" Target="https://ashrae.org/news/2013/ashrae--ies-publish-first-standard-focused-on-commissioning-process" TargetMode="External"/><Relationship Id="rId17" Type="http://schemas.openxmlformats.org/officeDocument/2006/relationships/hyperlink" Target="http://www.arcsa.org/?page=276" TargetMode="External"/><Relationship Id="rId2" Type="http://schemas.openxmlformats.org/officeDocument/2006/relationships/settings" Target="settings.xml"/><Relationship Id="rId16" Type="http://schemas.openxmlformats.org/officeDocument/2006/relationships/hyperlink" Target="http://www.CareerTap.ca"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spe.org/currentwebinar" TargetMode="External"/><Relationship Id="rId11" Type="http://schemas.openxmlformats.org/officeDocument/2006/relationships/hyperlink" Target="http://www.bradleycorp.com/handwashing" TargetMode="External"/><Relationship Id="rId5" Type="http://schemas.openxmlformats.org/officeDocument/2006/relationships/hyperlink" Target="mailto:gpienta@aspe.org" TargetMode="External"/><Relationship Id="rId15" Type="http://schemas.openxmlformats.org/officeDocument/2006/relationships/hyperlink" Target="http://competetoreduce.org/ccn.html" TargetMode="External"/><Relationship Id="rId10" Type="http://schemas.openxmlformats.org/officeDocument/2006/relationships/hyperlink" Target="http://www.bdcnetwork.com/nyc-releases-first-year-year-energy-performance-data-commercial-properties" TargetMode="External"/><Relationship Id="rId19" Type="http://schemas.openxmlformats.org/officeDocument/2006/relationships/fontTable" Target="fontTable.xml"/><Relationship Id="rId4" Type="http://schemas.openxmlformats.org/officeDocument/2006/relationships/hyperlink" Target="http://aspe.org/node/1314" TargetMode="External"/><Relationship Id="rId9" Type="http://schemas.openxmlformats.org/officeDocument/2006/relationships/hyperlink" Target="http://legiscan.com/CA/text/AB119/id/808184" TargetMode="External"/><Relationship Id="rId14" Type="http://schemas.openxmlformats.org/officeDocument/2006/relationships/hyperlink" Target="http://iapmo.org/Press%20Releases/2013-09-27%20IAPMO%20UPC%20TIA%20Comm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dc:creator>
  <cp:keywords/>
  <dc:description/>
  <cp:lastModifiedBy>Your User Name</cp:lastModifiedBy>
  <cp:revision>2</cp:revision>
  <dcterms:created xsi:type="dcterms:W3CDTF">2013-10-04T18:42:00Z</dcterms:created>
  <dcterms:modified xsi:type="dcterms:W3CDTF">2013-10-04T18:42:00Z</dcterms:modified>
</cp:coreProperties>
</file>