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4E" w:rsidRDefault="005F1181" w:rsidP="004D694E">
      <w:pPr>
        <w:pStyle w:val="Heading1"/>
        <w:rPr>
          <w:rFonts w:eastAsia="Times New Roman"/>
        </w:rPr>
      </w:pPr>
      <w:r>
        <w:rPr>
          <w:rFonts w:hint="eastAsia"/>
        </w:rPr>
        <w:t>建筑给水排水需要双重雨水排水系统标准吗？</w:t>
      </w:r>
    </w:p>
    <w:p w:rsidR="004D694E" w:rsidRDefault="004D694E" w:rsidP="004D694E">
      <w:r>
        <w:t>A </w:t>
      </w:r>
      <w:r w:rsidRPr="00BE77E1">
        <w:t>&lt;a href="</w:t>
      </w:r>
      <w:r w:rsidR="004F1BAE" w:rsidRPr="004F1BAE">
        <w:t>http://contractormag.com/plumbing-contractor/rainwater-catchment-makes-things-muddy</w:t>
      </w:r>
      <w:r w:rsidRPr="00BE77E1">
        <w:t>"&gt;</w:t>
      </w:r>
      <w:r w:rsidR="00E01837">
        <w:rPr>
          <w:rFonts w:ascii="MS Gothic" w:eastAsia="MS Gothic" w:hAnsi="MS Gothic" w:cs="MS Gothic"/>
        </w:rPr>
        <w:t xml:space="preserve"> </w:t>
      </w:r>
      <w:hyperlink r:id="rId4" w:history="1">
        <w:r>
          <w:rPr>
            <w:rStyle w:val="Hyperlink"/>
          </w:rPr>
          <w:t>recent article</w:t>
        </w:r>
      </w:hyperlink>
      <w:r w:rsidR="00E01837" w:rsidRPr="00BE77E1">
        <w:rPr>
          <w:rFonts w:ascii="Vrinda" w:eastAsia="MingLiU" w:hAnsi="Vrinda" w:cs="Vrinda"/>
        </w:rPr>
        <w:t>&lt;/a&gt;</w:t>
      </w:r>
      <w:r>
        <w:t> by </w:t>
      </w:r>
      <w:r>
        <w:rPr>
          <w:i/>
          <w:iCs/>
        </w:rPr>
        <w:t>Contractor</w:t>
      </w:r>
      <w:r>
        <w:t xml:space="preserve"> magazine Editor-in-Chief Robert </w:t>
      </w:r>
      <w:proofErr w:type="spellStart"/>
      <w:r>
        <w:t>Mader</w:t>
      </w:r>
      <w:proofErr w:type="spellEnd"/>
      <w:r>
        <w:t xml:space="preserve"> explores the issue of two potentially competing American National Standards for rainwater catchment systems. ASPE and ARCSA, with sponsorship from IAPMO, are submitting the revised ARCSA/ASPE 63 standard for ANSI approval, and ICC recently announced a new project covering the same scope. While the article surmises that two might be better than one, ASPE Executive Director/CEO Jim </w:t>
      </w:r>
      <w:proofErr w:type="spellStart"/>
      <w:r>
        <w:t>Kendzel</w:t>
      </w:r>
      <w:proofErr w:type="spellEnd"/>
      <w:r>
        <w:t>, CAE, MPH, proposes cooperation as the better solution in his </w:t>
      </w:r>
      <w:hyperlink r:id="rId5" w:history="1">
        <w:r>
          <w:rPr>
            <w:rStyle w:val="Hyperlink"/>
          </w:rPr>
          <w:t>letter to the editor</w:t>
        </w:r>
      </w:hyperlink>
      <w:r w:rsidRPr="00BE77E1">
        <w:t>&lt;a href="</w:t>
      </w:r>
      <w:r w:rsidR="004F1BAE" w:rsidRPr="004F1BAE">
        <w:t>http://aspe.org/sites/default/files/webfm/pdfs/Letter_to_the_Editor.pdf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  <w:r>
        <w:t>.</w:t>
      </w:r>
    </w:p>
    <w:p w:rsidR="004D694E" w:rsidRDefault="004D694E" w:rsidP="004D694E">
      <w:r>
        <w:t> </w:t>
      </w:r>
    </w:p>
    <w:p w:rsidR="004D694E" w:rsidRDefault="005F1181" w:rsidP="004D694E">
      <w:pPr>
        <w:pStyle w:val="Heading1"/>
        <w:rPr>
          <w:rFonts w:eastAsia="Times New Roman"/>
        </w:rPr>
      </w:pPr>
      <w:r>
        <w:rPr>
          <w:rFonts w:hint="eastAsia"/>
        </w:rPr>
        <w:t>国会通过节能提案</w:t>
      </w:r>
    </w:p>
    <w:p w:rsidR="004D694E" w:rsidRDefault="004D694E" w:rsidP="004D694E">
      <w:r>
        <w:t xml:space="preserve">Last week, both the U.S. House of Representatives and Senate passed by an overwhelming majority the American Energy Manufacturing Technical Corrections Act of 2012, which among other things establishes a single efficiency descriptor and accompanying test methods for all covered water heaters. President Obama is expected to sign it into law this week. </w:t>
      </w:r>
      <w:hyperlink r:id="rId6" w:history="1">
        <w:r>
          <w:rPr>
            <w:rStyle w:val="Hyperlink"/>
          </w:rPr>
          <w:t>More&gt;&gt;</w:t>
        </w:r>
      </w:hyperlink>
      <w:r w:rsidRPr="00BE77E1">
        <w:t>&lt;a href="</w:t>
      </w:r>
      <w:r w:rsidR="004F1BAE" w:rsidRPr="004F1BAE">
        <w:t>http://ase.org/efficiencynews/victory-efficiency-congress-passes-milestone-energy-bill-hr-6582-lame-duck-session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4D694E" w:rsidRDefault="004D694E" w:rsidP="004D694E">
      <w:r>
        <w:t> </w:t>
      </w:r>
    </w:p>
    <w:p w:rsidR="004D694E" w:rsidRDefault="005F1181" w:rsidP="004D694E">
      <w:pPr>
        <w:pStyle w:val="Heading1"/>
        <w:rPr>
          <w:rFonts w:eastAsia="Times New Roman"/>
        </w:rPr>
      </w:pPr>
      <w:r>
        <w:rPr>
          <w:rFonts w:hint="eastAsia"/>
        </w:rPr>
        <w:t>人类活动是如何影响全球水资源的？</w:t>
      </w:r>
    </w:p>
    <w:p w:rsidR="004D694E" w:rsidRDefault="004D694E" w:rsidP="004D694E">
      <w:r>
        <w:t xml:space="preserve">Considerably more water is used to produce the goods we consume than for direct uses such as drinking, bathing, washing clothes, and watering gardens, finds a </w:t>
      </w:r>
      <w:hyperlink r:id="rId7" w:history="1">
        <w:r>
          <w:rPr>
            <w:rStyle w:val="Hyperlink"/>
          </w:rPr>
          <w:t>new report on California's water footprint</w:t>
        </w:r>
      </w:hyperlink>
      <w:r>
        <w:t xml:space="preserve"> by the Pacific Institute.</w:t>
      </w:r>
      <w:r w:rsidRPr="004D694E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="004F1BAE" w:rsidRPr="004F1BAE">
        <w:t>http://www.pacinst.org/reports/ca_water_footprint/ca_ftprint_full_report.pdf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4D694E" w:rsidRDefault="004D694E" w:rsidP="004D694E">
      <w:r>
        <w:t> </w:t>
      </w:r>
    </w:p>
    <w:p w:rsidR="004D694E" w:rsidRDefault="005F1181" w:rsidP="004D694E">
      <w:pPr>
        <w:pStyle w:val="Heading1"/>
        <w:rPr>
          <w:rFonts w:eastAsia="Times New Roman"/>
        </w:rPr>
      </w:pPr>
      <w:r>
        <w:rPr>
          <w:rFonts w:hint="eastAsia"/>
        </w:rPr>
        <w:t>消防工程师的工资增加了</w:t>
      </w:r>
      <w:r>
        <w:rPr>
          <w:rFonts w:hint="eastAsia"/>
        </w:rPr>
        <w:t>3%</w:t>
      </w:r>
    </w:p>
    <w:p w:rsidR="004D694E" w:rsidRDefault="004D694E" w:rsidP="004D694E">
      <w:r>
        <w:t xml:space="preserve">The median total compensation for U.S. fire protection engineers is $113,748, a 2.9 percent increase since 2010, according to a new Society of Fire Protection Engineers </w:t>
      </w:r>
      <w:hyperlink r:id="rId8" w:history="1">
        <w:r>
          <w:rPr>
            <w:rStyle w:val="Hyperlink"/>
          </w:rPr>
          <w:t>survey</w:t>
        </w:r>
      </w:hyperlink>
      <w:r>
        <w:t>.</w:t>
      </w:r>
      <w:r w:rsidRPr="004D694E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="004F1BAE" w:rsidRPr="004F1BAE">
        <w:t>http://www.sfpe.org/LinkClick.aspx?fileticket=0z-V1N-8q3w%3d&amp;tabid=115&amp;mid=766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4D694E" w:rsidRDefault="004D694E" w:rsidP="004D694E">
      <w:r>
        <w:t> </w:t>
      </w:r>
    </w:p>
    <w:p w:rsidR="004D694E" w:rsidRDefault="00B36F19" w:rsidP="004D694E">
      <w:pPr>
        <w:pStyle w:val="Heading1"/>
        <w:rPr>
          <w:rFonts w:eastAsia="Times New Roman"/>
        </w:rPr>
      </w:pPr>
      <w:r>
        <w:rPr>
          <w:rFonts w:hint="eastAsia"/>
        </w:rPr>
        <w:t>“无铅”讨论会成员讨论“无铅法”动议</w:t>
      </w:r>
    </w:p>
    <w:p w:rsidR="004D694E" w:rsidRPr="00E01837" w:rsidRDefault="004D694E" w:rsidP="004D694E">
      <w:r>
        <w:rPr>
          <w:i/>
          <w:iCs/>
        </w:rPr>
        <w:t>The Wholesaler</w:t>
      </w:r>
      <w:r>
        <w:t xml:space="preserve"> magazine Editorial Director Mary Jo Martin interviewed members of the Get the Lead Out plumbing consortium at their recent meeting at PMI's headquarters in Rolling Meadows, Illinois. Click </w:t>
      </w:r>
      <w:r w:rsidR="00E01837" w:rsidRPr="00BE77E1">
        <w:t>&lt;a href="</w:t>
      </w:r>
      <w:r w:rsidR="00E01837" w:rsidRPr="004F1BAE">
        <w:t>http://www.thewholesaler.com/video/consortium_2012.php</w:t>
      </w:r>
      <w:r w:rsidR="00E01837" w:rsidRPr="00BE77E1">
        <w:t>"&gt;</w:t>
      </w:r>
      <w:hyperlink r:id="rId9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 xml:space="preserve"> </w:t>
      </w:r>
      <w:r w:rsidR="00E01837" w:rsidRPr="00BE77E1">
        <w:rPr>
          <w:rFonts w:ascii="Vrinda" w:eastAsia="MingLiU" w:hAnsi="Vrinda" w:cs="Vrinda"/>
        </w:rPr>
        <w:t>&lt;/a&gt;</w:t>
      </w:r>
      <w:r>
        <w:t>to view the videos and learn how industry leaders are planning to help educate the plumbing community about forthcoming "lead-free" laws.</w:t>
      </w:r>
    </w:p>
    <w:p w:rsidR="004D694E" w:rsidRDefault="004D694E" w:rsidP="004D694E">
      <w:r>
        <w:t> </w:t>
      </w:r>
    </w:p>
    <w:p w:rsidR="004D694E" w:rsidRDefault="00B36F19" w:rsidP="004D694E">
      <w:pPr>
        <w:pStyle w:val="Heading1"/>
        <w:rPr>
          <w:rFonts w:eastAsia="Times New Roman"/>
        </w:rPr>
      </w:pPr>
      <w:r>
        <w:rPr>
          <w:rFonts w:hint="eastAsia"/>
        </w:rPr>
        <w:t>绿色建筑标准征求公众意见</w:t>
      </w:r>
    </w:p>
    <w:p w:rsidR="004D694E" w:rsidRDefault="004D694E" w:rsidP="004D694E">
      <w:r>
        <w:t xml:space="preserve">Limitations on full-flush volumes for toilets and the use of municipal reclaimed water for irrigation are being proposed for ANSI/ASHRAE/USGBC/IES Standard 189.1-2011: </w:t>
      </w:r>
      <w:r>
        <w:rPr>
          <w:i/>
          <w:iCs/>
        </w:rPr>
        <w:t xml:space="preserve">Standard for the Design of High-Performance, Green Buildings </w:t>
      </w:r>
      <w:proofErr w:type="gramStart"/>
      <w:r>
        <w:rPr>
          <w:i/>
          <w:iCs/>
        </w:rPr>
        <w:t>Except</w:t>
      </w:r>
      <w:proofErr w:type="gramEnd"/>
      <w:r>
        <w:rPr>
          <w:i/>
          <w:iCs/>
        </w:rPr>
        <w:t xml:space="preserve"> Low-Rise Residential Buildings</w:t>
      </w:r>
      <w:r>
        <w:t xml:space="preserve">. The </w:t>
      </w:r>
      <w:r w:rsidR="00E01837" w:rsidRPr="00BE77E1">
        <w:t>&lt;a href="</w:t>
      </w:r>
      <w:r w:rsidR="00E01837" w:rsidRPr="004F1BAE">
        <w:t>https://osr.ashrae.org/sitepages/showdoc2.aspx/ListName/Public%20Review%20Draft%20Standards/ItemID/817/IsAttachment/N/189+1+v_1stPPRDraft.pdf</w:t>
      </w:r>
      <w:r w:rsidR="00E01837" w:rsidRPr="00BE77E1">
        <w:t>"&gt;</w:t>
      </w:r>
      <w:hyperlink r:id="rId10" w:history="1">
        <w:r>
          <w:rPr>
            <w:rStyle w:val="Hyperlink"/>
          </w:rPr>
          <w:t>changes</w:t>
        </w:r>
      </w:hyperlink>
      <w:r w:rsidR="00E01837" w:rsidRPr="00BE77E1">
        <w:rPr>
          <w:rFonts w:ascii="Vrinda" w:eastAsia="MingLiU" w:hAnsi="Vrinda" w:cs="Vrinda"/>
        </w:rPr>
        <w:t>&lt;/a&gt;</w:t>
      </w:r>
      <w:r>
        <w:t xml:space="preserve"> are proposed via Addendum v and are open for public review until January 14, 2013.</w:t>
      </w:r>
    </w:p>
    <w:p w:rsidR="004D694E" w:rsidRDefault="004D694E" w:rsidP="004D694E">
      <w:r>
        <w:t> </w:t>
      </w:r>
    </w:p>
    <w:p w:rsidR="004D694E" w:rsidRDefault="004D694E" w:rsidP="004D694E">
      <w:r>
        <w:t xml:space="preserve">A </w:t>
      </w:r>
      <w:r w:rsidRPr="00BE77E1">
        <w:t>&lt;a href="</w:t>
      </w:r>
      <w:r w:rsidR="004F1BAE" w:rsidRPr="004F1BAE">
        <w:t>https://osr.ashrae.org/sitepages/showdoc2.aspx/ListName/Public%20Review%20Draft%20Standards/ItemID/812/IsAttachment/N/189.3_1stPPRDraft(ChairApproved).pdf</w:t>
      </w:r>
      <w:r w:rsidRPr="00BE77E1">
        <w:t>"&gt;</w:t>
      </w:r>
      <w:hyperlink r:id="rId11" w:history="1">
        <w:r>
          <w:rPr>
            <w:rStyle w:val="Hyperlink"/>
          </w:rPr>
          <w:t>proposed standard</w:t>
        </w:r>
      </w:hyperlink>
      <w:r>
        <w:t xml:space="preserve"> </w:t>
      </w:r>
      <w:r w:rsidR="00E01837" w:rsidRPr="00BE77E1">
        <w:rPr>
          <w:rFonts w:ascii="Vrinda" w:eastAsia="MingLiU" w:hAnsi="Vrinda" w:cs="Vrinda"/>
        </w:rPr>
        <w:t>&lt;/a&gt;</w:t>
      </w:r>
      <w:r>
        <w:t xml:space="preserve">for the design, construction, and operation of high-performance healthcare facilities, ASHRAE/ASHE Standard </w:t>
      </w:r>
      <w:r>
        <w:lastRenderedPageBreak/>
        <w:t xml:space="preserve">189.3P: </w:t>
      </w:r>
      <w:r>
        <w:rPr>
          <w:i/>
          <w:iCs/>
        </w:rPr>
        <w:t>Standard for the Design, Construction and Operation of Sustainable High-Performance Health Care Facilities,</w:t>
      </w:r>
      <w:r>
        <w:t xml:space="preserve"> is open for public comment until January 21, 2013. </w:t>
      </w:r>
    </w:p>
    <w:p w:rsidR="004D694E" w:rsidRDefault="004D694E" w:rsidP="004D694E">
      <w:r>
        <w:t> </w:t>
      </w:r>
    </w:p>
    <w:p w:rsidR="004D694E" w:rsidRDefault="004D694E" w:rsidP="004D694E">
      <w:pPr>
        <w:pStyle w:val="Heading1"/>
        <w:rPr>
          <w:rFonts w:eastAsia="Times New Roman"/>
        </w:rPr>
      </w:pPr>
      <w:r>
        <w:rPr>
          <w:rFonts w:eastAsia="Times New Roman"/>
        </w:rPr>
        <w:t>NFPA</w:t>
      </w:r>
      <w:r w:rsidR="00B36F19">
        <w:rPr>
          <w:rFonts w:hint="eastAsia"/>
        </w:rPr>
        <w:t>征求有关住宅消防补充标准的意见</w:t>
      </w:r>
    </w:p>
    <w:p w:rsidR="004D694E" w:rsidRDefault="004D694E" w:rsidP="004D694E">
      <w:r>
        <w:t xml:space="preserve">The </w:t>
      </w:r>
      <w:hyperlink r:id="rId12" w:history="1">
        <w:r>
          <w:rPr>
            <w:rStyle w:val="Hyperlink"/>
          </w:rPr>
          <w:t>change</w:t>
        </w:r>
      </w:hyperlink>
      <w:r>
        <w:t xml:space="preserve"> to NFPA 13R: Standard for the Installation of Sprinkler Systems in Low-Rise Residential Occupancies would remove language that conflicts with building codes regarding mixed-use occupancies in a single building. Comments will be accepted until January 25, 2013.</w:t>
      </w:r>
      <w:r w:rsidRPr="004D694E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="004F1BAE" w:rsidRPr="004F1BAE">
        <w:t>http://www.nfpa.org/Assets/files/AboutTheCodes/13R/ProposedTIA1081NFPA13R.pdf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4D694E" w:rsidRDefault="004D694E" w:rsidP="004D694E">
      <w:r>
        <w:t> </w:t>
      </w:r>
    </w:p>
    <w:p w:rsidR="004D694E" w:rsidRDefault="004D694E" w:rsidP="004D694E">
      <w:pPr>
        <w:pStyle w:val="Heading1"/>
        <w:rPr>
          <w:rFonts w:eastAsia="Times New Roman"/>
        </w:rPr>
      </w:pPr>
      <w:r>
        <w:rPr>
          <w:rFonts w:eastAsia="Times New Roman"/>
        </w:rPr>
        <w:t>AWWA</w:t>
      </w:r>
      <w:r w:rsidR="00B36F19">
        <w:rPr>
          <w:rFonts w:hint="eastAsia"/>
        </w:rPr>
        <w:t>征求水质处理技术论文</w:t>
      </w:r>
    </w:p>
    <w:p w:rsidR="004D694E" w:rsidRDefault="004D694E" w:rsidP="004D694E">
      <w:r>
        <w:rPr>
          <w:shd w:val="clear" w:color="auto" w:fill="FFFFFF"/>
        </w:rPr>
        <w:t xml:space="preserve">The American Water Works Association has announced its </w:t>
      </w:r>
      <w:hyperlink r:id="rId13" w:history="1">
        <w:r>
          <w:rPr>
            <w:rStyle w:val="Hyperlink"/>
            <w:shd w:val="clear" w:color="auto" w:fill="FFFFFF"/>
          </w:rPr>
          <w:t>Call for Papers</w:t>
        </w:r>
      </w:hyperlink>
      <w:r>
        <w:rPr>
          <w:shd w:val="clear" w:color="auto" w:fill="FFFFFF"/>
        </w:rPr>
        <w:t xml:space="preserve"> for the 2013 Water Quality Technology Conference and Exposition being held in Long Beach, California, November 3-7, 2013.</w:t>
      </w:r>
      <w:r w:rsidRPr="004D694E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="004F1BAE" w:rsidRPr="004F1BAE">
        <w:t>http://www.awwa.org/conferences-education/presenter-resources/call-for-papers.aspx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072939" w:rsidRDefault="00B36F19" w:rsidP="00930E95">
      <w:pPr>
        <w:pStyle w:val="Heading1"/>
      </w:pPr>
    </w:p>
    <w:sectPr w:rsidR="00072939" w:rsidSect="00A4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E0256"/>
    <w:rsid w:val="00000240"/>
    <w:rsid w:val="00001A3B"/>
    <w:rsid w:val="000179BB"/>
    <w:rsid w:val="00021944"/>
    <w:rsid w:val="00031DFC"/>
    <w:rsid w:val="00056EE0"/>
    <w:rsid w:val="00057E3C"/>
    <w:rsid w:val="000A6776"/>
    <w:rsid w:val="000E0AE0"/>
    <w:rsid w:val="000F28F0"/>
    <w:rsid w:val="000F75E2"/>
    <w:rsid w:val="00101878"/>
    <w:rsid w:val="00151051"/>
    <w:rsid w:val="00156618"/>
    <w:rsid w:val="00157A0A"/>
    <w:rsid w:val="00180A2F"/>
    <w:rsid w:val="00183B7B"/>
    <w:rsid w:val="001857B3"/>
    <w:rsid w:val="001E0256"/>
    <w:rsid w:val="001E1B31"/>
    <w:rsid w:val="001E1EB7"/>
    <w:rsid w:val="00202965"/>
    <w:rsid w:val="00204A03"/>
    <w:rsid w:val="002109E5"/>
    <w:rsid w:val="002141C3"/>
    <w:rsid w:val="00222191"/>
    <w:rsid w:val="00250809"/>
    <w:rsid w:val="00275F96"/>
    <w:rsid w:val="00282D99"/>
    <w:rsid w:val="002949B8"/>
    <w:rsid w:val="00295147"/>
    <w:rsid w:val="002A5CD9"/>
    <w:rsid w:val="002B203E"/>
    <w:rsid w:val="002B3853"/>
    <w:rsid w:val="002D1ECC"/>
    <w:rsid w:val="002D30D5"/>
    <w:rsid w:val="00301AC2"/>
    <w:rsid w:val="00301D2B"/>
    <w:rsid w:val="0034762E"/>
    <w:rsid w:val="003531B7"/>
    <w:rsid w:val="00370B1C"/>
    <w:rsid w:val="003D5107"/>
    <w:rsid w:val="003E0C3F"/>
    <w:rsid w:val="003F2996"/>
    <w:rsid w:val="00400AD9"/>
    <w:rsid w:val="0042204C"/>
    <w:rsid w:val="00456342"/>
    <w:rsid w:val="00461702"/>
    <w:rsid w:val="00464DC6"/>
    <w:rsid w:val="004752F9"/>
    <w:rsid w:val="004933AE"/>
    <w:rsid w:val="004A212B"/>
    <w:rsid w:val="004C235A"/>
    <w:rsid w:val="004D694E"/>
    <w:rsid w:val="004D6E78"/>
    <w:rsid w:val="004F1BAE"/>
    <w:rsid w:val="004F5DEE"/>
    <w:rsid w:val="00541CF7"/>
    <w:rsid w:val="00546BDB"/>
    <w:rsid w:val="0055108C"/>
    <w:rsid w:val="00573A3B"/>
    <w:rsid w:val="0058232D"/>
    <w:rsid w:val="005830D3"/>
    <w:rsid w:val="005A6B01"/>
    <w:rsid w:val="005A7AF8"/>
    <w:rsid w:val="005B7F54"/>
    <w:rsid w:val="005D5AB8"/>
    <w:rsid w:val="005F1181"/>
    <w:rsid w:val="00616693"/>
    <w:rsid w:val="006927AF"/>
    <w:rsid w:val="006A53DA"/>
    <w:rsid w:val="006C4945"/>
    <w:rsid w:val="006D6522"/>
    <w:rsid w:val="006E5B22"/>
    <w:rsid w:val="006F5A55"/>
    <w:rsid w:val="00701924"/>
    <w:rsid w:val="00731726"/>
    <w:rsid w:val="00741680"/>
    <w:rsid w:val="0079464F"/>
    <w:rsid w:val="007A0149"/>
    <w:rsid w:val="007C71C8"/>
    <w:rsid w:val="007D5ED1"/>
    <w:rsid w:val="007E3D99"/>
    <w:rsid w:val="007E3F05"/>
    <w:rsid w:val="00842AA2"/>
    <w:rsid w:val="0084557C"/>
    <w:rsid w:val="008500E1"/>
    <w:rsid w:val="00852C11"/>
    <w:rsid w:val="00864D3E"/>
    <w:rsid w:val="00882CF2"/>
    <w:rsid w:val="008C1B18"/>
    <w:rsid w:val="00907FEF"/>
    <w:rsid w:val="00917853"/>
    <w:rsid w:val="00925573"/>
    <w:rsid w:val="00930E95"/>
    <w:rsid w:val="009321F2"/>
    <w:rsid w:val="00942E9E"/>
    <w:rsid w:val="0094618F"/>
    <w:rsid w:val="00962BDA"/>
    <w:rsid w:val="00980134"/>
    <w:rsid w:val="009A1D88"/>
    <w:rsid w:val="009B356F"/>
    <w:rsid w:val="009B6950"/>
    <w:rsid w:val="00A478E9"/>
    <w:rsid w:val="00A603C7"/>
    <w:rsid w:val="00A675EF"/>
    <w:rsid w:val="00AC48A9"/>
    <w:rsid w:val="00AE4303"/>
    <w:rsid w:val="00B045A7"/>
    <w:rsid w:val="00B13DC5"/>
    <w:rsid w:val="00B35804"/>
    <w:rsid w:val="00B36F19"/>
    <w:rsid w:val="00B50710"/>
    <w:rsid w:val="00B64C4B"/>
    <w:rsid w:val="00BF5648"/>
    <w:rsid w:val="00C21175"/>
    <w:rsid w:val="00C541EA"/>
    <w:rsid w:val="00C62CA8"/>
    <w:rsid w:val="00C63DBD"/>
    <w:rsid w:val="00C71D9A"/>
    <w:rsid w:val="00C831B7"/>
    <w:rsid w:val="00C9440F"/>
    <w:rsid w:val="00CA64C5"/>
    <w:rsid w:val="00CC1F10"/>
    <w:rsid w:val="00CD6CB6"/>
    <w:rsid w:val="00D246E6"/>
    <w:rsid w:val="00D358CE"/>
    <w:rsid w:val="00D43DF8"/>
    <w:rsid w:val="00D47C95"/>
    <w:rsid w:val="00D52B18"/>
    <w:rsid w:val="00D5741D"/>
    <w:rsid w:val="00D618EB"/>
    <w:rsid w:val="00D62190"/>
    <w:rsid w:val="00D92A1B"/>
    <w:rsid w:val="00DA088B"/>
    <w:rsid w:val="00DE089A"/>
    <w:rsid w:val="00DF2795"/>
    <w:rsid w:val="00DF6102"/>
    <w:rsid w:val="00E00DAA"/>
    <w:rsid w:val="00E01837"/>
    <w:rsid w:val="00E12081"/>
    <w:rsid w:val="00E31848"/>
    <w:rsid w:val="00E62547"/>
    <w:rsid w:val="00E84170"/>
    <w:rsid w:val="00EC3E4F"/>
    <w:rsid w:val="00ED3BE9"/>
    <w:rsid w:val="00EE4AC7"/>
    <w:rsid w:val="00EF236C"/>
    <w:rsid w:val="00EF46DA"/>
    <w:rsid w:val="00F00662"/>
    <w:rsid w:val="00F246CC"/>
    <w:rsid w:val="00F26A72"/>
    <w:rsid w:val="00F618AA"/>
    <w:rsid w:val="00F7267A"/>
    <w:rsid w:val="00F8602B"/>
    <w:rsid w:val="00FD61CD"/>
    <w:rsid w:val="00FF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character" w:customStyle="1" w:styleId="heading1char0">
    <w:name w:val="heading1char"/>
    <w:basedOn w:val="DefaultParagraphFont"/>
    <w:rsid w:val="0042204C"/>
    <w:rPr>
      <w:rFonts w:ascii="Arial" w:hAnsi="Arial" w:cs="Arial" w:hint="default"/>
      <w:b/>
      <w:bCs/>
      <w:color w:val="334181"/>
    </w:rPr>
  </w:style>
  <w:style w:type="paragraph" w:styleId="NormalWeb">
    <w:name w:val="Normal (Web)"/>
    <w:basedOn w:val="Normal"/>
    <w:uiPriority w:val="99"/>
    <w:semiHidden/>
    <w:unhideWhenUsed/>
    <w:rsid w:val="0046170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02"/>
    <w:rPr>
      <w:rFonts w:ascii="Tahoma" w:hAnsi="Tahoma" w:cs="Tahoma"/>
      <w:color w:val="80808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pe.org/LinkClick.aspx?fileticket=0z-V1N-8q3w%3d&amp;tabid=115&amp;mid=766" TargetMode="External"/><Relationship Id="rId13" Type="http://schemas.openxmlformats.org/officeDocument/2006/relationships/hyperlink" Target="http://www.awwa.org/conferences-education/presenter-resources/call-for-paper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cinst.org/reports/ca_water_footprint/ca_ftprint_full_report.pdf" TargetMode="External"/><Relationship Id="rId12" Type="http://schemas.openxmlformats.org/officeDocument/2006/relationships/hyperlink" Target="http://www.nfpa.org/Assets/files/AboutTheCodes/13R/ProposedTIA1081NFPA13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e.org/efficiencynews/victory-efficiency-congress-passes-milestone-energy-bill-hr-6582-lame-duck-session" TargetMode="External"/><Relationship Id="rId11" Type="http://schemas.openxmlformats.org/officeDocument/2006/relationships/hyperlink" Target="https://osr.ashrae.org/sitepages/showdoc2.aspx/ListName/Public%20Review%20Draft%20Standards/ItemID/812/IsAttachment/N/189.3_1stPPRDraft(ChairApproved).pdf" TargetMode="External"/><Relationship Id="rId5" Type="http://schemas.openxmlformats.org/officeDocument/2006/relationships/hyperlink" Target="http://aspe.org/sites/default/files/webfm/pdfs/Letter_to_the_Editor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sr.ashrae.org/sitepages/showdoc2.aspx/ListName/Public%20Review%20Draft%20Standards/ItemID/817/IsAttachment/N/189+1+v_1stPPRDraft.pdf" TargetMode="External"/><Relationship Id="rId4" Type="http://schemas.openxmlformats.org/officeDocument/2006/relationships/hyperlink" Target="http://contractormag.com/plumbing-contractor/rainwater-catchment-makes-things-muddy" TargetMode="External"/><Relationship Id="rId9" Type="http://schemas.openxmlformats.org/officeDocument/2006/relationships/hyperlink" Target="http://www.thewholesaler.com/video/consortium_2012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User Name</dc:creator>
  <cp:lastModifiedBy>Your User Name</cp:lastModifiedBy>
  <cp:revision>5</cp:revision>
  <dcterms:created xsi:type="dcterms:W3CDTF">2012-12-14T13:43:00Z</dcterms:created>
  <dcterms:modified xsi:type="dcterms:W3CDTF">2012-12-14T14:42:00Z</dcterms:modified>
</cp:coreProperties>
</file>