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E95" w:rsidRDefault="00204A03" w:rsidP="00930E95">
      <w:pPr>
        <w:pStyle w:val="Heading1"/>
        <w:rPr>
          <w:rFonts w:eastAsia="Times New Roman"/>
        </w:rPr>
      </w:pPr>
      <w:bookmarkStart w:id="0" w:name="OLE_LINK1"/>
      <w:r>
        <w:rPr>
          <w:rFonts w:hint="eastAsia"/>
        </w:rPr>
        <w:t>清洁水法今天庆祝它的</w:t>
      </w:r>
      <w:r>
        <w:rPr>
          <w:rFonts w:hint="eastAsia"/>
        </w:rPr>
        <w:t>40</w:t>
      </w:r>
      <w:r>
        <w:rPr>
          <w:rFonts w:hint="eastAsia"/>
        </w:rPr>
        <w:t>周年</w:t>
      </w:r>
    </w:p>
    <w:p w:rsidR="00930E95" w:rsidRDefault="00930E95" w:rsidP="00930E95">
      <w:r>
        <w:t>On October 18, 1972, the U.S. Congress passed sweeping revisions to the Federal Water Pollution Control Act, and the law became commonly known as the Clean Water Act.</w:t>
      </w:r>
      <w:r w:rsidRPr="00BE77E1">
        <w:t xml:space="preserve">&lt;a </w:t>
      </w:r>
      <w:proofErr w:type="spellStart"/>
      <w:r w:rsidRPr="00BE77E1">
        <w:t>href</w:t>
      </w:r>
      <w:proofErr w:type="spellEnd"/>
      <w:r w:rsidRPr="00BE77E1">
        <w:t>="</w:t>
      </w:r>
      <w:hyperlink r:id="rId4" w:history="1">
        <w:r w:rsidR="00AE4303">
          <w:rPr>
            <w:rStyle w:val="Hyperlink"/>
          </w:rPr>
          <w:t>http://water.epa.gov/action/cleanwater40/</w:t>
        </w:r>
      </w:hyperlink>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w:t>
      </w:r>
    </w:p>
    <w:p w:rsidR="00930E95" w:rsidRDefault="00204A03" w:rsidP="00930E95">
      <w:pPr>
        <w:pStyle w:val="Heading1"/>
        <w:rPr>
          <w:rFonts w:eastAsia="Times New Roman"/>
        </w:rPr>
      </w:pPr>
      <w:r>
        <w:rPr>
          <w:rFonts w:hint="eastAsia"/>
        </w:rPr>
        <w:t>法案将扩展改善能源效率的抵税范围</w:t>
      </w:r>
    </w:p>
    <w:p w:rsidR="00930E95" w:rsidRDefault="00930E95" w:rsidP="00930E95">
      <w:r>
        <w:t xml:space="preserve">S. 3591: </w:t>
      </w:r>
      <w:hyperlink r:id="rId5" w:history="1">
        <w:r>
          <w:rPr>
            <w:rStyle w:val="Hyperlink"/>
          </w:rPr>
          <w:t>Commercial Building Modernization Act</w:t>
        </w:r>
      </w:hyperlink>
      <w:r>
        <w:t xml:space="preserve"> would reform the existing Energy Efficient Commercial Building Tax Deduction (known as Section 179D) to extend the federal tax deduction for installing energy-efficient systems in commercial and multifamily buildings to December 31, 2016 and would offer deductions on a sliding scale.</w:t>
      </w:r>
      <w:r w:rsidR="00AE4303" w:rsidRPr="00AE4303">
        <w:t xml:space="preserve"> </w:t>
      </w:r>
      <w:r w:rsidR="00AE4303" w:rsidRPr="00BE77E1">
        <w:t xml:space="preserve">&lt;a </w:t>
      </w:r>
      <w:proofErr w:type="spellStart"/>
      <w:r w:rsidR="00AE4303" w:rsidRPr="00BE77E1">
        <w:t>href</w:t>
      </w:r>
      <w:proofErr w:type="spellEnd"/>
      <w:r w:rsidR="00AE4303" w:rsidRPr="00BE77E1">
        <w:t>="</w:t>
      </w:r>
      <w:r w:rsidR="00980134" w:rsidRPr="00980134">
        <w:t xml:space="preserve"> </w:t>
      </w:r>
      <w:hyperlink r:id="rId6" w:history="1">
        <w:r w:rsidR="00980134">
          <w:rPr>
            <w:rStyle w:val="Hyperlink"/>
          </w:rPr>
          <w:t>http://www.govtrack.us/congress/bills/112/s3591</w:t>
        </w:r>
      </w:hyperlink>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p>
    <w:p w:rsidR="00930E95" w:rsidRDefault="00852C11" w:rsidP="00930E95">
      <w:pPr>
        <w:pStyle w:val="Heading1"/>
        <w:rPr>
          <w:rFonts w:eastAsia="Times New Roman"/>
        </w:rPr>
      </w:pPr>
      <w:r>
        <w:rPr>
          <w:rFonts w:hint="eastAsia"/>
        </w:rPr>
        <w:t>今年的节水联盟（</w:t>
      </w:r>
      <w:proofErr w:type="spellStart"/>
      <w:r w:rsidR="00930E95">
        <w:rPr>
          <w:rFonts w:eastAsia="Times New Roman"/>
        </w:rPr>
        <w:t>WaterSense</w:t>
      </w:r>
      <w:proofErr w:type="spellEnd"/>
      <w:r w:rsidR="00930E95">
        <w:rPr>
          <w:rFonts w:eastAsia="Times New Roman"/>
        </w:rPr>
        <w:t xml:space="preserve"> Partners</w:t>
      </w:r>
      <w:r>
        <w:rPr>
          <w:rFonts w:hint="eastAsia"/>
        </w:rPr>
        <w:t>）优胜者公布</w:t>
      </w:r>
    </w:p>
    <w:p w:rsidR="00930E95" w:rsidRDefault="00930E95" w:rsidP="00930E95">
      <w:r>
        <w:t xml:space="preserve">American Standard Brands and Kohler Co. were recognized as the EPA's </w:t>
      </w:r>
      <w:proofErr w:type="spellStart"/>
      <w:r>
        <w:t>WaterSense</w:t>
      </w:r>
      <w:proofErr w:type="spellEnd"/>
      <w:r>
        <w:t xml:space="preserve"> Manufacturer Partners of 2012, and the Alliance for Water Efficiency was awarded</w:t>
      </w:r>
      <w:r w:rsidR="00980134">
        <w:t xml:space="preserve"> a </w:t>
      </w:r>
      <w:proofErr w:type="spellStart"/>
      <w:r w:rsidR="00980134">
        <w:t>WaterSense</w:t>
      </w:r>
      <w:proofErr w:type="spellEnd"/>
      <w:r w:rsidR="00980134">
        <w:t xml:space="preserve"> Excellence Award.</w:t>
      </w:r>
      <w:r w:rsidR="00980134">
        <w:rPr>
          <w:rFonts w:hint="eastAsia"/>
        </w:rPr>
        <w:t xml:space="preserve"> </w:t>
      </w:r>
      <w:r w:rsidR="00AE4303" w:rsidRPr="00BE77E1">
        <w:t xml:space="preserve">&lt;a </w:t>
      </w:r>
      <w:proofErr w:type="spellStart"/>
      <w:r w:rsidR="00AE4303" w:rsidRPr="00BE77E1">
        <w:t>href</w:t>
      </w:r>
      <w:proofErr w:type="spellEnd"/>
      <w:r w:rsidR="00AE4303" w:rsidRPr="00BE77E1">
        <w:t>="</w:t>
      </w:r>
      <w:r w:rsidR="009B6950" w:rsidRPr="009B6950">
        <w:t xml:space="preserve"> </w:t>
      </w:r>
      <w:hyperlink r:id="rId7" w:history="1">
        <w:r w:rsidR="009B6950">
          <w:rPr>
            <w:rStyle w:val="Hyperlink"/>
          </w:rPr>
          <w:t>http://www.epa.gov/watersense/partners/watersense_awards.html</w:t>
        </w:r>
      </w:hyperlink>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p>
    <w:p w:rsidR="00930E95" w:rsidRDefault="00852C11" w:rsidP="00930E95">
      <w:pPr>
        <w:pStyle w:val="Heading1"/>
        <w:rPr>
          <w:rFonts w:eastAsia="Times New Roman"/>
        </w:rPr>
      </w:pPr>
      <w:r>
        <w:rPr>
          <w:rFonts w:hint="eastAsia"/>
        </w:rPr>
        <w:t>用污水制雪会助长超级细菌</w:t>
      </w:r>
    </w:p>
    <w:p w:rsidR="00930E95" w:rsidRDefault="00930E95" w:rsidP="00930E95">
      <w:r>
        <w:t xml:space="preserve">Although the Arizona </w:t>
      </w:r>
      <w:proofErr w:type="spellStart"/>
      <w:r>
        <w:t>Snowbowl</w:t>
      </w:r>
      <w:proofErr w:type="spellEnd"/>
      <w:r>
        <w:t xml:space="preserve"> ski resort in Flagstaff, Arizona won a court case allowing it to use sewage effluent for snow-making, new research indicates that its wastewater system is a potential breeding ground for antibiotic-resistant bacteria. </w:t>
      </w:r>
      <w:r w:rsidR="00AE4303" w:rsidRPr="00BE77E1">
        <w:t xml:space="preserve">&lt;a </w:t>
      </w:r>
      <w:proofErr w:type="spellStart"/>
      <w:r w:rsidR="00AE4303" w:rsidRPr="00BE77E1">
        <w:t>href</w:t>
      </w:r>
      <w:proofErr w:type="spellEnd"/>
      <w:r w:rsidR="00AE4303" w:rsidRPr="00BE77E1">
        <w:t>="</w:t>
      </w:r>
      <w:r w:rsidR="009B6950" w:rsidRPr="009B6950">
        <w:t xml:space="preserve"> </w:t>
      </w:r>
      <w:hyperlink r:id="rId8" w:history="1">
        <w:r w:rsidR="009B6950">
          <w:rPr>
            <w:rStyle w:val="Hyperlink"/>
          </w:rPr>
          <w:t>http://green.blogs.nytimes.com/2012/10/10/do-not-publish-on-the-slopes-gliding-on-wastewater/?partner=rss&amp;emc=rss</w:t>
        </w:r>
      </w:hyperlink>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p>
    <w:p w:rsidR="00930E95" w:rsidRDefault="00852C11" w:rsidP="00930E95">
      <w:pPr>
        <w:pStyle w:val="Heading1"/>
        <w:rPr>
          <w:rFonts w:eastAsia="Times New Roman"/>
        </w:rPr>
      </w:pPr>
      <w:r>
        <w:rPr>
          <w:rFonts w:hint="eastAsia"/>
        </w:rPr>
        <w:t>美国</w:t>
      </w:r>
      <w:r>
        <w:rPr>
          <w:rFonts w:hint="eastAsia"/>
        </w:rPr>
        <w:t>12%</w:t>
      </w:r>
      <w:r>
        <w:rPr>
          <w:rFonts w:hint="eastAsia"/>
        </w:rPr>
        <w:t>的能源直接消耗在用水方面</w:t>
      </w:r>
    </w:p>
    <w:p w:rsidR="00930E95" w:rsidRDefault="00930E95" w:rsidP="00930E95">
      <w:r>
        <w:t xml:space="preserve">A University of Texas at Austin </w:t>
      </w:r>
      <w:hyperlink r:id="rId9" w:history="1">
        <w:r>
          <w:rPr>
            <w:rStyle w:val="Hyperlink"/>
          </w:rPr>
          <w:t>research</w:t>
        </w:r>
        <w:r>
          <w:rPr>
            <w:rStyle w:val="Hyperlink"/>
          </w:rPr>
          <w:t xml:space="preserve"> </w:t>
        </w:r>
        <w:r>
          <w:rPr>
            <w:rStyle w:val="Hyperlink"/>
          </w:rPr>
          <w:t>report</w:t>
        </w:r>
      </w:hyperlink>
      <w:r>
        <w:t xml:space="preserve"> recently published in </w:t>
      </w:r>
      <w:r>
        <w:rPr>
          <w:i/>
          <w:iCs/>
        </w:rPr>
        <w:t>Environmental Research Letters</w:t>
      </w:r>
      <w:r>
        <w:t xml:space="preserve"> found that energy use in the residential, commercial, industrial, and power sectors for direct water and steam services was approximately 12.6 percent of the annual primary energy consumption in the United States.</w:t>
      </w:r>
      <w:r w:rsidR="00AE4303" w:rsidRPr="00AE4303">
        <w:t xml:space="preserve"> </w:t>
      </w:r>
      <w:r w:rsidR="00AE4303" w:rsidRPr="00BE77E1">
        <w:t xml:space="preserve">&lt;a </w:t>
      </w:r>
      <w:proofErr w:type="spellStart"/>
      <w:r w:rsidR="00AE4303" w:rsidRPr="00BE77E1">
        <w:t>href</w:t>
      </w:r>
      <w:proofErr w:type="spellEnd"/>
      <w:r w:rsidR="00AE4303" w:rsidRPr="00BE77E1">
        <w:t>="</w:t>
      </w:r>
      <w:r w:rsidR="00AE4303" w:rsidRPr="00AE4303">
        <w:t xml:space="preserve"> </w:t>
      </w:r>
      <w:hyperlink r:id="rId10" w:history="1">
        <w:r w:rsidR="00AE4303">
          <w:rPr>
            <w:rStyle w:val="Hyperlink"/>
          </w:rPr>
          <w:t>http://iopscience.iop.org/1748-9326/7/3/034034/article</w:t>
        </w:r>
      </w:hyperlink>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p>
    <w:p w:rsidR="00930E95" w:rsidRDefault="00B045A7" w:rsidP="00930E95">
      <w:pPr>
        <w:pStyle w:val="Heading1"/>
        <w:rPr>
          <w:rFonts w:eastAsia="Times New Roman"/>
        </w:rPr>
      </w:pPr>
      <w:r>
        <w:rPr>
          <w:rFonts w:hint="eastAsia"/>
        </w:rPr>
        <w:t>哪些是最节水的棒球明星赛（</w:t>
      </w:r>
      <w:r w:rsidR="00930E95">
        <w:rPr>
          <w:rFonts w:eastAsia="Times New Roman"/>
        </w:rPr>
        <w:t xml:space="preserve"> MLB</w:t>
      </w:r>
      <w:r>
        <w:rPr>
          <w:rFonts w:hint="eastAsia"/>
        </w:rPr>
        <w:t>）体育馆？</w:t>
      </w:r>
    </w:p>
    <w:p w:rsidR="00930E95" w:rsidRDefault="00930E95" w:rsidP="00930E95">
      <w:r>
        <w:t xml:space="preserve">The LEED Gold-rated Marlins Park in Miami tops the list because its energy-efficient building envelope and MEP, lighting, and HVAC systems cost the ballpark 22 percent less in energy compared to similar structures. </w:t>
      </w:r>
      <w:proofErr w:type="gramStart"/>
      <w:r>
        <w:t>Target Field, Nationals Park, AT&amp;T Park, and Safeco Field round out the top five.</w:t>
      </w:r>
      <w:proofErr w:type="gramEnd"/>
      <w:r>
        <w:t xml:space="preserve"> </w:t>
      </w:r>
      <w:r w:rsidR="00B045A7" w:rsidRPr="00BE77E1">
        <w:t>&lt;a href="</w:t>
      </w:r>
      <w:hyperlink r:id="rId11" w:history="1">
        <w:r w:rsidR="00B045A7">
          <w:rPr>
            <w:rStyle w:val="Hyperlink"/>
          </w:rPr>
          <w:t>http://ase.org/efficiencynews/americas-top-7-energy-efficient-baseball-stadiums</w:t>
        </w:r>
      </w:hyperlink>
      <w:r w:rsidR="00B045A7" w:rsidRPr="00BE77E1">
        <w:t>"&gt;</w:t>
      </w:r>
      <w:r w:rsidR="00B045A7" w:rsidRPr="00BE77E1">
        <w:rPr>
          <w:rFonts w:ascii="MS Gothic" w:eastAsia="MS Gothic" w:hAnsi="MS Gothic" w:cs="MS Gothic" w:hint="eastAsia"/>
        </w:rPr>
        <w:t>（</w:t>
      </w:r>
      <w:r w:rsidR="00B045A7" w:rsidRPr="00BE77E1">
        <w:rPr>
          <w:rFonts w:ascii="MingLiU" w:eastAsia="MingLiU" w:hAnsi="MingLiU" w:cs="MingLiU" w:hint="eastAsia"/>
        </w:rPr>
        <w:t>阅读原文</w:t>
      </w:r>
      <w:r w:rsidR="00B045A7" w:rsidRPr="00BE77E1">
        <w:rPr>
          <w:rFonts w:ascii="MingLiU" w:eastAsia="MingLiU" w:hAnsi="MingLiU" w:cs="MingLiU"/>
        </w:rPr>
        <w:t>）</w:t>
      </w:r>
      <w:r w:rsidR="00B045A7" w:rsidRPr="00BE77E1">
        <w:rPr>
          <w:rFonts w:ascii="Vrinda" w:eastAsia="MingLiU" w:hAnsi="Vrinda" w:cs="Vrinda"/>
        </w:rPr>
        <w:t>&lt;/a&gt;</w:t>
      </w:r>
      <w:r w:rsidR="00B045A7">
        <w:t>.</w:t>
      </w:r>
    </w:p>
    <w:p w:rsidR="00930E95" w:rsidRDefault="00ED3BE9" w:rsidP="00930E95">
      <w:pPr>
        <w:pStyle w:val="Heading1"/>
        <w:rPr>
          <w:rFonts w:eastAsia="Times New Roman"/>
        </w:rPr>
      </w:pPr>
      <w:r>
        <w:rPr>
          <w:rFonts w:hint="eastAsia"/>
        </w:rPr>
        <w:t>美国高尔夫球联盟将在高峰会上讨论节水动议</w:t>
      </w:r>
    </w:p>
    <w:p w:rsidR="00930E95" w:rsidRDefault="00930E95" w:rsidP="00930E95">
      <w:r>
        <w:t xml:space="preserve">The U.S. Golf Association recently endorsed the International Golf Federation's Statement on Sustainability and has renewed its commitment to numerous initiatives, including a Water Summit on November 6-7 in Dallas where attendees will discuss issues surrounding golf's use of water and best management practices and policies that will advance the long-term sustainability of the game. </w:t>
      </w:r>
      <w:r w:rsidR="00AE4303" w:rsidRPr="00BE77E1">
        <w:t xml:space="preserve">&lt;a </w:t>
      </w:r>
      <w:proofErr w:type="spellStart"/>
      <w:r w:rsidR="00AE4303" w:rsidRPr="00BE77E1">
        <w:t>href</w:t>
      </w:r>
      <w:proofErr w:type="spellEnd"/>
      <w:r w:rsidR="00AE4303" w:rsidRPr="00BE77E1">
        <w:t>="</w:t>
      </w:r>
      <w:r w:rsidR="00AE4303" w:rsidRPr="00AE4303">
        <w:t xml:space="preserve"> </w:t>
      </w:r>
      <w:hyperlink r:id="rId12" w:history="1">
        <w:r w:rsidR="00AE4303">
          <w:rPr>
            <w:rStyle w:val="Hyperlink"/>
          </w:rPr>
          <w:t>http://www.usga.org/news/2012/October/USGA-Supports-International-Sustainability/</w:t>
        </w:r>
      </w:hyperlink>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p>
    <w:p w:rsidR="00930E95" w:rsidRDefault="007E3D99" w:rsidP="00930E95">
      <w:pPr>
        <w:pStyle w:val="Heading1"/>
        <w:rPr>
          <w:rFonts w:eastAsia="Times New Roman"/>
        </w:rPr>
      </w:pPr>
      <w:r>
        <w:rPr>
          <w:rFonts w:hint="eastAsia"/>
        </w:rPr>
        <w:t>工业界正在接受使水源最大化的最佳实践</w:t>
      </w:r>
    </w:p>
    <w:p w:rsidR="00930E95" w:rsidRDefault="00930E95" w:rsidP="00930E95">
      <w:r>
        <w:t xml:space="preserve">CH2M HILL recently released a </w:t>
      </w:r>
      <w:hyperlink r:id="rId13" w:history="1">
        <w:r>
          <w:rPr>
            <w:rStyle w:val="Hyperlink"/>
          </w:rPr>
          <w:t>rep</w:t>
        </w:r>
        <w:r>
          <w:rPr>
            <w:rStyle w:val="Hyperlink"/>
          </w:rPr>
          <w:t>o</w:t>
        </w:r>
        <w:r>
          <w:rPr>
            <w:rStyle w:val="Hyperlink"/>
          </w:rPr>
          <w:t>rt</w:t>
        </w:r>
      </w:hyperlink>
      <w:r w:rsidR="00AE4303" w:rsidRPr="00BE77E1">
        <w:t xml:space="preserve">&lt;a </w:t>
      </w:r>
      <w:proofErr w:type="spellStart"/>
      <w:r w:rsidR="00AE4303" w:rsidRPr="00BE77E1">
        <w:t>href</w:t>
      </w:r>
      <w:proofErr w:type="spellEnd"/>
      <w:r w:rsidR="00AE4303" w:rsidRPr="00BE77E1">
        <w:t>="</w:t>
      </w:r>
      <w:r w:rsidR="00AE4303" w:rsidRPr="00AE4303">
        <w:t xml:space="preserve"> </w:t>
      </w:r>
      <w:r w:rsidR="00AE4303">
        <w:t xml:space="preserve">a </w:t>
      </w:r>
      <w:hyperlink r:id="rId14" w:history="1">
        <w:r w:rsidR="00AE4303">
          <w:rPr>
            <w:rStyle w:val="Hyperlink"/>
          </w:rPr>
          <w:t>report</w:t>
        </w:r>
      </w:hyperlink>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r>
        <w:t xml:space="preserve"> as part of the EPA's </w:t>
      </w:r>
      <w:hyperlink r:id="rId15" w:history="1">
        <w:r>
          <w:rPr>
            <w:rStyle w:val="Hyperlink"/>
          </w:rPr>
          <w:t xml:space="preserve">Importance </w:t>
        </w:r>
        <w:r>
          <w:rPr>
            <w:rStyle w:val="Hyperlink"/>
          </w:rPr>
          <w:t>o</w:t>
        </w:r>
        <w:r>
          <w:rPr>
            <w:rStyle w:val="Hyperlink"/>
          </w:rPr>
          <w:t>f Water to the U.S. Economy</w:t>
        </w:r>
      </w:hyperlink>
      <w:r>
        <w:t xml:space="preserve"> initiative that examines the critical role water plays in industrial production and the U.S. economy and how companies in five industrial sectors are reacting to the competition for water resources.</w:t>
      </w:r>
      <w:r w:rsidR="00AE4303" w:rsidRPr="00AE4303">
        <w:t xml:space="preserve"> </w:t>
      </w:r>
      <w:r w:rsidR="00AE4303" w:rsidRPr="00BE77E1">
        <w:t xml:space="preserve">&lt;a </w:t>
      </w:r>
      <w:proofErr w:type="spellStart"/>
      <w:r w:rsidR="00AE4303" w:rsidRPr="00BE77E1">
        <w:t>href</w:t>
      </w:r>
      <w:proofErr w:type="spellEnd"/>
      <w:r w:rsidR="00AE4303" w:rsidRPr="00BE77E1">
        <w:t>="</w:t>
      </w:r>
      <w:hyperlink r:id="rId16" w:history="1">
        <w:r w:rsidR="00AE4303">
          <w:rPr>
            <w:rStyle w:val="Hyperlink"/>
          </w:rPr>
          <w:t>http://water.epa.gov/action/importanceofwater/index.cfm</w:t>
        </w:r>
      </w:hyperlink>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p>
    <w:p w:rsidR="00930E95" w:rsidRDefault="007E3D99" w:rsidP="00930E95">
      <w:pPr>
        <w:pStyle w:val="Heading1"/>
        <w:rPr>
          <w:rFonts w:eastAsia="Times New Roman"/>
        </w:rPr>
      </w:pPr>
      <w:r>
        <w:rPr>
          <w:rFonts w:hint="eastAsia"/>
        </w:rPr>
        <w:t>马塞诸塞州执照问题澄清</w:t>
      </w:r>
    </w:p>
    <w:p w:rsidR="00930E95" w:rsidRDefault="00930E95" w:rsidP="00930E95">
      <w:r>
        <w:t xml:space="preserve">Although the Massachusetts Board of Registration of Professional Engineers and of Land Surveyors stated that they voted in 1998 to no longer consider plumbing engineering a fundamental branch of engineering, there is no indication that a vote was taken in open session during that entire year to </w:t>
      </w:r>
      <w:r>
        <w:lastRenderedPageBreak/>
        <w:t xml:space="preserve">suspend the issuing of plumbing engineering licenses, according to </w:t>
      </w:r>
      <w:r>
        <w:rPr>
          <w:i/>
          <w:iCs/>
        </w:rPr>
        <w:t>The Norwood Record</w:t>
      </w:r>
      <w:r>
        <w:t xml:space="preserve"> </w:t>
      </w:r>
      <w:hyperlink r:id="rId17" w:history="1">
        <w:r>
          <w:rPr>
            <w:rStyle w:val="Hyperlink"/>
          </w:rPr>
          <w:t>artic</w:t>
        </w:r>
        <w:r>
          <w:rPr>
            <w:rStyle w:val="Hyperlink"/>
          </w:rPr>
          <w:t>l</w:t>
        </w:r>
        <w:r>
          <w:rPr>
            <w:rStyle w:val="Hyperlink"/>
          </w:rPr>
          <w:t>e</w:t>
        </w:r>
      </w:hyperlink>
      <w:r>
        <w:t>.</w:t>
      </w:r>
      <w:r w:rsidR="00AE4303" w:rsidRPr="00AE4303">
        <w:t xml:space="preserve"> </w:t>
      </w:r>
      <w:r w:rsidR="00AE4303" w:rsidRPr="00BE77E1">
        <w:t>&lt;</w:t>
      </w:r>
      <w:proofErr w:type="gramStart"/>
      <w:r w:rsidR="00AE4303" w:rsidRPr="00BE77E1">
        <w:t>a</w:t>
      </w:r>
      <w:proofErr w:type="gramEnd"/>
      <w:r w:rsidR="00AE4303" w:rsidRPr="00BE77E1">
        <w:t xml:space="preserve"> href="</w:t>
      </w:r>
      <w:r w:rsidR="00AE4303" w:rsidRPr="00AE4303">
        <w:t>http://aspe.org/sites/default/files/webfm/pdfs/Norwood_Record_pages_1_2_4__20sepK12.pdf</w:t>
      </w:r>
      <w:r w:rsidR="00AE4303" w:rsidRPr="00BE77E1">
        <w:t>"&gt;</w:t>
      </w:r>
      <w:r w:rsidR="00AE4303" w:rsidRPr="00BE77E1">
        <w:rPr>
          <w:rFonts w:ascii="MS Gothic" w:eastAsia="MS Gothic" w:hAnsi="MS Gothic" w:cs="MS Gothic" w:hint="eastAsia"/>
        </w:rPr>
        <w:t>（</w:t>
      </w:r>
      <w:r w:rsidR="00AE4303" w:rsidRPr="00BE77E1">
        <w:rPr>
          <w:rFonts w:ascii="MingLiU" w:eastAsia="MingLiU" w:hAnsi="MingLiU" w:cs="MingLiU" w:hint="eastAsia"/>
        </w:rPr>
        <w:t>阅读原文</w:t>
      </w:r>
      <w:r w:rsidR="00AE4303" w:rsidRPr="00BE77E1">
        <w:rPr>
          <w:rFonts w:ascii="MingLiU" w:eastAsia="MingLiU" w:hAnsi="MingLiU" w:cs="MingLiU"/>
        </w:rPr>
        <w:t>）</w:t>
      </w:r>
      <w:r w:rsidR="00AE4303" w:rsidRPr="00BE77E1">
        <w:rPr>
          <w:rFonts w:ascii="Vrinda" w:eastAsia="MingLiU" w:hAnsi="Vrinda" w:cs="Vrinda"/>
        </w:rPr>
        <w:t>&lt;/a&gt;</w:t>
      </w:r>
    </w:p>
    <w:bookmarkEnd w:id="0"/>
    <w:p w:rsidR="00072939" w:rsidRDefault="00456342" w:rsidP="00930E95">
      <w:pPr>
        <w:pStyle w:val="Heading1"/>
      </w:pPr>
    </w:p>
    <w:sectPr w:rsidR="00072939"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MingLiU">
    <w:altName w:val="細明體"/>
    <w:panose1 w:val="02020309000000000000"/>
    <w:charset w:val="88"/>
    <w:family w:val="modern"/>
    <w:pitch w:val="fixed"/>
    <w:sig w:usb0="00000003" w:usb1="080E0000" w:usb2="00000016" w:usb3="00000000" w:csb0="001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0240"/>
    <w:rsid w:val="00001A3B"/>
    <w:rsid w:val="000179BB"/>
    <w:rsid w:val="00021944"/>
    <w:rsid w:val="00031DFC"/>
    <w:rsid w:val="00056EE0"/>
    <w:rsid w:val="00057E3C"/>
    <w:rsid w:val="000A6776"/>
    <w:rsid w:val="000E0AE0"/>
    <w:rsid w:val="000F75E2"/>
    <w:rsid w:val="00101878"/>
    <w:rsid w:val="00151051"/>
    <w:rsid w:val="00156618"/>
    <w:rsid w:val="00183B7B"/>
    <w:rsid w:val="001857B3"/>
    <w:rsid w:val="001E0256"/>
    <w:rsid w:val="001E1EB7"/>
    <w:rsid w:val="00204A03"/>
    <w:rsid w:val="002109E5"/>
    <w:rsid w:val="002141C3"/>
    <w:rsid w:val="00222191"/>
    <w:rsid w:val="00250809"/>
    <w:rsid w:val="00275F96"/>
    <w:rsid w:val="002949B8"/>
    <w:rsid w:val="00295147"/>
    <w:rsid w:val="002A5CD9"/>
    <w:rsid w:val="002B203E"/>
    <w:rsid w:val="002B3853"/>
    <w:rsid w:val="002D1ECC"/>
    <w:rsid w:val="002D30D5"/>
    <w:rsid w:val="00301AC2"/>
    <w:rsid w:val="00301D2B"/>
    <w:rsid w:val="0034762E"/>
    <w:rsid w:val="003531B7"/>
    <w:rsid w:val="00370B1C"/>
    <w:rsid w:val="003D5107"/>
    <w:rsid w:val="003E0C3F"/>
    <w:rsid w:val="003F2996"/>
    <w:rsid w:val="00400AD9"/>
    <w:rsid w:val="0042204C"/>
    <w:rsid w:val="00456342"/>
    <w:rsid w:val="00461702"/>
    <w:rsid w:val="00464DC6"/>
    <w:rsid w:val="004933AE"/>
    <w:rsid w:val="004A212B"/>
    <w:rsid w:val="004C235A"/>
    <w:rsid w:val="004D6E78"/>
    <w:rsid w:val="00541CF7"/>
    <w:rsid w:val="00573A3B"/>
    <w:rsid w:val="0058232D"/>
    <w:rsid w:val="005830D3"/>
    <w:rsid w:val="005A6B01"/>
    <w:rsid w:val="005A7AF8"/>
    <w:rsid w:val="005B7F54"/>
    <w:rsid w:val="005D5AB8"/>
    <w:rsid w:val="00616693"/>
    <w:rsid w:val="006927AF"/>
    <w:rsid w:val="006C4945"/>
    <w:rsid w:val="006D6522"/>
    <w:rsid w:val="006E5B22"/>
    <w:rsid w:val="006F5A55"/>
    <w:rsid w:val="00701924"/>
    <w:rsid w:val="00731726"/>
    <w:rsid w:val="00741680"/>
    <w:rsid w:val="0079464F"/>
    <w:rsid w:val="007A0149"/>
    <w:rsid w:val="007C71C8"/>
    <w:rsid w:val="007D5ED1"/>
    <w:rsid w:val="007E3D99"/>
    <w:rsid w:val="00842AA2"/>
    <w:rsid w:val="0084557C"/>
    <w:rsid w:val="008500E1"/>
    <w:rsid w:val="00852C11"/>
    <w:rsid w:val="00864D3E"/>
    <w:rsid w:val="00882CF2"/>
    <w:rsid w:val="008C1B18"/>
    <w:rsid w:val="00907FEF"/>
    <w:rsid w:val="00917853"/>
    <w:rsid w:val="00925573"/>
    <w:rsid w:val="00930E95"/>
    <w:rsid w:val="009321F2"/>
    <w:rsid w:val="00942E9E"/>
    <w:rsid w:val="0094618F"/>
    <w:rsid w:val="00962BDA"/>
    <w:rsid w:val="00980134"/>
    <w:rsid w:val="009B356F"/>
    <w:rsid w:val="009B6950"/>
    <w:rsid w:val="00A478E9"/>
    <w:rsid w:val="00A603C7"/>
    <w:rsid w:val="00A675EF"/>
    <w:rsid w:val="00AC48A9"/>
    <w:rsid w:val="00AE4303"/>
    <w:rsid w:val="00B045A7"/>
    <w:rsid w:val="00B13DC5"/>
    <w:rsid w:val="00B35804"/>
    <w:rsid w:val="00B50710"/>
    <w:rsid w:val="00B64C4B"/>
    <w:rsid w:val="00BF5648"/>
    <w:rsid w:val="00C21175"/>
    <w:rsid w:val="00C541EA"/>
    <w:rsid w:val="00C62CA8"/>
    <w:rsid w:val="00C63DBD"/>
    <w:rsid w:val="00C71D9A"/>
    <w:rsid w:val="00C831B7"/>
    <w:rsid w:val="00C9440F"/>
    <w:rsid w:val="00CA64C5"/>
    <w:rsid w:val="00CC1F10"/>
    <w:rsid w:val="00D246E6"/>
    <w:rsid w:val="00D43DF8"/>
    <w:rsid w:val="00D47C95"/>
    <w:rsid w:val="00D52B18"/>
    <w:rsid w:val="00D5741D"/>
    <w:rsid w:val="00D618EB"/>
    <w:rsid w:val="00D62190"/>
    <w:rsid w:val="00D92A1B"/>
    <w:rsid w:val="00DA088B"/>
    <w:rsid w:val="00DE089A"/>
    <w:rsid w:val="00DF2795"/>
    <w:rsid w:val="00DF6102"/>
    <w:rsid w:val="00E00DAA"/>
    <w:rsid w:val="00E12081"/>
    <w:rsid w:val="00E31848"/>
    <w:rsid w:val="00E62547"/>
    <w:rsid w:val="00E84170"/>
    <w:rsid w:val="00EC3E4F"/>
    <w:rsid w:val="00ED3BE9"/>
    <w:rsid w:val="00EE4AC7"/>
    <w:rsid w:val="00EF236C"/>
    <w:rsid w:val="00EF46DA"/>
    <w:rsid w:val="00F00662"/>
    <w:rsid w:val="00F246CC"/>
    <w:rsid w:val="00F26A72"/>
    <w:rsid w:val="00F618AA"/>
    <w:rsid w:val="00F7267A"/>
    <w:rsid w:val="00F8602B"/>
    <w:rsid w:val="00FD61CD"/>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customStyle="1" w:styleId="heading1char0">
    <w:name w:val="heading1char"/>
    <w:basedOn w:val="DefaultParagraphFont"/>
    <w:rsid w:val="0042204C"/>
    <w:rPr>
      <w:rFonts w:ascii="Arial" w:hAnsi="Arial" w:cs="Arial" w:hint="default"/>
      <w:b/>
      <w:bCs/>
      <w:color w:val="334181"/>
    </w:rPr>
  </w:style>
  <w:style w:type="paragraph" w:styleId="NormalWeb">
    <w:name w:val="Normal (Web)"/>
    <w:basedOn w:val="Normal"/>
    <w:uiPriority w:val="99"/>
    <w:semiHidden/>
    <w:unhideWhenUsed/>
    <w:rsid w:val="00461702"/>
    <w:pPr>
      <w:spacing w:before="100" w:beforeAutospacing="1" w:after="100" w:afterAutospacing="1"/>
    </w:pPr>
    <w:rPr>
      <w:rFonts w:ascii="Times New Roman" w:hAnsi="Times New Roman"/>
      <w:color w:val="auto"/>
      <w:sz w:val="24"/>
      <w:szCs w:val="24"/>
    </w:rPr>
  </w:style>
  <w:style w:type="paragraph" w:styleId="BalloonText">
    <w:name w:val="Balloon Text"/>
    <w:basedOn w:val="Normal"/>
    <w:link w:val="BalloonTextChar"/>
    <w:uiPriority w:val="99"/>
    <w:semiHidden/>
    <w:unhideWhenUsed/>
    <w:rsid w:val="00461702"/>
    <w:rPr>
      <w:rFonts w:ascii="Tahoma" w:hAnsi="Tahoma" w:cs="Tahoma"/>
      <w:sz w:val="16"/>
      <w:szCs w:val="16"/>
    </w:rPr>
  </w:style>
  <w:style w:type="character" w:customStyle="1" w:styleId="BalloonTextChar">
    <w:name w:val="Balloon Text Char"/>
    <w:basedOn w:val="DefaultParagraphFont"/>
    <w:link w:val="BalloonText"/>
    <w:uiPriority w:val="99"/>
    <w:semiHidden/>
    <w:rsid w:val="00461702"/>
    <w:rPr>
      <w:rFonts w:ascii="Tahoma" w:hAnsi="Tahoma" w:cs="Tahoma"/>
      <w:color w:val="808080"/>
      <w:sz w:val="16"/>
      <w:szCs w:val="16"/>
    </w:rPr>
  </w:style>
</w:styles>
</file>

<file path=word/webSettings.xml><?xml version="1.0" encoding="utf-8"?>
<w:webSettings xmlns:r="http://schemas.openxmlformats.org/officeDocument/2006/relationships" xmlns:w="http://schemas.openxmlformats.org/wordprocessingml/2006/main">
  <w:divs>
    <w:div w:id="110366344">
      <w:bodyDiv w:val="1"/>
      <w:marLeft w:val="0"/>
      <w:marRight w:val="0"/>
      <w:marTop w:val="0"/>
      <w:marBottom w:val="0"/>
      <w:divBdr>
        <w:top w:val="none" w:sz="0" w:space="0" w:color="auto"/>
        <w:left w:val="none" w:sz="0" w:space="0" w:color="auto"/>
        <w:bottom w:val="none" w:sz="0" w:space="0" w:color="auto"/>
        <w:right w:val="none" w:sz="0" w:space="0" w:color="auto"/>
      </w:divBdr>
    </w:div>
    <w:div w:id="294216552">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1347562486">
      <w:bodyDiv w:val="1"/>
      <w:marLeft w:val="0"/>
      <w:marRight w:val="0"/>
      <w:marTop w:val="0"/>
      <w:marBottom w:val="0"/>
      <w:divBdr>
        <w:top w:val="none" w:sz="0" w:space="0" w:color="auto"/>
        <w:left w:val="none" w:sz="0" w:space="0" w:color="auto"/>
        <w:bottom w:val="none" w:sz="0" w:space="0" w:color="auto"/>
        <w:right w:val="none" w:sz="0" w:space="0" w:color="auto"/>
      </w:divBdr>
    </w:div>
    <w:div w:id="1687246298">
      <w:bodyDiv w:val="1"/>
      <w:marLeft w:val="0"/>
      <w:marRight w:val="0"/>
      <w:marTop w:val="0"/>
      <w:marBottom w:val="0"/>
      <w:divBdr>
        <w:top w:val="none" w:sz="0" w:space="0" w:color="auto"/>
        <w:left w:val="none" w:sz="0" w:space="0" w:color="auto"/>
        <w:bottom w:val="none" w:sz="0" w:space="0" w:color="auto"/>
        <w:right w:val="none" w:sz="0" w:space="0" w:color="auto"/>
      </w:divBdr>
    </w:div>
    <w:div w:id="1787848556">
      <w:bodyDiv w:val="1"/>
      <w:marLeft w:val="0"/>
      <w:marRight w:val="0"/>
      <w:marTop w:val="0"/>
      <w:marBottom w:val="0"/>
      <w:divBdr>
        <w:top w:val="none" w:sz="0" w:space="0" w:color="auto"/>
        <w:left w:val="none" w:sz="0" w:space="0" w:color="auto"/>
        <w:bottom w:val="none" w:sz="0" w:space="0" w:color="auto"/>
        <w:right w:val="none" w:sz="0" w:space="0" w:color="auto"/>
      </w:divBdr>
    </w:div>
    <w:div w:id="20861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een.blogs.nytimes.com/2012/10/10/do-not-publish-on-the-slopes-gliding-on-wastewater/?partner=rss&amp;emc=rss" TargetMode="External"/><Relationship Id="rId13" Type="http://schemas.openxmlformats.org/officeDocument/2006/relationships/hyperlink" Target="http://newsroom.ch2mhill.com/pr/ch2m/pagedoc/3/8/7/2/1/238721/CH2MHILL_ChangingValueofWater_MatichichMierzejewskiByersPtizlerAhmed_FINAL_9-12-12.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pa.gov/watersense/partners/watersense_awards.html" TargetMode="External"/><Relationship Id="rId12" Type="http://schemas.openxmlformats.org/officeDocument/2006/relationships/hyperlink" Target="http://www.usga.org/news/2012/October/USGA-Supports-International-Sustainability/" TargetMode="External"/><Relationship Id="rId17" Type="http://schemas.openxmlformats.org/officeDocument/2006/relationships/hyperlink" Target="http://aspe.org/sites/default/files/webfm/pdfs/Norwood_Record_pages_1_2_4__20sepK12.pdf" TargetMode="External"/><Relationship Id="rId2" Type="http://schemas.openxmlformats.org/officeDocument/2006/relationships/settings" Target="settings.xml"/><Relationship Id="rId16" Type="http://schemas.openxmlformats.org/officeDocument/2006/relationships/hyperlink" Target="http://water.epa.gov/action/importanceofwater/index.cfm" TargetMode="External"/><Relationship Id="rId1" Type="http://schemas.openxmlformats.org/officeDocument/2006/relationships/styles" Target="styles.xml"/><Relationship Id="rId6" Type="http://schemas.openxmlformats.org/officeDocument/2006/relationships/hyperlink" Target="http://www.govtrack.us/congress/bills/112/s3591" TargetMode="External"/><Relationship Id="rId11" Type="http://schemas.openxmlformats.org/officeDocument/2006/relationships/hyperlink" Target="http://ase.org/efficiencynews/americas-top-7-energy-efficient-baseball-stadiums" TargetMode="External"/><Relationship Id="rId5" Type="http://schemas.openxmlformats.org/officeDocument/2006/relationships/hyperlink" Target="http://www.govtrack.us/congress/bills/112/s3591" TargetMode="External"/><Relationship Id="rId15" Type="http://schemas.openxmlformats.org/officeDocument/2006/relationships/hyperlink" Target="http://water.epa.gov/action/importanceofwater/index.cfm" TargetMode="External"/><Relationship Id="rId10" Type="http://schemas.openxmlformats.org/officeDocument/2006/relationships/hyperlink" Target="http://iopscience.iop.org/1748-9326/7/3/034034/article" TargetMode="External"/><Relationship Id="rId19" Type="http://schemas.openxmlformats.org/officeDocument/2006/relationships/theme" Target="theme/theme1.xml"/><Relationship Id="rId4" Type="http://schemas.openxmlformats.org/officeDocument/2006/relationships/hyperlink" Target="http://water.epa.gov/action/cleanwater40/" TargetMode="External"/><Relationship Id="rId9" Type="http://schemas.openxmlformats.org/officeDocument/2006/relationships/hyperlink" Target="http://iopscience.iop.org/1748-9326/7/3/034034/article" TargetMode="External"/><Relationship Id="rId14" Type="http://schemas.openxmlformats.org/officeDocument/2006/relationships/hyperlink" Target="http://newsroom.ch2mhill.com/pr/ch2m/pagedoc/3/8/7/2/1/238721/CH2MHILL_ChangingValueofWater_MatichichMierzejewskiByersPtizlerAhmed_FINAL_9-12-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Your User Name</cp:lastModifiedBy>
  <cp:revision>8</cp:revision>
  <dcterms:created xsi:type="dcterms:W3CDTF">2012-10-24T16:31:00Z</dcterms:created>
  <dcterms:modified xsi:type="dcterms:W3CDTF">2012-10-24T21:05:00Z</dcterms:modified>
</cp:coreProperties>
</file>