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05C" w:rsidRDefault="009A5025" w:rsidP="009A5025">
      <w:bookmarkStart w:id="0" w:name="OLE_LINK1"/>
      <w:r>
        <w:t> </w:t>
      </w:r>
    </w:p>
    <w:p w:rsidR="00724E03" w:rsidRDefault="00724E03" w:rsidP="00724E03">
      <w:r>
        <w:rPr>
          <w:rFonts w:hint="eastAsia"/>
        </w:rPr>
        <w:t>虹吸屋面排水系统设计标准征求公众意见</w:t>
      </w:r>
    </w:p>
    <w:p w:rsidR="00724E03" w:rsidRDefault="00724E03" w:rsidP="00724E03">
      <w:r>
        <w:t xml:space="preserve">ASPE 45: </w:t>
      </w:r>
      <w:proofErr w:type="spellStart"/>
      <w:r>
        <w:t>Siphonic</w:t>
      </w:r>
      <w:proofErr w:type="spellEnd"/>
      <w:r>
        <w:t xml:space="preserve"> Roof Drainage, a standard that was first published in 2007, has gone through extensive revision using the ASPE standards development process accredited by the American National Standards Institute. The draft revisions are now open for public comment until 11:59 CDT on March 24, 2013. </w:t>
      </w:r>
      <w:proofErr w:type="gramStart"/>
      <w:r>
        <w:t xml:space="preserve">To view the draft standard and submit a comment, visit &lt;a </w:t>
      </w:r>
      <w:proofErr w:type="spellStart"/>
      <w:r>
        <w:t>href</w:t>
      </w:r>
      <w:proofErr w:type="spellEnd"/>
      <w:r>
        <w:t>="http://aspe.org/</w:t>
      </w:r>
      <w:proofErr w:type="spellStart"/>
      <w:r>
        <w:t>PublicReview</w:t>
      </w:r>
      <w:proofErr w:type="spellEnd"/>
      <w:r>
        <w:t>"&gt;aspe.org/</w:t>
      </w:r>
      <w:proofErr w:type="spellStart"/>
      <w:r>
        <w:t>publicreview</w:t>
      </w:r>
      <w:proofErr w:type="spellEnd"/>
      <w:r>
        <w:t>&lt;/a&gt;.</w:t>
      </w:r>
      <w:proofErr w:type="gramEnd"/>
    </w:p>
    <w:p w:rsidR="00724E03" w:rsidRDefault="00724E03" w:rsidP="00724E03">
      <w:r>
        <w:rPr>
          <w:rFonts w:hint="eastAsia"/>
        </w:rPr>
        <w:t>气候变化如何影响水源？</w:t>
      </w:r>
    </w:p>
    <w:p w:rsidR="00724E03" w:rsidRDefault="00724E03" w:rsidP="00724E03">
      <w:r>
        <w:t>In many areas across the United States, surface and groundwater supplies are expected to be reduced further by declining runoff and groundwater recharge trends, increasing the likelihood of water shortages for many uses, according to Chapter 3 of the draft</w:t>
      </w:r>
      <w:r>
        <w:rPr>
          <w:rFonts w:hint="eastAsia"/>
        </w:rPr>
        <w:t xml:space="preserve"> National Climate Assessment Report. Comments on the report will be accepted until April 12. &lt;</w:t>
      </w:r>
      <w:proofErr w:type="gramStart"/>
      <w:r>
        <w:rPr>
          <w:rFonts w:hint="eastAsia"/>
        </w:rPr>
        <w:t>a</w:t>
      </w:r>
      <w:proofErr w:type="gramEnd"/>
      <w:r>
        <w:rPr>
          <w:rFonts w:hint="eastAsia"/>
        </w:rPr>
        <w:t xml:space="preserve"> </w:t>
      </w:r>
      <w:proofErr w:type="spellStart"/>
      <w:r>
        <w:rPr>
          <w:rFonts w:hint="eastAsia"/>
        </w:rPr>
        <w:t>href</w:t>
      </w:r>
      <w:proofErr w:type="spellEnd"/>
      <w:r>
        <w:rPr>
          <w:rFonts w:hint="eastAsia"/>
        </w:rPr>
        <w:t>="http://ncadac.globalchange.gov/"&gt;</w:t>
      </w:r>
      <w:r>
        <w:rPr>
          <w:rFonts w:hint="eastAsia"/>
        </w:rPr>
        <w:t>（阅读原文）</w:t>
      </w:r>
      <w:r>
        <w:rPr>
          <w:rFonts w:hint="eastAsia"/>
        </w:rPr>
        <w:t>&lt;/a&gt;</w:t>
      </w:r>
    </w:p>
    <w:p w:rsidR="00724E03" w:rsidRDefault="00724E03" w:rsidP="00724E03">
      <w:r>
        <w:rPr>
          <w:rFonts w:hint="eastAsia"/>
        </w:rPr>
        <w:t>华盛顿特区准备采用全国最环保的规范</w:t>
      </w:r>
    </w:p>
    <w:p w:rsidR="00724E03" w:rsidRDefault="00724E03" w:rsidP="00724E03">
      <w:r>
        <w:t>Due to the impact of the proposed &lt;a href="http://www.bizjournals.com/washington/breaking_ground/2012/12/districts-proposed-building-codes.html"&gt;strict green building requirements&lt;/a&gt;, the public comment period &lt;a href="http://dcra.dc.gov/DC/DCRA/About+DCRA/News+Room/Rulemaking/DCRA+Proposes+New+2013+D.C.+Construction+Codes"&gt;has been extended&lt;/a&gt; through February 22. The District estimates that each project built under the new code will use 30 percent less energy than current projects, many of which are already subject to the District's Green Building Act.</w:t>
      </w:r>
    </w:p>
    <w:p w:rsidR="00724E03" w:rsidRDefault="00966407" w:rsidP="00724E03">
      <w:r>
        <w:rPr>
          <w:rFonts w:hint="eastAsia"/>
        </w:rPr>
        <w:t>新计划将使美国的发电量</w:t>
      </w:r>
      <w:r w:rsidR="00724E03">
        <w:rPr>
          <w:rFonts w:hint="eastAsia"/>
        </w:rPr>
        <w:t>到</w:t>
      </w:r>
      <w:r w:rsidR="00724E03">
        <w:rPr>
          <w:rFonts w:hint="eastAsia"/>
        </w:rPr>
        <w:t>2030</w:t>
      </w:r>
      <w:r>
        <w:rPr>
          <w:rFonts w:hint="eastAsia"/>
        </w:rPr>
        <w:t>年时</w:t>
      </w:r>
      <w:r>
        <w:rPr>
          <w:rFonts w:hint="eastAsia"/>
        </w:rPr>
        <w:t>翻一翻</w:t>
      </w:r>
    </w:p>
    <w:p w:rsidR="00724E03" w:rsidRDefault="00724E03" w:rsidP="00724E03">
      <w:r>
        <w:t>The Energy 2030 plan, created by an alliance comprising leaders from the power sector, environmental groups, financial community, manufacturing, transportation, and government, recommends initiatives that would save the average household more than $1,000 and American businesses $169 billion annually; reduce government agency spending by $13 billion a year; create 1.3 million jobs and increase GDP by up to 2 percent; decrease energy imports by more than $100 billion annually; and reduce carbon dioxide emissi</w:t>
      </w:r>
      <w:r>
        <w:rPr>
          <w:rFonts w:hint="eastAsia"/>
        </w:rPr>
        <w:t>ons by 33 percent below 2005 levels. &lt;</w:t>
      </w:r>
      <w:proofErr w:type="gramStart"/>
      <w:r>
        <w:rPr>
          <w:rFonts w:hint="eastAsia"/>
        </w:rPr>
        <w:t>a</w:t>
      </w:r>
      <w:proofErr w:type="gramEnd"/>
      <w:r>
        <w:rPr>
          <w:rFonts w:hint="eastAsia"/>
        </w:rPr>
        <w:t xml:space="preserve"> </w:t>
      </w:r>
      <w:proofErr w:type="spellStart"/>
      <w:r>
        <w:rPr>
          <w:rFonts w:hint="eastAsia"/>
        </w:rPr>
        <w:t>href</w:t>
      </w:r>
      <w:proofErr w:type="spellEnd"/>
      <w:r>
        <w:rPr>
          <w:rFonts w:hint="eastAsia"/>
        </w:rPr>
        <w:t>="http://www.energy2030.org/"&gt;</w:t>
      </w:r>
      <w:r>
        <w:rPr>
          <w:rFonts w:hint="eastAsia"/>
        </w:rPr>
        <w:t>（阅读原文）</w:t>
      </w:r>
      <w:r>
        <w:rPr>
          <w:rFonts w:hint="eastAsia"/>
        </w:rPr>
        <w:t>&lt;/a&gt;</w:t>
      </w:r>
    </w:p>
    <w:p w:rsidR="00724E03" w:rsidRDefault="00966407" w:rsidP="00724E03">
      <w:r>
        <w:rPr>
          <w:rFonts w:hint="eastAsia"/>
        </w:rPr>
        <w:t>检验饮用污水处理出水的科学和心理障碍</w:t>
      </w:r>
    </w:p>
    <w:p w:rsidR="00724E03" w:rsidRDefault="00724E03" w:rsidP="00724E03">
      <w:r>
        <w:t>An article in the February issue of EARTH magazine explores efforts around the world to make drinking water from sewage and how municipalities are attempting to overcome the "yuck" factor to encourage wastewater reuse. &lt;</w:t>
      </w:r>
      <w:proofErr w:type="gramStart"/>
      <w:r>
        <w:t>a</w:t>
      </w:r>
      <w:proofErr w:type="gramEnd"/>
      <w:r>
        <w:t xml:space="preserve"> href="http://www.earthmagazine.org</w:t>
      </w:r>
      <w:r>
        <w:rPr>
          <w:rFonts w:hint="eastAsia"/>
        </w:rPr>
        <w:t>/article/drinking-toilet-water-science-and-psychology-wastewater-recycling"&gt;</w:t>
      </w:r>
      <w:r>
        <w:rPr>
          <w:rFonts w:hint="eastAsia"/>
        </w:rPr>
        <w:t>（阅读原文）</w:t>
      </w:r>
      <w:r>
        <w:rPr>
          <w:rFonts w:hint="eastAsia"/>
        </w:rPr>
        <w:t>&lt;/a&gt;</w:t>
      </w:r>
    </w:p>
    <w:p w:rsidR="00724E03" w:rsidRDefault="00724E03" w:rsidP="00724E03">
      <w:r>
        <w:t>NFPA</w:t>
      </w:r>
      <w:r w:rsidR="00966407">
        <w:rPr>
          <w:rFonts w:hint="eastAsia"/>
        </w:rPr>
        <w:t>征求公众对消防喷淋系统标准的意见</w:t>
      </w:r>
    </w:p>
    <w:p w:rsidR="00724E03" w:rsidRDefault="00724E03" w:rsidP="00724E03">
      <w:r>
        <w:t>"Public input" is the term now used at NFPA to address a code change proposal to a technical document. Input on NFPA 13: Standard for the Installation of Sprinkler Systems will be accepted until May 31. &lt;</w:t>
      </w:r>
      <w:proofErr w:type="gramStart"/>
      <w:r>
        <w:t>a</w:t>
      </w:r>
      <w:proofErr w:type="gramEnd"/>
      <w:r>
        <w:t xml:space="preserve"> href="http://www.nfpa.org/aboutthecodes/AboutTheCo</w:t>
      </w:r>
      <w:r>
        <w:rPr>
          <w:rFonts w:hint="eastAsia"/>
        </w:rPr>
        <w:t>des.asp?DocNum=13"&gt;</w:t>
      </w:r>
      <w:r>
        <w:rPr>
          <w:rFonts w:hint="eastAsia"/>
        </w:rPr>
        <w:t>（阅读原文）</w:t>
      </w:r>
      <w:r>
        <w:rPr>
          <w:rFonts w:hint="eastAsia"/>
        </w:rPr>
        <w:t>&lt;/a&gt;</w:t>
      </w:r>
    </w:p>
    <w:p w:rsidR="00724E03" w:rsidRDefault="00966407" w:rsidP="00724E03">
      <w:r>
        <w:rPr>
          <w:rFonts w:hint="eastAsia"/>
        </w:rPr>
        <w:t>美国政府想了解您对绿色建筑颁证制度的看法</w:t>
      </w:r>
    </w:p>
    <w:p w:rsidR="00724E03" w:rsidRDefault="00724E03" w:rsidP="00724E03">
      <w:r>
        <w:t>The U.S. General Services Administration (GSA) is requesting input from the public to better inform its recommendation to the Department of Energy on what green building certification systems the federal government should use for new and renovated governme</w:t>
      </w:r>
      <w:r>
        <w:rPr>
          <w:rFonts w:hint="eastAsia"/>
        </w:rPr>
        <w:t>nt buildings: LEED, Green Globes, and/or the Living Building Challenge. More&gt;&gt;&lt;a href="https://www.federalregister.gov/articles/2013/02/05/2013-02408/sequence-24-findings-of-the-eisa-436h-ad-hoc-review-group-on-green-building-certification-systems"&gt;</w:t>
      </w:r>
      <w:r>
        <w:rPr>
          <w:rFonts w:hint="eastAsia"/>
        </w:rPr>
        <w:t>（阅读原文）</w:t>
      </w:r>
      <w:r>
        <w:rPr>
          <w:rFonts w:hint="eastAsia"/>
        </w:rPr>
        <w:t>&lt;</w:t>
      </w:r>
      <w:r>
        <w:t>/a&gt;</w:t>
      </w:r>
    </w:p>
    <w:p w:rsidR="00724E03" w:rsidRDefault="00966407" w:rsidP="00724E03">
      <w:r>
        <w:rPr>
          <w:rFonts w:hint="eastAsia"/>
        </w:rPr>
        <w:t>预防军团菌病推荐标准公开征求意见</w:t>
      </w:r>
    </w:p>
    <w:p w:rsidR="00724E03" w:rsidRDefault="00724E03" w:rsidP="00724E03">
      <w:r>
        <w:rPr>
          <w:rFonts w:hint="eastAsia"/>
        </w:rPr>
        <w:t xml:space="preserve">ASHRAE is accepting comments on Standard 188P, Prevention of </w:t>
      </w:r>
      <w:proofErr w:type="spellStart"/>
      <w:r>
        <w:rPr>
          <w:rFonts w:hint="eastAsia"/>
        </w:rPr>
        <w:t>Legionellosis</w:t>
      </w:r>
      <w:proofErr w:type="spellEnd"/>
      <w:r>
        <w:rPr>
          <w:rFonts w:hint="eastAsia"/>
        </w:rPr>
        <w:t xml:space="preserve"> Associated with Building Water Systems until March 11. To submit a comment, visit www.ashrae.org/publicreviews. &lt;</w:t>
      </w:r>
      <w:proofErr w:type="gramStart"/>
      <w:r>
        <w:rPr>
          <w:rFonts w:hint="eastAsia"/>
        </w:rPr>
        <w:t>a</w:t>
      </w:r>
      <w:proofErr w:type="gramEnd"/>
      <w:r>
        <w:rPr>
          <w:rFonts w:hint="eastAsia"/>
        </w:rPr>
        <w:t xml:space="preserve"> </w:t>
      </w:r>
      <w:proofErr w:type="spellStart"/>
      <w:r>
        <w:rPr>
          <w:rFonts w:hint="eastAsia"/>
        </w:rPr>
        <w:t>href</w:t>
      </w:r>
      <w:proofErr w:type="spellEnd"/>
      <w:r>
        <w:rPr>
          <w:rFonts w:hint="eastAsia"/>
        </w:rPr>
        <w:t>="http://www.ashrae.org/publicreviews"&gt;</w:t>
      </w:r>
      <w:r>
        <w:rPr>
          <w:rFonts w:hint="eastAsia"/>
        </w:rPr>
        <w:t>（阅读原文）</w:t>
      </w:r>
      <w:r>
        <w:rPr>
          <w:rFonts w:hint="eastAsia"/>
        </w:rPr>
        <w:t>&lt;/a&gt;</w:t>
      </w:r>
    </w:p>
    <w:p w:rsidR="00724E03" w:rsidRDefault="00966407" w:rsidP="00724E03">
      <w:r>
        <w:rPr>
          <w:rFonts w:hint="eastAsia"/>
        </w:rPr>
        <w:t>将来的</w:t>
      </w:r>
      <w:r w:rsidR="00D34665">
        <w:rPr>
          <w:rFonts w:hint="eastAsia"/>
        </w:rPr>
        <w:t>市政设施是什么样的？</w:t>
      </w:r>
    </w:p>
    <w:p w:rsidR="00724E03" w:rsidRDefault="00724E03" w:rsidP="00724E03">
      <w:r>
        <w:t>The wastewater utilities of the future (UOTF) will become more efficient energy users and renewable energy producers and use green infrastructure to manage storm water and improve the quality of life, according to a new report by the National Association o</w:t>
      </w:r>
      <w:r>
        <w:rPr>
          <w:rFonts w:hint="eastAsia"/>
        </w:rPr>
        <w:t>f Clean Water Agencies, Water Environment Research Foundation, and Water Environment Federation. &lt;</w:t>
      </w:r>
      <w:proofErr w:type="gramStart"/>
      <w:r>
        <w:rPr>
          <w:rFonts w:hint="eastAsia"/>
        </w:rPr>
        <w:t>a</w:t>
      </w:r>
      <w:proofErr w:type="gramEnd"/>
      <w:r>
        <w:rPr>
          <w:rFonts w:hint="eastAsia"/>
        </w:rPr>
        <w:t xml:space="preserve"> </w:t>
      </w:r>
      <w:r>
        <w:rPr>
          <w:rFonts w:hint="eastAsia"/>
        </w:rPr>
        <w:lastRenderedPageBreak/>
        <w:t>href="http://www.nacwa.org/images/stories/public/2013-01-31waterresourcesutilityofthefuture-final.pdf"&gt;</w:t>
      </w:r>
      <w:r>
        <w:rPr>
          <w:rFonts w:hint="eastAsia"/>
        </w:rPr>
        <w:t>（阅读原文）</w:t>
      </w:r>
      <w:r>
        <w:rPr>
          <w:rFonts w:hint="eastAsia"/>
        </w:rPr>
        <w:t>&lt;/a&gt;</w:t>
      </w:r>
    </w:p>
    <w:p w:rsidR="00724E03" w:rsidRDefault="00724E03" w:rsidP="00724E03">
      <w:r>
        <w:t>ARCSA</w:t>
      </w:r>
      <w:r w:rsidR="00D34665">
        <w:rPr>
          <w:rFonts w:hint="eastAsia"/>
        </w:rPr>
        <w:t>宣布将举办</w:t>
      </w:r>
      <w:r w:rsidR="00D34665">
        <w:rPr>
          <w:rFonts w:hint="eastAsia"/>
        </w:rPr>
        <w:t>2013</w:t>
      </w:r>
      <w:r w:rsidR="00D34665">
        <w:rPr>
          <w:rFonts w:hint="eastAsia"/>
        </w:rPr>
        <w:t>年首季雨水收集学习班</w:t>
      </w:r>
      <w:r w:rsidR="00D34665">
        <w:t xml:space="preserve"> </w:t>
      </w:r>
    </w:p>
    <w:p w:rsidR="00724E03" w:rsidRDefault="00724E03" w:rsidP="00724E03">
      <w:r>
        <w:rPr>
          <w:rFonts w:hint="eastAsia"/>
        </w:rPr>
        <w:t>These workshops are intended for those seeking their ARCSA AP certification and others wanting to learn about rainwater harvesting design and construction. Learn more at arcsa.org. &lt;</w:t>
      </w:r>
      <w:proofErr w:type="gramStart"/>
      <w:r>
        <w:rPr>
          <w:rFonts w:hint="eastAsia"/>
        </w:rPr>
        <w:t>a</w:t>
      </w:r>
      <w:proofErr w:type="gramEnd"/>
      <w:r>
        <w:rPr>
          <w:rFonts w:hint="eastAsia"/>
        </w:rPr>
        <w:t xml:space="preserve"> </w:t>
      </w:r>
      <w:proofErr w:type="spellStart"/>
      <w:r>
        <w:rPr>
          <w:rFonts w:hint="eastAsia"/>
        </w:rPr>
        <w:t>href</w:t>
      </w:r>
      <w:proofErr w:type="spellEnd"/>
      <w:r>
        <w:rPr>
          <w:rFonts w:hint="eastAsia"/>
        </w:rPr>
        <w:t>="http://www.arcsa.org/"&gt;</w:t>
      </w:r>
      <w:r>
        <w:rPr>
          <w:rFonts w:hint="eastAsia"/>
        </w:rPr>
        <w:t>（阅读原文）</w:t>
      </w:r>
      <w:r>
        <w:rPr>
          <w:rFonts w:hint="eastAsia"/>
        </w:rPr>
        <w:t>&lt;/a&gt;</w:t>
      </w:r>
    </w:p>
    <w:p w:rsidR="00724E03" w:rsidRDefault="00724E03" w:rsidP="00724E03">
      <w:r>
        <w:t>NSF</w:t>
      </w:r>
      <w:r w:rsidR="00D34665">
        <w:rPr>
          <w:rFonts w:hint="eastAsia"/>
        </w:rPr>
        <w:t>提供垫圈和密封产品双重证书</w:t>
      </w:r>
    </w:p>
    <w:p w:rsidR="00724E03" w:rsidRDefault="00724E03" w:rsidP="00724E03">
      <w:r>
        <w:t>The certification combines testing to NSF/ANSI 61, ASSE 1061, and ASTM F2854 for chloramine resistance and tensile strength to provide push-fit fitting manufacturers with compliant gasket and sealing materials for use in drinking water distribution systems</w:t>
      </w:r>
      <w:r>
        <w:rPr>
          <w:rFonts w:hint="eastAsia"/>
        </w:rPr>
        <w:t>. More&gt;&gt;&lt;a href="http://www.nsf.org/business/newsroom/press_releases/press_release.asp?p_id=27831"&gt;</w:t>
      </w:r>
      <w:r>
        <w:rPr>
          <w:rFonts w:hint="eastAsia"/>
        </w:rPr>
        <w:t>（阅读原文）</w:t>
      </w:r>
      <w:r>
        <w:rPr>
          <w:rFonts w:hint="eastAsia"/>
        </w:rPr>
        <w:t>&lt;/a&gt;</w:t>
      </w:r>
    </w:p>
    <w:p w:rsidR="00724E03" w:rsidRDefault="00724E03" w:rsidP="00724E03">
      <w:r>
        <w:t>ICC</w:t>
      </w:r>
      <w:r w:rsidR="00D34665">
        <w:rPr>
          <w:rFonts w:hint="eastAsia"/>
        </w:rPr>
        <w:t>庆祝成立</w:t>
      </w:r>
      <w:r w:rsidR="00D34665">
        <w:rPr>
          <w:rFonts w:hint="eastAsia"/>
        </w:rPr>
        <w:t>10</w:t>
      </w:r>
      <w:r w:rsidR="00D34665">
        <w:rPr>
          <w:rFonts w:hint="eastAsia"/>
        </w:rPr>
        <w:t>周年</w:t>
      </w:r>
    </w:p>
    <w:p w:rsidR="00724E03" w:rsidRDefault="00724E03" w:rsidP="00724E03">
      <w:r>
        <w:t>On Feb. 1, 2003, three regional code organizations-Building Officials and Code Administrators, International Conference of Building Officials, and Southern Building Code Congress International-began operating as one consolidated association: the Internatio</w:t>
      </w:r>
      <w:r>
        <w:rPr>
          <w:rFonts w:hint="eastAsia"/>
        </w:rPr>
        <w:t>nal Code Council. More&gt;&gt;&lt;a href="http://www.iccsafe.org/newsroom/Pages/02012013-NR-Anniversary.aspx"&gt;</w:t>
      </w:r>
      <w:r>
        <w:rPr>
          <w:rFonts w:hint="eastAsia"/>
        </w:rPr>
        <w:t>（阅读原文）</w:t>
      </w:r>
      <w:r>
        <w:rPr>
          <w:rFonts w:hint="eastAsia"/>
        </w:rPr>
        <w:t>&lt;/a&gt;</w:t>
      </w:r>
    </w:p>
    <w:p w:rsidR="00724E03" w:rsidRDefault="00D34665" w:rsidP="00724E03">
      <w:r>
        <w:rPr>
          <w:rFonts w:hint="eastAsia"/>
        </w:rPr>
        <w:t>新的建筑物性能测量指南出版</w:t>
      </w:r>
    </w:p>
    <w:p w:rsidR="00F366A3" w:rsidRDefault="00724E03" w:rsidP="00724E03">
      <w:r>
        <w:t>ASHRAE's "Performance Measurement Procedures for Commercial Buildings: Best Practices Guide" contains tools and techniques for measuring, managing, and improving the performance of a facility as demonstrated by its energy and water use and indoor environme</w:t>
      </w:r>
      <w:r>
        <w:rPr>
          <w:rFonts w:hint="eastAsia"/>
        </w:rPr>
        <w:t>ntal quality. &lt;</w:t>
      </w:r>
      <w:proofErr w:type="gramStart"/>
      <w:r>
        <w:rPr>
          <w:rFonts w:hint="eastAsia"/>
        </w:rPr>
        <w:t>a</w:t>
      </w:r>
      <w:proofErr w:type="gramEnd"/>
      <w:r>
        <w:rPr>
          <w:rFonts w:hint="eastAsia"/>
        </w:rPr>
        <w:t xml:space="preserve"> href="http://www.techstreet.com/ashrae/cgi-bin/detail?product_id=1847338"&gt;</w:t>
      </w:r>
      <w:r>
        <w:rPr>
          <w:rFonts w:hint="eastAsia"/>
        </w:rPr>
        <w:t>（阅读原文）</w:t>
      </w:r>
      <w:r>
        <w:rPr>
          <w:rFonts w:hint="eastAsia"/>
        </w:rPr>
        <w:t>&lt;/a&gt;</w:t>
      </w:r>
    </w:p>
    <w:tbl>
      <w:tblPr>
        <w:tblW w:w="8670" w:type="dxa"/>
        <w:tblInd w:w="93" w:type="dxa"/>
        <w:tblLook w:val="04A0" w:firstRow="1" w:lastRow="0" w:firstColumn="1" w:lastColumn="0" w:noHBand="0" w:noVBand="1"/>
      </w:tblPr>
      <w:tblGrid>
        <w:gridCol w:w="9084"/>
      </w:tblGrid>
      <w:tr w:rsidR="00F366A3" w:rsidRPr="00F366A3" w:rsidTr="00F366A3">
        <w:trPr>
          <w:trHeight w:val="67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hint="eastAsia"/>
                <w:color w:val="000000"/>
                <w:sz w:val="16"/>
                <w:szCs w:val="16"/>
              </w:rPr>
              <w:t>虹吸屋面排水系统设计</w:t>
            </w:r>
            <w:r w:rsidRPr="00F366A3">
              <w:rPr>
                <w:rFonts w:ascii="Calibri" w:eastAsia="Times New Roman" w:hAnsi="Calibri"/>
                <w:color w:val="000000"/>
                <w:sz w:val="16"/>
                <w:szCs w:val="16"/>
              </w:rPr>
              <w:t>'&gt;</w:t>
            </w:r>
            <w:r w:rsidRPr="00F366A3">
              <w:rPr>
                <w:rFonts w:ascii="宋体" w:eastAsia="宋体" w:hAnsi="宋体" w:cs="宋体" w:hint="eastAsia"/>
                <w:color w:val="000000"/>
                <w:sz w:val="16"/>
                <w:szCs w:val="16"/>
              </w:rPr>
              <w:t>虹吸屋面排水系统设计标准征求公众意见</w:t>
            </w:r>
            <w:r w:rsidRPr="00F366A3">
              <w:rPr>
                <w:rFonts w:ascii="Calibri" w:eastAsia="Times New Roman" w:hAnsi="Calibri"/>
                <w:color w:val="000000"/>
                <w:sz w:val="16"/>
                <w:szCs w:val="16"/>
              </w:rPr>
              <w:t>&lt;/h4&gt;</w:t>
            </w:r>
          </w:p>
        </w:tc>
      </w:tr>
      <w:tr w:rsidR="00F366A3" w:rsidRPr="00F366A3" w:rsidTr="00F366A3">
        <w:trPr>
          <w:trHeight w:val="202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 xml:space="preserve">&lt;p&gt;ASPE 45: </w:t>
            </w:r>
            <w:proofErr w:type="spellStart"/>
            <w:r w:rsidRPr="00F366A3">
              <w:rPr>
                <w:rFonts w:ascii="Calibri" w:eastAsia="Times New Roman" w:hAnsi="Calibri"/>
                <w:color w:val="000000"/>
                <w:sz w:val="16"/>
                <w:szCs w:val="16"/>
              </w:rPr>
              <w:t>Siphonic</w:t>
            </w:r>
            <w:proofErr w:type="spellEnd"/>
            <w:r w:rsidRPr="00F366A3">
              <w:rPr>
                <w:rFonts w:ascii="Calibri" w:eastAsia="Times New Roman" w:hAnsi="Calibri"/>
                <w:color w:val="000000"/>
                <w:sz w:val="16"/>
                <w:szCs w:val="16"/>
              </w:rPr>
              <w:t xml:space="preserve"> Roof Drainage, a standard that was first published in 2007, has gone through extensive revision using the ASPE standards development process accredited by the American National Standards Institute. The draft revisions are now open for public comment until 11:59 CDT on March 24, 2013. To view the draft standard and submit a comment, visit &lt;a href="http://aspe.org/PublicReview"&gt;aspe.org/publicreview&lt;/a&gt;.&lt;/p&gt;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color w:val="000000"/>
                <w:sz w:val="16"/>
                <w:szCs w:val="16"/>
              </w:rPr>
              <w:t>气候变化如何影响水源</w:t>
            </w:r>
            <w:r w:rsidRPr="00F366A3">
              <w:rPr>
                <w:rFonts w:ascii="Calibri" w:eastAsia="Times New Roman" w:hAnsi="Calibri"/>
                <w:color w:val="000000"/>
                <w:sz w:val="16"/>
                <w:szCs w:val="16"/>
              </w:rPr>
              <w:t>'&gt;</w:t>
            </w:r>
            <w:r w:rsidRPr="00F366A3">
              <w:rPr>
                <w:rFonts w:ascii="宋体" w:eastAsia="宋体" w:hAnsi="宋体" w:cs="宋体"/>
                <w:color w:val="000000"/>
                <w:sz w:val="16"/>
                <w:szCs w:val="16"/>
              </w:rPr>
              <w:t>气候变化如何影响水源？</w:t>
            </w:r>
            <w:r w:rsidRPr="00F366A3">
              <w:rPr>
                <w:rFonts w:ascii="Calibri" w:eastAsia="Times New Roman" w:hAnsi="Calibri"/>
                <w:color w:val="000000"/>
                <w:sz w:val="16"/>
                <w:szCs w:val="16"/>
              </w:rPr>
              <w:t>&lt;/h4&gt;</w:t>
            </w:r>
          </w:p>
        </w:tc>
      </w:tr>
      <w:tr w:rsidR="00F366A3" w:rsidRPr="00F366A3" w:rsidTr="00F366A3">
        <w:trPr>
          <w:trHeight w:val="202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 xml:space="preserve">&lt;p&gt;In many areas across the United States, surface and groundwater supplies are expected to be reduced further by declining runoff and groundwater recharge trends, increasing the likelihood of water shortages for many uses, according to Chapter 3 of the draft National Climate Assessment Report. Comments on the report will be accepted until April 12. &lt;a </w:t>
            </w:r>
            <w:proofErr w:type="spellStart"/>
            <w:r w:rsidRPr="00F366A3">
              <w:rPr>
                <w:rFonts w:ascii="Calibri" w:eastAsia="Times New Roman" w:hAnsi="Calibri"/>
                <w:color w:val="000000"/>
                <w:sz w:val="16"/>
                <w:szCs w:val="16"/>
              </w:rPr>
              <w:t>href</w:t>
            </w:r>
            <w:proofErr w:type="spellEnd"/>
            <w:r w:rsidRPr="00F366A3">
              <w:rPr>
                <w:rFonts w:ascii="Calibri" w:eastAsia="Times New Roman" w:hAnsi="Calibri"/>
                <w:color w:val="000000"/>
                <w:sz w:val="16"/>
                <w:szCs w:val="16"/>
              </w:rPr>
              <w:t>="http://ncadac.globalchange.gov/"&gt;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color w:val="000000"/>
                <w:sz w:val="16"/>
                <w:szCs w:val="16"/>
              </w:rPr>
              <w:t>华盛顿特区准备采用全</w:t>
            </w:r>
            <w:r w:rsidRPr="00F366A3">
              <w:rPr>
                <w:rFonts w:ascii="Calibri" w:eastAsia="Times New Roman" w:hAnsi="Calibri"/>
                <w:color w:val="000000"/>
                <w:sz w:val="16"/>
                <w:szCs w:val="16"/>
              </w:rPr>
              <w:t>'&gt;</w:t>
            </w:r>
            <w:r w:rsidRPr="00F366A3">
              <w:rPr>
                <w:rFonts w:ascii="宋体" w:eastAsia="宋体" w:hAnsi="宋体" w:cs="宋体"/>
                <w:color w:val="000000"/>
                <w:sz w:val="16"/>
                <w:szCs w:val="16"/>
              </w:rPr>
              <w:t>华盛顿特区准备采用全国最环保的规范</w:t>
            </w:r>
            <w:r w:rsidRPr="00F366A3">
              <w:rPr>
                <w:rFonts w:ascii="Calibri" w:eastAsia="Times New Roman" w:hAnsi="Calibri"/>
                <w:color w:val="000000"/>
                <w:sz w:val="16"/>
                <w:szCs w:val="16"/>
              </w:rPr>
              <w:t>&lt;/h4&gt;</w:t>
            </w:r>
          </w:p>
        </w:tc>
      </w:tr>
      <w:tr w:rsidR="00F366A3" w:rsidRPr="00F366A3" w:rsidTr="00F366A3">
        <w:trPr>
          <w:trHeight w:val="225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lastRenderedPageBreak/>
              <w:t>&lt;p&gt;Due to the impact of the proposed &lt;a href="http://www.bizjournals.com/washington/breaking_ground/2012/12/districts-proposed-building-codes.html"&gt;strict green building requirements&lt;/a&gt;, the public comment period &lt;a href="http://dcra.dc.gov/DC/DCRA/About+DCRA/News+Room/Rulemaking/DCRA+Proposes+New+2013+D.C.+Construction+Codes"&gt;has been extended&lt;/a&gt; through February 22. The District estimates that each project built under the new code will use 30 percent less energy than current projects, many of which are already subject to the District's Green Building Act.&lt;/p&gt;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color w:val="000000"/>
                <w:sz w:val="16"/>
                <w:szCs w:val="16"/>
              </w:rPr>
              <w:t>新计划将使美国的发电</w:t>
            </w:r>
            <w:r w:rsidRPr="00F366A3">
              <w:rPr>
                <w:rFonts w:ascii="Calibri" w:eastAsia="Times New Roman" w:hAnsi="Calibri"/>
                <w:color w:val="000000"/>
                <w:sz w:val="16"/>
                <w:szCs w:val="16"/>
              </w:rPr>
              <w:t>'&gt;</w:t>
            </w:r>
            <w:r w:rsidRPr="00F366A3">
              <w:rPr>
                <w:rFonts w:ascii="宋体" w:eastAsia="宋体" w:hAnsi="宋体" w:cs="宋体"/>
                <w:color w:val="000000"/>
                <w:sz w:val="16"/>
                <w:szCs w:val="16"/>
              </w:rPr>
              <w:t>新计划将使美国的发电量到</w:t>
            </w:r>
            <w:r w:rsidRPr="00F366A3">
              <w:rPr>
                <w:rFonts w:ascii="Calibri" w:eastAsia="Times New Roman" w:hAnsi="Calibri"/>
                <w:color w:val="000000"/>
                <w:sz w:val="16"/>
                <w:szCs w:val="16"/>
              </w:rPr>
              <w:t>2030</w:t>
            </w:r>
            <w:r w:rsidRPr="00F366A3">
              <w:rPr>
                <w:rFonts w:ascii="宋体" w:eastAsia="宋体" w:hAnsi="宋体" w:cs="宋体"/>
                <w:color w:val="000000"/>
                <w:sz w:val="16"/>
                <w:szCs w:val="16"/>
              </w:rPr>
              <w:t>年时翻一翻</w:t>
            </w:r>
            <w:r w:rsidRPr="00F366A3">
              <w:rPr>
                <w:rFonts w:ascii="Calibri" w:eastAsia="Times New Roman" w:hAnsi="Calibri"/>
                <w:color w:val="000000"/>
                <w:sz w:val="16"/>
                <w:szCs w:val="16"/>
              </w:rPr>
              <w:t>&lt;/h4&gt;</w:t>
            </w:r>
          </w:p>
        </w:tc>
      </w:tr>
      <w:tr w:rsidR="00F366A3" w:rsidRPr="00F366A3" w:rsidTr="00F366A3">
        <w:trPr>
          <w:trHeight w:val="225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 xml:space="preserve">&lt;p&gt;The Energy 2030 plan, created by an alliance comprising leaders from the power sector, environmental groups, financial community, manufacturing, transportation, and government, recommends initiatives that would save the average household more than $1,000 and American businesses $169 billion annually; reduce government agency spending by $13 billion a year; create 1.3 million jobs and increase GDP by up to 2 percent; decrease energy imports by more than $100 billion annually; and reduce carbon dioxide emissions by 33 percent below 2005 levels. &lt;a </w:t>
            </w:r>
            <w:proofErr w:type="spellStart"/>
            <w:r w:rsidRPr="00F366A3">
              <w:rPr>
                <w:rFonts w:ascii="Calibri" w:eastAsia="Times New Roman" w:hAnsi="Calibri"/>
                <w:color w:val="000000"/>
                <w:sz w:val="16"/>
                <w:szCs w:val="16"/>
              </w:rPr>
              <w:t>href</w:t>
            </w:r>
            <w:proofErr w:type="spellEnd"/>
            <w:r w:rsidRPr="00F366A3">
              <w:rPr>
                <w:rFonts w:ascii="Calibri" w:eastAsia="Times New Roman" w:hAnsi="Calibri"/>
                <w:color w:val="000000"/>
                <w:sz w:val="16"/>
                <w:szCs w:val="16"/>
              </w:rPr>
              <w:t>="http://www.energy2030.org/"&gt;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color w:val="000000"/>
                <w:sz w:val="16"/>
                <w:szCs w:val="16"/>
              </w:rPr>
              <w:t>检验饮用污水处理出水</w:t>
            </w:r>
            <w:r w:rsidRPr="00F366A3">
              <w:rPr>
                <w:rFonts w:ascii="Calibri" w:eastAsia="Times New Roman" w:hAnsi="Calibri"/>
                <w:color w:val="000000"/>
                <w:sz w:val="16"/>
                <w:szCs w:val="16"/>
              </w:rPr>
              <w:t>'&gt;</w:t>
            </w:r>
            <w:r w:rsidRPr="00F366A3">
              <w:rPr>
                <w:rFonts w:ascii="宋体" w:eastAsia="宋体" w:hAnsi="宋体" w:cs="宋体"/>
                <w:color w:val="000000"/>
                <w:sz w:val="16"/>
                <w:szCs w:val="16"/>
              </w:rPr>
              <w:t>检验饮用污水处理出水的科学和心理障碍</w:t>
            </w:r>
            <w:r w:rsidRPr="00F366A3">
              <w:rPr>
                <w:rFonts w:ascii="Calibri" w:eastAsia="Times New Roman" w:hAnsi="Calibri"/>
                <w:color w:val="000000"/>
                <w:sz w:val="16"/>
                <w:szCs w:val="16"/>
              </w:rPr>
              <w:t>&lt;/h4&gt;</w:t>
            </w:r>
          </w:p>
        </w:tc>
      </w:tr>
      <w:tr w:rsidR="00F366A3" w:rsidRPr="00F366A3" w:rsidTr="00F366A3">
        <w:trPr>
          <w:trHeight w:val="202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&lt;p&gt;An article in the February issue of EARTH magazine explores efforts around the world to make drinking water from sewage and how municipalities are attempting to overcome the "yuck" factor to encourage wastewater reuse. &lt;a href="http://www.earthmagazine.org/article/drinking-toilet-water-science-and-psychology-wastewater-recycling"&gt;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id='NFPA</w:t>
            </w:r>
            <w:r w:rsidRPr="00F366A3">
              <w:rPr>
                <w:rFonts w:ascii="宋体" w:eastAsia="宋体" w:hAnsi="宋体" w:cs="宋体"/>
                <w:color w:val="000000"/>
                <w:sz w:val="16"/>
                <w:szCs w:val="16"/>
              </w:rPr>
              <w:t>征求公众对消</w:t>
            </w:r>
            <w:r w:rsidRPr="00F366A3">
              <w:rPr>
                <w:rFonts w:ascii="Calibri" w:eastAsia="Times New Roman" w:hAnsi="Calibri"/>
                <w:color w:val="000000"/>
                <w:sz w:val="16"/>
                <w:szCs w:val="16"/>
              </w:rPr>
              <w:t>'&gt;NFPA</w:t>
            </w:r>
            <w:r w:rsidRPr="00F366A3">
              <w:rPr>
                <w:rFonts w:ascii="宋体" w:eastAsia="宋体" w:hAnsi="宋体" w:cs="宋体"/>
                <w:color w:val="000000"/>
                <w:sz w:val="16"/>
                <w:szCs w:val="16"/>
              </w:rPr>
              <w:t>征求公众对消防喷淋系统标准的意见</w:t>
            </w:r>
            <w:r w:rsidRPr="00F366A3">
              <w:rPr>
                <w:rFonts w:ascii="Calibri" w:eastAsia="Times New Roman" w:hAnsi="Calibri"/>
                <w:color w:val="000000"/>
                <w:sz w:val="16"/>
                <w:szCs w:val="16"/>
              </w:rPr>
              <w:t>&lt;/h4&gt;</w:t>
            </w:r>
          </w:p>
        </w:tc>
      </w:tr>
      <w:tr w:rsidR="00F366A3" w:rsidRPr="00F366A3" w:rsidTr="00F366A3">
        <w:trPr>
          <w:trHeight w:val="202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&lt;p&gt;Public input is the term now used at NFPA to address a code change proposal to a technical document. Input on NFPA 13: Standard for the Installation of Sprinkler Systems will be accepted until May 31. &lt;a href="http://www.nfpa.org/aboutthecodes/AboutTheCodes.asp?DocNum=13"&gt;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color w:val="000000"/>
                <w:sz w:val="16"/>
                <w:szCs w:val="16"/>
              </w:rPr>
              <w:t>美国政府想了解您对绿</w:t>
            </w:r>
            <w:r w:rsidRPr="00F366A3">
              <w:rPr>
                <w:rFonts w:ascii="Calibri" w:eastAsia="Times New Roman" w:hAnsi="Calibri"/>
                <w:color w:val="000000"/>
                <w:sz w:val="16"/>
                <w:szCs w:val="16"/>
              </w:rPr>
              <w:t>'&gt;</w:t>
            </w:r>
            <w:r w:rsidRPr="00F366A3">
              <w:rPr>
                <w:rFonts w:ascii="宋体" w:eastAsia="宋体" w:hAnsi="宋体" w:cs="宋体"/>
                <w:color w:val="000000"/>
                <w:sz w:val="16"/>
                <w:szCs w:val="16"/>
              </w:rPr>
              <w:t>美国政府想了解您对绿色建筑颁证制度的看法</w:t>
            </w:r>
            <w:r w:rsidRPr="00F366A3">
              <w:rPr>
                <w:rFonts w:ascii="Calibri" w:eastAsia="Times New Roman" w:hAnsi="Calibri"/>
                <w:color w:val="000000"/>
                <w:sz w:val="16"/>
                <w:szCs w:val="16"/>
              </w:rPr>
              <w:t>&lt;/h4&gt;</w:t>
            </w:r>
          </w:p>
        </w:tc>
      </w:tr>
      <w:tr w:rsidR="00F366A3" w:rsidRPr="00F366A3" w:rsidTr="00F366A3">
        <w:trPr>
          <w:trHeight w:val="225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lastRenderedPageBreak/>
              <w:t>&lt;p&gt;The U.S. General Services Administration (GSA) is requesting input from the public to better inform its recommendation to the Department of Energy on what green building certification systems the federal government should use for new and renovated government buildings: LEED, Green Globes, and/or the Living Building Challenge. More&gt;&gt;&lt;a href="https://www.federalregister.gov/articles/2013/02/05/2013-02408/sequence-24-findings-of-the-eisa-436h-ad-hoc-review-group-on-green-building-certification-systems"&gt;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color w:val="000000"/>
                <w:sz w:val="16"/>
                <w:szCs w:val="16"/>
              </w:rPr>
              <w:t>预防军团菌病推荐标准</w:t>
            </w:r>
            <w:r w:rsidRPr="00F366A3">
              <w:rPr>
                <w:rFonts w:ascii="Calibri" w:eastAsia="Times New Roman" w:hAnsi="Calibri"/>
                <w:color w:val="000000"/>
                <w:sz w:val="16"/>
                <w:szCs w:val="16"/>
              </w:rPr>
              <w:t>'&gt;</w:t>
            </w:r>
            <w:r w:rsidRPr="00F366A3">
              <w:rPr>
                <w:rFonts w:ascii="宋体" w:eastAsia="宋体" w:hAnsi="宋体" w:cs="宋体"/>
                <w:color w:val="000000"/>
                <w:sz w:val="16"/>
                <w:szCs w:val="16"/>
              </w:rPr>
              <w:t>预防军团菌病推荐标准公开征求意见</w:t>
            </w:r>
            <w:r w:rsidRPr="00F366A3">
              <w:rPr>
                <w:rFonts w:ascii="Calibri" w:eastAsia="Times New Roman" w:hAnsi="Calibri"/>
                <w:color w:val="000000"/>
                <w:sz w:val="16"/>
                <w:szCs w:val="16"/>
              </w:rPr>
              <w:t>&lt;/h4&gt;</w:t>
            </w:r>
          </w:p>
        </w:tc>
      </w:tr>
      <w:tr w:rsidR="00F366A3" w:rsidRPr="00F366A3" w:rsidTr="00F366A3">
        <w:trPr>
          <w:trHeight w:val="202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 xml:space="preserve">&lt;p&gt;ASHRAE is accepting comments on Standard 188P, Prevention of </w:t>
            </w:r>
            <w:proofErr w:type="spellStart"/>
            <w:r w:rsidRPr="00F366A3">
              <w:rPr>
                <w:rFonts w:ascii="Calibri" w:eastAsia="Times New Roman" w:hAnsi="Calibri"/>
                <w:color w:val="000000"/>
                <w:sz w:val="16"/>
                <w:szCs w:val="16"/>
              </w:rPr>
              <w:t>Legionellosis</w:t>
            </w:r>
            <w:proofErr w:type="spellEnd"/>
            <w:r w:rsidRPr="00F366A3">
              <w:rPr>
                <w:rFonts w:ascii="Calibri" w:eastAsia="Times New Roman" w:hAnsi="Calibri"/>
                <w:color w:val="000000"/>
                <w:sz w:val="16"/>
                <w:szCs w:val="16"/>
              </w:rPr>
              <w:t xml:space="preserve"> Associated with Building Water Systems until March 11. To submit a comment, visit www.ashrae.org/publicreviews. &lt;a </w:t>
            </w:r>
            <w:proofErr w:type="spellStart"/>
            <w:r w:rsidRPr="00F366A3">
              <w:rPr>
                <w:rFonts w:ascii="Calibri" w:eastAsia="Times New Roman" w:hAnsi="Calibri"/>
                <w:color w:val="000000"/>
                <w:sz w:val="16"/>
                <w:szCs w:val="16"/>
              </w:rPr>
              <w:t>href</w:t>
            </w:r>
            <w:proofErr w:type="spellEnd"/>
            <w:r w:rsidRPr="00F366A3">
              <w:rPr>
                <w:rFonts w:ascii="Calibri" w:eastAsia="Times New Roman" w:hAnsi="Calibri"/>
                <w:color w:val="000000"/>
                <w:sz w:val="16"/>
                <w:szCs w:val="16"/>
              </w:rPr>
              <w:t>="http://www.ashrae.org/publicreviews"&gt;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color w:val="000000"/>
                <w:sz w:val="16"/>
                <w:szCs w:val="16"/>
              </w:rPr>
              <w:t>将来的市政设施是什么</w:t>
            </w:r>
            <w:r w:rsidRPr="00F366A3">
              <w:rPr>
                <w:rFonts w:ascii="Calibri" w:eastAsia="Times New Roman" w:hAnsi="Calibri"/>
                <w:color w:val="000000"/>
                <w:sz w:val="16"/>
                <w:szCs w:val="16"/>
              </w:rPr>
              <w:t>'&gt;</w:t>
            </w:r>
            <w:r w:rsidRPr="00F366A3">
              <w:rPr>
                <w:rFonts w:ascii="宋体" w:eastAsia="宋体" w:hAnsi="宋体" w:cs="宋体"/>
                <w:color w:val="000000"/>
                <w:sz w:val="16"/>
                <w:szCs w:val="16"/>
              </w:rPr>
              <w:t>将来的市政设施是什么样的？</w:t>
            </w:r>
            <w:r w:rsidRPr="00F366A3">
              <w:rPr>
                <w:rFonts w:ascii="Calibri" w:eastAsia="Times New Roman" w:hAnsi="Calibri"/>
                <w:color w:val="000000"/>
                <w:sz w:val="16"/>
                <w:szCs w:val="16"/>
              </w:rPr>
              <w:t>&lt;/h4&gt;</w:t>
            </w:r>
          </w:p>
        </w:tc>
      </w:tr>
      <w:tr w:rsidR="00F366A3" w:rsidRPr="00F366A3" w:rsidTr="00F366A3">
        <w:trPr>
          <w:trHeight w:val="231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&lt;p&gt;The wastewater utilities of the future (UOTF) will become more efficient energy users and renewable energy producers and use green infrastructure to manage storm water and improve the quality of life, according to a new report by the National Association of Clean Water Agencies, Water Environment Research Foundation, and Water Environment Federation. &lt;a href="http://www.nacwa.org/images/stories/public/2013-01-31waterresourcesutilityofthefuture-final.pdf"&gt;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id='ARCSA</w:t>
            </w:r>
            <w:r w:rsidRPr="00F366A3">
              <w:rPr>
                <w:rFonts w:ascii="宋体" w:eastAsia="宋体" w:hAnsi="宋体" w:cs="宋体"/>
                <w:color w:val="000000"/>
                <w:sz w:val="16"/>
                <w:szCs w:val="16"/>
              </w:rPr>
              <w:t>宣布将举办</w:t>
            </w:r>
            <w:r w:rsidRPr="00F366A3">
              <w:rPr>
                <w:rFonts w:ascii="Calibri" w:eastAsia="Times New Roman" w:hAnsi="Calibri"/>
                <w:color w:val="000000"/>
                <w:sz w:val="16"/>
                <w:szCs w:val="16"/>
              </w:rPr>
              <w:t>'&gt;ARCSA</w:t>
            </w:r>
            <w:r w:rsidRPr="00F366A3">
              <w:rPr>
                <w:rFonts w:ascii="宋体" w:eastAsia="宋体" w:hAnsi="宋体" w:cs="宋体"/>
                <w:color w:val="000000"/>
                <w:sz w:val="16"/>
                <w:szCs w:val="16"/>
              </w:rPr>
              <w:t>宣布将举办</w:t>
            </w:r>
            <w:r w:rsidRPr="00F366A3">
              <w:rPr>
                <w:rFonts w:ascii="Calibri" w:eastAsia="Times New Roman" w:hAnsi="Calibri"/>
                <w:color w:val="000000"/>
                <w:sz w:val="16"/>
                <w:szCs w:val="16"/>
              </w:rPr>
              <w:t>2013</w:t>
            </w:r>
            <w:r w:rsidRPr="00F366A3">
              <w:rPr>
                <w:rFonts w:ascii="宋体" w:eastAsia="宋体" w:hAnsi="宋体" w:cs="宋体"/>
                <w:color w:val="000000"/>
                <w:sz w:val="16"/>
                <w:szCs w:val="16"/>
              </w:rPr>
              <w:t>年首季雨水收集学习班</w:t>
            </w:r>
            <w:r w:rsidRPr="00F366A3">
              <w:rPr>
                <w:rFonts w:ascii="Calibri" w:eastAsia="Times New Roman" w:hAnsi="Calibri"/>
                <w:color w:val="000000"/>
                <w:sz w:val="16"/>
                <w:szCs w:val="16"/>
              </w:rPr>
              <w:t xml:space="preserve"> &lt;/h4&gt;</w:t>
            </w:r>
          </w:p>
        </w:tc>
      </w:tr>
      <w:tr w:rsidR="00F366A3" w:rsidRPr="00F366A3" w:rsidTr="00F366A3">
        <w:trPr>
          <w:trHeight w:val="202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 xml:space="preserve">&lt;p&gt;These workshops are intended for those seeking their ARCSA AP certification and others wanting to learn about rainwater harvesting design and construction. Learn more at arcsa.org. &lt;a </w:t>
            </w:r>
            <w:proofErr w:type="spellStart"/>
            <w:r w:rsidRPr="00F366A3">
              <w:rPr>
                <w:rFonts w:ascii="Calibri" w:eastAsia="Times New Roman" w:hAnsi="Calibri"/>
                <w:color w:val="000000"/>
                <w:sz w:val="16"/>
                <w:szCs w:val="16"/>
              </w:rPr>
              <w:t>href</w:t>
            </w:r>
            <w:proofErr w:type="spellEnd"/>
            <w:r w:rsidRPr="00F366A3">
              <w:rPr>
                <w:rFonts w:ascii="Calibri" w:eastAsia="Times New Roman" w:hAnsi="Calibri"/>
                <w:color w:val="000000"/>
                <w:sz w:val="16"/>
                <w:szCs w:val="16"/>
              </w:rPr>
              <w:t>="http://www.arcsa.org/"&gt;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id='NSF</w:t>
            </w:r>
            <w:r w:rsidRPr="00F366A3">
              <w:rPr>
                <w:rFonts w:ascii="宋体" w:eastAsia="宋体" w:hAnsi="宋体" w:cs="宋体"/>
                <w:color w:val="000000"/>
                <w:sz w:val="16"/>
                <w:szCs w:val="16"/>
              </w:rPr>
              <w:t>提供垫圈和密封</w:t>
            </w:r>
            <w:r w:rsidRPr="00F366A3">
              <w:rPr>
                <w:rFonts w:ascii="Calibri" w:eastAsia="Times New Roman" w:hAnsi="Calibri"/>
                <w:color w:val="000000"/>
                <w:sz w:val="16"/>
                <w:szCs w:val="16"/>
              </w:rPr>
              <w:t>'&gt;NSF</w:t>
            </w:r>
            <w:r w:rsidRPr="00F366A3">
              <w:rPr>
                <w:rFonts w:ascii="宋体" w:eastAsia="宋体" w:hAnsi="宋体" w:cs="宋体"/>
                <w:color w:val="000000"/>
                <w:sz w:val="16"/>
                <w:szCs w:val="16"/>
              </w:rPr>
              <w:t>提供垫圈和密封产品双重证书</w:t>
            </w:r>
            <w:r w:rsidRPr="00F366A3">
              <w:rPr>
                <w:rFonts w:ascii="Calibri" w:eastAsia="Times New Roman" w:hAnsi="Calibri"/>
                <w:color w:val="000000"/>
                <w:sz w:val="16"/>
                <w:szCs w:val="16"/>
              </w:rPr>
              <w:t>&lt;/h4&gt;</w:t>
            </w:r>
          </w:p>
        </w:tc>
      </w:tr>
      <w:tr w:rsidR="00F366A3" w:rsidRPr="00F366A3" w:rsidTr="00F366A3">
        <w:trPr>
          <w:trHeight w:val="1992"/>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lastRenderedPageBreak/>
              <w:t>&lt;p&gt;The certification combines testing to NSF/ANSI 61, ASSE 1061, and ASTM F2854 for chloramine resistance and tensile strength to provide push-fit fitting manufacturers with compliant gasket and sealing materials for use in drinking water distribution systems. More&gt;&gt;&lt;a href="http://www.nsf.org/business/newsroom/press_releases/press_release.asp?p_id=27831"&gt;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id='ICC</w:t>
            </w:r>
            <w:r w:rsidRPr="00F366A3">
              <w:rPr>
                <w:rFonts w:ascii="宋体" w:eastAsia="宋体" w:hAnsi="宋体" w:cs="宋体"/>
                <w:color w:val="000000"/>
                <w:sz w:val="16"/>
                <w:szCs w:val="16"/>
              </w:rPr>
              <w:t>庆祝成立</w:t>
            </w:r>
            <w:r w:rsidRPr="00F366A3">
              <w:rPr>
                <w:rFonts w:ascii="Calibri" w:eastAsia="Times New Roman" w:hAnsi="Calibri"/>
                <w:color w:val="000000"/>
                <w:sz w:val="16"/>
                <w:szCs w:val="16"/>
              </w:rPr>
              <w:t>10</w:t>
            </w:r>
            <w:r w:rsidRPr="00F366A3">
              <w:rPr>
                <w:rFonts w:ascii="宋体" w:eastAsia="宋体" w:hAnsi="宋体" w:cs="宋体"/>
                <w:color w:val="000000"/>
                <w:sz w:val="16"/>
                <w:szCs w:val="16"/>
              </w:rPr>
              <w:t>周</w:t>
            </w:r>
            <w:r w:rsidRPr="00F366A3">
              <w:rPr>
                <w:rFonts w:ascii="Calibri" w:eastAsia="Times New Roman" w:hAnsi="Calibri"/>
                <w:color w:val="000000"/>
                <w:sz w:val="16"/>
                <w:szCs w:val="16"/>
              </w:rPr>
              <w:t>'&gt;ICC</w:t>
            </w:r>
            <w:r w:rsidRPr="00F366A3">
              <w:rPr>
                <w:rFonts w:ascii="宋体" w:eastAsia="宋体" w:hAnsi="宋体" w:cs="宋体"/>
                <w:color w:val="000000"/>
                <w:sz w:val="16"/>
                <w:szCs w:val="16"/>
              </w:rPr>
              <w:t>庆祝成立</w:t>
            </w:r>
            <w:r w:rsidRPr="00F366A3">
              <w:rPr>
                <w:rFonts w:ascii="Calibri" w:eastAsia="Times New Roman" w:hAnsi="Calibri"/>
                <w:color w:val="000000"/>
                <w:sz w:val="16"/>
                <w:szCs w:val="16"/>
              </w:rPr>
              <w:t>10</w:t>
            </w:r>
            <w:r w:rsidRPr="00F366A3">
              <w:rPr>
                <w:rFonts w:ascii="宋体" w:eastAsia="宋体" w:hAnsi="宋体" w:cs="宋体"/>
                <w:color w:val="000000"/>
                <w:sz w:val="16"/>
                <w:szCs w:val="16"/>
              </w:rPr>
              <w:t>周年</w:t>
            </w:r>
            <w:r w:rsidRPr="00F366A3">
              <w:rPr>
                <w:rFonts w:ascii="Calibri" w:eastAsia="Times New Roman" w:hAnsi="Calibri"/>
                <w:color w:val="000000"/>
                <w:sz w:val="16"/>
                <w:szCs w:val="16"/>
              </w:rPr>
              <w:t>&lt;/h4&gt;</w:t>
            </w:r>
          </w:p>
        </w:tc>
      </w:tr>
      <w:tr w:rsidR="00F366A3" w:rsidRPr="00F366A3" w:rsidTr="00F366A3">
        <w:trPr>
          <w:trHeight w:val="202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&lt;p&gt;On Feb. 1, 2003, three regional code organizations-Building Officials and Code Administrators, International Conference of Building Officials, and Southern Building Code Congress International-began operating as one consolidated association: the International Code Council. More&gt;&gt;&lt;a href="http://www.iccsafe.org/newsroom/Pages/02012013-NR-Anniversary.aspx"&gt;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r w:rsidR="00F366A3" w:rsidRPr="00F366A3" w:rsidTr="00F366A3">
        <w:trPr>
          <w:trHeight w:val="900"/>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&lt;h4 id='</w:t>
            </w:r>
            <w:r w:rsidRPr="00F366A3">
              <w:rPr>
                <w:rFonts w:ascii="宋体" w:eastAsia="宋体" w:hAnsi="宋体" w:cs="宋体"/>
                <w:color w:val="000000"/>
                <w:sz w:val="16"/>
                <w:szCs w:val="16"/>
              </w:rPr>
              <w:t>新的建筑物性能测量指</w:t>
            </w:r>
            <w:r w:rsidRPr="00F366A3">
              <w:rPr>
                <w:rFonts w:ascii="Calibri" w:eastAsia="Times New Roman" w:hAnsi="Calibri"/>
                <w:color w:val="000000"/>
                <w:sz w:val="16"/>
                <w:szCs w:val="16"/>
              </w:rPr>
              <w:t>'&gt;</w:t>
            </w:r>
            <w:r w:rsidRPr="00F366A3">
              <w:rPr>
                <w:rFonts w:ascii="宋体" w:eastAsia="宋体" w:hAnsi="宋体" w:cs="宋体"/>
                <w:color w:val="000000"/>
                <w:sz w:val="16"/>
                <w:szCs w:val="16"/>
              </w:rPr>
              <w:t>新的建筑物性能测量指南出版</w:t>
            </w:r>
            <w:r w:rsidRPr="00F366A3">
              <w:rPr>
                <w:rFonts w:ascii="Calibri" w:eastAsia="Times New Roman" w:hAnsi="Calibri"/>
                <w:color w:val="000000"/>
                <w:sz w:val="16"/>
                <w:szCs w:val="16"/>
              </w:rPr>
              <w:t>&lt;/h4&gt;</w:t>
            </w:r>
          </w:p>
        </w:tc>
      </w:tr>
      <w:tr w:rsidR="00F366A3" w:rsidRPr="00F366A3" w:rsidTr="00F366A3">
        <w:trPr>
          <w:trHeight w:val="2025"/>
        </w:trPr>
        <w:tc>
          <w:tcPr>
            <w:tcW w:w="8670" w:type="dxa"/>
            <w:tcBorders>
              <w:top w:val="nil"/>
              <w:left w:val="nil"/>
              <w:bottom w:val="nil"/>
              <w:right w:val="nil"/>
            </w:tcBorders>
            <w:shd w:val="clear" w:color="000000" w:fill="DCE6F1"/>
            <w:hideMark/>
          </w:tcPr>
          <w:p w:rsidR="00F366A3" w:rsidRPr="00F366A3" w:rsidRDefault="00F366A3" w:rsidP="00F366A3">
            <w:pPr>
              <w:rPr>
                <w:rFonts w:ascii="Calibri" w:eastAsia="Times New Roman" w:hAnsi="Calibri"/>
                <w:color w:val="000000"/>
                <w:sz w:val="16"/>
                <w:szCs w:val="16"/>
              </w:rPr>
            </w:pPr>
            <w:r w:rsidRPr="00F366A3">
              <w:rPr>
                <w:rFonts w:ascii="Calibri" w:eastAsia="Times New Roman" w:hAnsi="Calibri"/>
                <w:color w:val="000000"/>
                <w:sz w:val="16"/>
                <w:szCs w:val="16"/>
              </w:rPr>
              <w:t>&lt;p&gt;ASHRAE's "Performance Measurement Procedures for Commercial Buildings: Best Practices Guide" contains tools and techniques for measuring, managing, and improving the performance of a facility as demonstrated by its energy and water use and indoor environmental quality. &lt;a href="http://www.techstreet.com/ashrae/cgi-bin/detail?product_id=1847338"&gt;</w:t>
            </w:r>
            <w:r w:rsidRPr="00F366A3">
              <w:rPr>
                <w:rFonts w:ascii="宋体" w:eastAsia="宋体" w:hAnsi="宋体" w:cs="宋体"/>
                <w:color w:val="000000"/>
                <w:sz w:val="16"/>
                <w:szCs w:val="16"/>
              </w:rPr>
              <w:t>（阅读原文）</w:t>
            </w:r>
            <w:r w:rsidRPr="00F366A3">
              <w:rPr>
                <w:rFonts w:ascii="Calibri" w:eastAsia="Times New Roman" w:hAnsi="Calibri"/>
                <w:color w:val="000000"/>
                <w:sz w:val="16"/>
                <w:szCs w:val="16"/>
              </w:rPr>
              <w:t>&lt;/a&gt;&lt;/p&gt;</w:t>
            </w:r>
          </w:p>
        </w:tc>
      </w:tr>
    </w:tbl>
    <w:p w:rsidR="00724E03" w:rsidRDefault="00724E03" w:rsidP="00724E03">
      <w:bookmarkStart w:id="1" w:name="_GoBack"/>
      <w:bookmarkEnd w:id="1"/>
    </w:p>
    <w:p w:rsidR="00724E03" w:rsidRDefault="00724E03" w:rsidP="00724E03">
      <w:r>
        <w:t xml:space="preserve"> </w:t>
      </w:r>
    </w:p>
    <w:p w:rsidR="00724E03" w:rsidRDefault="00724E03" w:rsidP="00724E03">
      <w:r>
        <w:t xml:space="preserve"> </w:t>
      </w:r>
    </w:p>
    <w:p w:rsidR="00724E03" w:rsidRDefault="00724E03" w:rsidP="00724E03"/>
    <w:p w:rsidR="00724E03" w:rsidRDefault="00724E03" w:rsidP="00724E03"/>
    <w:p w:rsidR="00724E03" w:rsidRDefault="00724E03" w:rsidP="00724E03">
      <w:r>
        <w:t xml:space="preserve"> </w:t>
      </w:r>
    </w:p>
    <w:p w:rsidR="0063005C" w:rsidRDefault="0063005C" w:rsidP="0063005C"/>
    <w:bookmarkEnd w:id="0"/>
    <w:p w:rsidR="009A5025" w:rsidRDefault="009A5025" w:rsidP="009A5025"/>
    <w:sectPr w:rsidR="009A5025"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2"/>
  </w:compat>
  <w:rsids>
    <w:rsidRoot w:val="001E0256"/>
    <w:rsid w:val="00000240"/>
    <w:rsid w:val="00001A3B"/>
    <w:rsid w:val="000179BB"/>
    <w:rsid w:val="00021944"/>
    <w:rsid w:val="00031DFC"/>
    <w:rsid w:val="00056EE0"/>
    <w:rsid w:val="00057E3C"/>
    <w:rsid w:val="000A6776"/>
    <w:rsid w:val="000E0AE0"/>
    <w:rsid w:val="000F28F0"/>
    <w:rsid w:val="000F75E2"/>
    <w:rsid w:val="00101878"/>
    <w:rsid w:val="001440BA"/>
    <w:rsid w:val="00151051"/>
    <w:rsid w:val="00156618"/>
    <w:rsid w:val="00157A0A"/>
    <w:rsid w:val="00174D2D"/>
    <w:rsid w:val="00180A2F"/>
    <w:rsid w:val="00183B7B"/>
    <w:rsid w:val="001857B3"/>
    <w:rsid w:val="001E0256"/>
    <w:rsid w:val="001E1B31"/>
    <w:rsid w:val="001E1EB7"/>
    <w:rsid w:val="00202965"/>
    <w:rsid w:val="00204A03"/>
    <w:rsid w:val="002109E5"/>
    <w:rsid w:val="002141C3"/>
    <w:rsid w:val="00222191"/>
    <w:rsid w:val="00250809"/>
    <w:rsid w:val="00275F96"/>
    <w:rsid w:val="00282D99"/>
    <w:rsid w:val="002949B8"/>
    <w:rsid w:val="00295147"/>
    <w:rsid w:val="002A5CD9"/>
    <w:rsid w:val="002B203E"/>
    <w:rsid w:val="002B3853"/>
    <w:rsid w:val="002D1ECC"/>
    <w:rsid w:val="002D30D5"/>
    <w:rsid w:val="00301AC2"/>
    <w:rsid w:val="00301D2B"/>
    <w:rsid w:val="0034762E"/>
    <w:rsid w:val="003531B7"/>
    <w:rsid w:val="00370B1C"/>
    <w:rsid w:val="003A42BE"/>
    <w:rsid w:val="003D5107"/>
    <w:rsid w:val="003E0C3F"/>
    <w:rsid w:val="003E7D4C"/>
    <w:rsid w:val="003F2996"/>
    <w:rsid w:val="00400AD9"/>
    <w:rsid w:val="0042204C"/>
    <w:rsid w:val="00456342"/>
    <w:rsid w:val="00461702"/>
    <w:rsid w:val="00464DC6"/>
    <w:rsid w:val="00474B18"/>
    <w:rsid w:val="004752F9"/>
    <w:rsid w:val="004933AE"/>
    <w:rsid w:val="004A1196"/>
    <w:rsid w:val="004A212B"/>
    <w:rsid w:val="004B738C"/>
    <w:rsid w:val="004C235A"/>
    <w:rsid w:val="004D694E"/>
    <w:rsid w:val="004D6E78"/>
    <w:rsid w:val="004F1BAE"/>
    <w:rsid w:val="004F5DEE"/>
    <w:rsid w:val="00541CF7"/>
    <w:rsid w:val="00546BDB"/>
    <w:rsid w:val="0055108C"/>
    <w:rsid w:val="0055468C"/>
    <w:rsid w:val="00573A3B"/>
    <w:rsid w:val="0058232D"/>
    <w:rsid w:val="005830D3"/>
    <w:rsid w:val="005A6B01"/>
    <w:rsid w:val="005A7AF8"/>
    <w:rsid w:val="005B7F54"/>
    <w:rsid w:val="005D5AB8"/>
    <w:rsid w:val="005F1181"/>
    <w:rsid w:val="00616693"/>
    <w:rsid w:val="00627DD7"/>
    <w:rsid w:val="0063005C"/>
    <w:rsid w:val="00652E99"/>
    <w:rsid w:val="006927AF"/>
    <w:rsid w:val="006A53DA"/>
    <w:rsid w:val="006C4945"/>
    <w:rsid w:val="006D6522"/>
    <w:rsid w:val="006E5B22"/>
    <w:rsid w:val="006F5A55"/>
    <w:rsid w:val="00701924"/>
    <w:rsid w:val="00724E03"/>
    <w:rsid w:val="00731726"/>
    <w:rsid w:val="00741680"/>
    <w:rsid w:val="0079464F"/>
    <w:rsid w:val="007A0149"/>
    <w:rsid w:val="007C71C8"/>
    <w:rsid w:val="007D5ED1"/>
    <w:rsid w:val="007E3D99"/>
    <w:rsid w:val="007E3F05"/>
    <w:rsid w:val="00842AA2"/>
    <w:rsid w:val="0084557C"/>
    <w:rsid w:val="008500E1"/>
    <w:rsid w:val="00852C11"/>
    <w:rsid w:val="00864D3E"/>
    <w:rsid w:val="00882CF2"/>
    <w:rsid w:val="008C1B18"/>
    <w:rsid w:val="00907FEF"/>
    <w:rsid w:val="00917853"/>
    <w:rsid w:val="00925573"/>
    <w:rsid w:val="00930E95"/>
    <w:rsid w:val="009321F2"/>
    <w:rsid w:val="00942E9E"/>
    <w:rsid w:val="0094618F"/>
    <w:rsid w:val="00952D86"/>
    <w:rsid w:val="00962BDA"/>
    <w:rsid w:val="00966407"/>
    <w:rsid w:val="00980134"/>
    <w:rsid w:val="009A1D88"/>
    <w:rsid w:val="009A5025"/>
    <w:rsid w:val="009B356F"/>
    <w:rsid w:val="009B6950"/>
    <w:rsid w:val="009E3636"/>
    <w:rsid w:val="00A478E9"/>
    <w:rsid w:val="00A603C7"/>
    <w:rsid w:val="00A675EF"/>
    <w:rsid w:val="00AC48A9"/>
    <w:rsid w:val="00AE4303"/>
    <w:rsid w:val="00B045A7"/>
    <w:rsid w:val="00B13DC5"/>
    <w:rsid w:val="00B35804"/>
    <w:rsid w:val="00B36F19"/>
    <w:rsid w:val="00B50710"/>
    <w:rsid w:val="00B64C4B"/>
    <w:rsid w:val="00BF5648"/>
    <w:rsid w:val="00C21175"/>
    <w:rsid w:val="00C541EA"/>
    <w:rsid w:val="00C62CA8"/>
    <w:rsid w:val="00C63DBD"/>
    <w:rsid w:val="00C71D9A"/>
    <w:rsid w:val="00C831B7"/>
    <w:rsid w:val="00C924FD"/>
    <w:rsid w:val="00C9440F"/>
    <w:rsid w:val="00CA64C5"/>
    <w:rsid w:val="00CC1F10"/>
    <w:rsid w:val="00CD6CB6"/>
    <w:rsid w:val="00D246E6"/>
    <w:rsid w:val="00D34665"/>
    <w:rsid w:val="00D358CE"/>
    <w:rsid w:val="00D43DF8"/>
    <w:rsid w:val="00D47C95"/>
    <w:rsid w:val="00D52B18"/>
    <w:rsid w:val="00D5741D"/>
    <w:rsid w:val="00D618EB"/>
    <w:rsid w:val="00D62190"/>
    <w:rsid w:val="00D7411C"/>
    <w:rsid w:val="00D92A1B"/>
    <w:rsid w:val="00DA088B"/>
    <w:rsid w:val="00DE089A"/>
    <w:rsid w:val="00DF2795"/>
    <w:rsid w:val="00DF6102"/>
    <w:rsid w:val="00E00DAA"/>
    <w:rsid w:val="00E01837"/>
    <w:rsid w:val="00E12081"/>
    <w:rsid w:val="00E31848"/>
    <w:rsid w:val="00E62547"/>
    <w:rsid w:val="00E84170"/>
    <w:rsid w:val="00EC3E4F"/>
    <w:rsid w:val="00ED3BE9"/>
    <w:rsid w:val="00EE4AC7"/>
    <w:rsid w:val="00EF236C"/>
    <w:rsid w:val="00EF46DA"/>
    <w:rsid w:val="00F00662"/>
    <w:rsid w:val="00F11A57"/>
    <w:rsid w:val="00F246CC"/>
    <w:rsid w:val="00F26A72"/>
    <w:rsid w:val="00F366A3"/>
    <w:rsid w:val="00F618AA"/>
    <w:rsid w:val="00F7267A"/>
    <w:rsid w:val="00F763E5"/>
    <w:rsid w:val="00F8602B"/>
    <w:rsid w:val="00FD61CD"/>
    <w:rsid w:val="00FE0114"/>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customStyle="1" w:styleId="heading1char0">
    <w:name w:val="heading1char"/>
    <w:basedOn w:val="DefaultParagraphFont"/>
    <w:rsid w:val="0042204C"/>
    <w:rPr>
      <w:rFonts w:ascii="Arial" w:hAnsi="Arial" w:cs="Arial" w:hint="default"/>
      <w:b/>
      <w:bCs/>
      <w:color w:val="334181"/>
    </w:rPr>
  </w:style>
  <w:style w:type="paragraph" w:styleId="NormalWeb">
    <w:name w:val="Normal (Web)"/>
    <w:basedOn w:val="Normal"/>
    <w:uiPriority w:val="99"/>
    <w:unhideWhenUsed/>
    <w:rsid w:val="00461702"/>
    <w:pPr>
      <w:spacing w:before="100" w:beforeAutospacing="1" w:after="100" w:afterAutospacing="1"/>
    </w:pPr>
    <w:rPr>
      <w:rFonts w:ascii="Times New Roman" w:hAnsi="Times New Roman"/>
      <w:color w:val="auto"/>
      <w:sz w:val="24"/>
      <w:szCs w:val="24"/>
    </w:rPr>
  </w:style>
  <w:style w:type="paragraph" w:styleId="BalloonText">
    <w:name w:val="Balloon Text"/>
    <w:basedOn w:val="Normal"/>
    <w:link w:val="BalloonTextChar"/>
    <w:uiPriority w:val="99"/>
    <w:semiHidden/>
    <w:unhideWhenUsed/>
    <w:rsid w:val="00461702"/>
    <w:rPr>
      <w:rFonts w:ascii="Tahoma" w:hAnsi="Tahoma" w:cs="Tahoma"/>
      <w:sz w:val="16"/>
      <w:szCs w:val="16"/>
    </w:rPr>
  </w:style>
  <w:style w:type="character" w:customStyle="1" w:styleId="BalloonTextChar">
    <w:name w:val="Balloon Text Char"/>
    <w:basedOn w:val="DefaultParagraphFont"/>
    <w:link w:val="BalloonText"/>
    <w:uiPriority w:val="99"/>
    <w:semiHidden/>
    <w:rsid w:val="00461702"/>
    <w:rPr>
      <w:rFonts w:ascii="Tahoma" w:hAnsi="Tahoma" w:cs="Tahoma"/>
      <w:color w:val="80808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6344">
      <w:bodyDiv w:val="1"/>
      <w:marLeft w:val="0"/>
      <w:marRight w:val="0"/>
      <w:marTop w:val="0"/>
      <w:marBottom w:val="0"/>
      <w:divBdr>
        <w:top w:val="none" w:sz="0" w:space="0" w:color="auto"/>
        <w:left w:val="none" w:sz="0" w:space="0" w:color="auto"/>
        <w:bottom w:val="none" w:sz="0" w:space="0" w:color="auto"/>
        <w:right w:val="none" w:sz="0" w:space="0" w:color="auto"/>
      </w:divBdr>
    </w:div>
    <w:div w:id="118494057">
      <w:bodyDiv w:val="1"/>
      <w:marLeft w:val="0"/>
      <w:marRight w:val="0"/>
      <w:marTop w:val="0"/>
      <w:marBottom w:val="0"/>
      <w:divBdr>
        <w:top w:val="none" w:sz="0" w:space="0" w:color="auto"/>
        <w:left w:val="none" w:sz="0" w:space="0" w:color="auto"/>
        <w:bottom w:val="none" w:sz="0" w:space="0" w:color="auto"/>
        <w:right w:val="none" w:sz="0" w:space="0" w:color="auto"/>
      </w:divBdr>
    </w:div>
    <w:div w:id="159321043">
      <w:bodyDiv w:val="1"/>
      <w:marLeft w:val="0"/>
      <w:marRight w:val="0"/>
      <w:marTop w:val="0"/>
      <w:marBottom w:val="0"/>
      <w:divBdr>
        <w:top w:val="none" w:sz="0" w:space="0" w:color="auto"/>
        <w:left w:val="none" w:sz="0" w:space="0" w:color="auto"/>
        <w:bottom w:val="none" w:sz="0" w:space="0" w:color="auto"/>
        <w:right w:val="none" w:sz="0" w:space="0" w:color="auto"/>
      </w:divBdr>
    </w:div>
    <w:div w:id="294216552">
      <w:bodyDiv w:val="1"/>
      <w:marLeft w:val="0"/>
      <w:marRight w:val="0"/>
      <w:marTop w:val="0"/>
      <w:marBottom w:val="0"/>
      <w:divBdr>
        <w:top w:val="none" w:sz="0" w:space="0" w:color="auto"/>
        <w:left w:val="none" w:sz="0" w:space="0" w:color="auto"/>
        <w:bottom w:val="none" w:sz="0" w:space="0" w:color="auto"/>
        <w:right w:val="none" w:sz="0" w:space="0" w:color="auto"/>
      </w:divBdr>
    </w:div>
    <w:div w:id="405537224">
      <w:bodyDiv w:val="1"/>
      <w:marLeft w:val="0"/>
      <w:marRight w:val="0"/>
      <w:marTop w:val="0"/>
      <w:marBottom w:val="0"/>
      <w:divBdr>
        <w:top w:val="none" w:sz="0" w:space="0" w:color="auto"/>
        <w:left w:val="none" w:sz="0" w:space="0" w:color="auto"/>
        <w:bottom w:val="none" w:sz="0" w:space="0" w:color="auto"/>
        <w:right w:val="none" w:sz="0" w:space="0" w:color="auto"/>
      </w:divBdr>
    </w:div>
    <w:div w:id="708141741">
      <w:bodyDiv w:val="1"/>
      <w:marLeft w:val="0"/>
      <w:marRight w:val="0"/>
      <w:marTop w:val="0"/>
      <w:marBottom w:val="0"/>
      <w:divBdr>
        <w:top w:val="none" w:sz="0" w:space="0" w:color="auto"/>
        <w:left w:val="none" w:sz="0" w:space="0" w:color="auto"/>
        <w:bottom w:val="none" w:sz="0" w:space="0" w:color="auto"/>
        <w:right w:val="none" w:sz="0" w:space="0" w:color="auto"/>
      </w:divBdr>
    </w:div>
    <w:div w:id="709963334">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 w:id="1347562486">
      <w:bodyDiv w:val="1"/>
      <w:marLeft w:val="0"/>
      <w:marRight w:val="0"/>
      <w:marTop w:val="0"/>
      <w:marBottom w:val="0"/>
      <w:divBdr>
        <w:top w:val="none" w:sz="0" w:space="0" w:color="auto"/>
        <w:left w:val="none" w:sz="0" w:space="0" w:color="auto"/>
        <w:bottom w:val="none" w:sz="0" w:space="0" w:color="auto"/>
        <w:right w:val="none" w:sz="0" w:space="0" w:color="auto"/>
      </w:divBdr>
    </w:div>
    <w:div w:id="1687246298">
      <w:bodyDiv w:val="1"/>
      <w:marLeft w:val="0"/>
      <w:marRight w:val="0"/>
      <w:marTop w:val="0"/>
      <w:marBottom w:val="0"/>
      <w:divBdr>
        <w:top w:val="none" w:sz="0" w:space="0" w:color="auto"/>
        <w:left w:val="none" w:sz="0" w:space="0" w:color="auto"/>
        <w:bottom w:val="none" w:sz="0" w:space="0" w:color="auto"/>
        <w:right w:val="none" w:sz="0" w:space="0" w:color="auto"/>
      </w:divBdr>
    </w:div>
    <w:div w:id="1787848556">
      <w:bodyDiv w:val="1"/>
      <w:marLeft w:val="0"/>
      <w:marRight w:val="0"/>
      <w:marTop w:val="0"/>
      <w:marBottom w:val="0"/>
      <w:divBdr>
        <w:top w:val="none" w:sz="0" w:space="0" w:color="auto"/>
        <w:left w:val="none" w:sz="0" w:space="0" w:color="auto"/>
        <w:bottom w:val="none" w:sz="0" w:space="0" w:color="auto"/>
        <w:right w:val="none" w:sz="0" w:space="0" w:color="auto"/>
      </w:divBdr>
    </w:div>
    <w:div w:id="20861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User Name</dc:creator>
  <cp:lastModifiedBy>home123</cp:lastModifiedBy>
  <cp:revision>4</cp:revision>
  <dcterms:created xsi:type="dcterms:W3CDTF">2013-02-11T22:02:00Z</dcterms:created>
  <dcterms:modified xsi:type="dcterms:W3CDTF">2013-02-12T20:57:00Z</dcterms:modified>
</cp:coreProperties>
</file>