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Caro, estudante.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Agora que você se apropriou dos conteúdos abordados e das situações-problema nesta disciplina, chegou o momento de testar seus conhecimentos.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Escolha uma das 3 situações-problema que você leu no material e proponha um </w:t>
        <w:br/>
        <w:t>projeto de intervenção. Você deve descrever: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como você pretende solucionar a situação-problema escolhida;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  <w:bCs/>
        </w:rPr>
        <w:t>Revisão de Conceito:</w:t>
      </w:r>
      <w:r>
        <w:rPr>
          <w:rFonts w:cs="Arial" w:ascii="Arial" w:hAnsi="Arial"/>
        </w:rPr>
        <w:t xml:space="preserve"> conhecimentos adquiridos no curso utilizados como base de estudo;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Metodologia:</w:t>
      </w:r>
      <w:r>
        <w:rPr>
          <w:rFonts w:cs="Arial" w:ascii="Arial" w:hAnsi="Arial"/>
        </w:rPr>
        <w:t xml:space="preserve"> qual abordagem, técnica ou processo usados para resolver o problema indicado;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  <w:bCs/>
        </w:rPr>
        <w:t>Tempo:</w:t>
      </w:r>
      <w:r>
        <w:rPr>
          <w:rFonts w:cs="Arial" w:ascii="Arial" w:hAnsi="Arial"/>
        </w:rPr>
        <w:t xml:space="preserve"> quanto tempo gastou para a solução;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Procedimento:</w:t>
      </w:r>
      <w:r>
        <w:rPr>
          <w:rFonts w:cs="Arial" w:ascii="Arial" w:hAnsi="Arial"/>
        </w:rPr>
        <w:t xml:space="preserve"> indique o passo-a-passo para a resolução, e possíveis </w:t>
        <w:br/>
        <w:t>materiais utilizados;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Resultado:</w:t>
      </w:r>
      <w:r>
        <w:rPr>
          <w:rFonts w:cs="Arial" w:ascii="Arial" w:hAnsi="Arial"/>
        </w:rPr>
        <w:t xml:space="preserve"> o que resultou o processo.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Nome: </w:t>
      </w:r>
      <w:r>
        <w:rPr>
          <w:rFonts w:cs="Arial" w:ascii="Arial" w:hAnsi="Arial"/>
        </w:rPr>
        <w:t>Julio Cezar Costa Alves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RGM: 39909549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Qual situação-problema você escolheu para criar o seu projeto de intervenção?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sdt>
        <w:sdtPr>
          <w:id w:val="-1599010589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Arial" w:ascii="MS Gothic" w:hAnsi="MS Gothic"/>
            </w:rPr>
          </w:r>
          <w:r>
            <w:rPr>
              <w:rFonts w:eastAsia="MS Gothic" w:cs="Arial" w:ascii="MS Gothic" w:hAnsi="MS Gothic"/>
            </w:rPr>
            <w:t>☐</w:t>
          </w:r>
          <w:r>
            <w:rPr>
              <w:rFonts w:eastAsia="MS Gothic" w:cs="Arial" w:ascii="MS Gothic" w:hAnsi="MS Gothic"/>
            </w:rPr>
          </w:r>
        </w:sdtContent>
      </w:sdt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Situação-problema 1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sdt>
        <w:sdtPr>
          <w:id w:val="-664313077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</w:rPr>
          </w:r>
          <w:r>
            <w:rPr>
              <w:rFonts w:eastAsia="MS Gothic" w:cs="Segoe UI Symbol" w:ascii="Segoe UI Symbol" w:hAnsi="Segoe UI Symbol"/>
            </w:rPr>
            <w:t>☒</w:t>
          </w:r>
          <w:r>
            <w:rPr>
              <w:rFonts w:eastAsia="MS Gothic" w:cs="Segoe UI Symbol" w:ascii="Segoe UI Symbol" w:hAnsi="Segoe UI Symbol"/>
            </w:rPr>
          </w:r>
        </w:sdtContent>
      </w:sdt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Situação-problema </w:t>
      </w:r>
      <w:r>
        <w:rPr>
          <w:rFonts w:cs="Arial" w:ascii="Arial" w:hAnsi="Arial"/>
        </w:rPr>
        <w:t>2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sdt>
        <w:sdtPr>
          <w:id w:val="108765726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</w:rPr>
          </w:r>
          <w:r>
            <w:rPr>
              <w:rFonts w:eastAsia="MS Gothic" w:cs="Segoe UI Symbol" w:ascii="Segoe UI Symbol" w:hAnsi="Segoe UI Symbol"/>
            </w:rPr>
            <w:t>☐</w:t>
          </w:r>
        </w:sdtContent>
      </w:sdt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Situação-problema </w:t>
      </w:r>
      <w:r>
        <w:rPr>
          <w:rFonts w:cs="Arial" w:ascii="Arial" w:hAnsi="Arial"/>
        </w:rPr>
        <w:t>3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815" distB="59690" distL="112395" distR="131445" simplePos="0" locked="0" layoutInCell="0" allowOverlap="1" relativeHeight="13" wp14:anchorId="42EC8680">
                <wp:simplePos x="0" y="0"/>
                <wp:positionH relativeFrom="margin">
                  <wp:align>right</wp:align>
                </wp:positionH>
                <wp:positionV relativeFrom="paragraph">
                  <wp:posOffset>264795</wp:posOffset>
                </wp:positionV>
                <wp:extent cx="5372100" cy="1318260"/>
                <wp:effectExtent l="1905" t="1905" r="1905" b="1905"/>
                <wp:wrapSquare wrapText="bothSides"/>
                <wp:docPr id="1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131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19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A situação-problema aborda como uma iniciativa pode sensibilizar sobre a igualdade de gênero (</w:t>
                            </w:r>
                            <w:hyperlink r:id="rId2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ODS 5 da ONU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) no meio acadêmico e profissional de TI. Na Engenharia de Software, persistem a sub-representação feminina, vieses inconscientes e baixa presença de mulheres na liderança (metas 5.1, 5.5 e 5.b do </w:t>
                            </w:r>
                            <w:hyperlink r:id="rId3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IPEA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), exigindo ações educativas para construir ambientes mais equitativos.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20.85pt;width:422.95pt;height:103.75pt;mso-wrap-style:square;v-text-anchor:top;mso-position-horizontal:right;mso-position-horizontal-relative:margin" wp14:anchorId="42EC8680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19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A situação-problema aborda como uma iniciativa pode sensibilizar sobre a igualdade de gênero (</w:t>
                      </w:r>
                      <w:hyperlink r:id="rId4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ODS 5 da ONU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) no meio acadêmico e profissional de TI. Na Engenharia de Software, persistem a sub-representação feminina, vieses inconscientes e baixa presença de mulheres na liderança (metas 5.1, 5.5 e 5.b do </w:t>
                      </w:r>
                      <w:hyperlink r:id="rId5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IPEA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), exigindo ações educativas para construir ambientes mais equitativos.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A Situação-Problema escolhida: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43815" distB="59055" distL="112395" distR="131445" simplePos="0" locked="0" layoutInCell="0" allowOverlap="1" relativeHeight="7" wp14:anchorId="2D56FD51">
                <wp:simplePos x="0" y="0"/>
                <wp:positionH relativeFrom="column">
                  <wp:posOffset>-104140</wp:posOffset>
                </wp:positionH>
                <wp:positionV relativeFrom="paragraph">
                  <wp:posOffset>87630</wp:posOffset>
                </wp:positionV>
                <wp:extent cx="5372100" cy="861060"/>
                <wp:effectExtent l="1905" t="1905" r="1905" b="1905"/>
                <wp:wrapSquare wrapText="bothSides"/>
                <wp:docPr id="2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86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09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Implementar a campanha e plataforma web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MenHelpHer -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ODS 5”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para sensibilizar estudantes, docentes e profissionais de Engenharia de Software sobre vieses de gênero, divulgar indicadores de paridade em TI e fomentar lideranças femininas.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6.9pt;width:422.95pt;height:67.75pt;mso-wrap-style:square;v-text-anchor:top" wp14:anchorId="2D56FD51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09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Implementar a campanha e plataforma web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MenHelpHer -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ODS 5”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para sensibilizar estudantes, docentes e profissionais de Engenharia de Software sobre vieses de gênero, divulgar indicadores de paridade em TI e fomentar lideranças femininas.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180" distB="57785" distL="112395" distR="131445" simplePos="0" locked="0" layoutInCell="0" allowOverlap="1" relativeHeight="15" wp14:anchorId="44D1E877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5372100" cy="1339215"/>
                <wp:effectExtent l="1905" t="2540" r="1905" b="1270"/>
                <wp:wrapSquare wrapText="bothSides"/>
                <wp:docPr id="3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13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09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Utilizaram-se conceitos de Engenharia de Requisitos (elicitação de requisitos funcionais e não funcionais de acessibilidade), Interação Humano-Computador (UX/UI inclusiva), Desenvolvimento Web (Python/Django e HTML5/CSS3), Ciência de Dados (indicadores do </w:t>
                            </w:r>
                            <w:hyperlink r:id="rId6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ODS 5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) e Ética Profissional em Engenharia de Software (Código ACM/IEEE), unindo técnica e responsabilidade social.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20pt;width:422.95pt;height:105.4pt;mso-wrap-style:square;v-text-anchor:top;mso-position-horizontal:right;mso-position-horizontal-relative:margin" wp14:anchorId="44D1E877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09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Utilizaram-se conceitos de Engenharia de Requisitos (elicitação de requisitos funcionais e não funcionais de acessibilidade), Interação Humano-Computador (UX/UI inclusiva), Desenvolvimento Web (Python/Django e HTML5/CSS3), Ciência de Dados (indicadores do </w:t>
                      </w:r>
                      <w:hyperlink r:id="rId7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ODS 5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) e Ética Profissional em Engenharia de Software (Código ACM/IEEE), unindo técnica e responsabilidade social.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Revisão de Conceito: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mc:AlternateContent>
          <mc:Choice Requires="wps">
            <w:drawing>
              <wp:anchor behindDoc="0" distT="43180" distB="57785" distL="112395" distR="131445" simplePos="0" locked="0" layoutInCell="0" allowOverlap="1" relativeHeight="17" wp14:anchorId="2B5048FD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5372100" cy="1339215"/>
                <wp:effectExtent l="1905" t="2540" r="1905" b="1270"/>
                <wp:wrapSquare wrapText="bothSides"/>
                <wp:docPr id="4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13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09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Será adotada a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metodologia híbrida unindo Design Thinking (imersão, ideação e prototipação da campanha) e o framework ágil Scrum para construir o portal web. A ação baseia-se nas diretrizes do </w:t>
                            </w:r>
                            <w:hyperlink r:id="rId8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Programa Meninas Digitais (SBC)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e do movimento </w:t>
                            </w:r>
                            <w:hyperlink r:id="rId9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ElesPorElas/HeForShe (ONU Mulheres)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, combinando gamificação educativa (quiz de vieses), dados abertos e roda de conversa.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19.2pt;width:422.95pt;height:105.4pt;mso-wrap-style:square;v-text-anchor:top;mso-position-horizontal:right;mso-position-horizontal-relative:margin" wp14:anchorId="2B5048FD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09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Será adotada a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metodologia híbrida unindo Design Thinking (imersão, ideação e prototipação da campanha) e o framework ágil Scrum para construir o portal web. A ação baseia-se nas diretrizes do </w:t>
                      </w:r>
                      <w:hyperlink r:id="rId10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Programa Meninas Digitais (SBC)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e do movimento </w:t>
                      </w:r>
                      <w:hyperlink r:id="rId11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ElesPorElas/HeForShe (ONU Mulheres)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, combinando gamificação educativa (quiz de vieses), dados abertos e roda de conversa.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Metodologia: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mc:AlternateContent>
          <mc:Choice Requires="wps">
            <w:drawing>
              <wp:anchor behindDoc="0" distT="43180" distB="57785" distL="112395" distR="131445" simplePos="0" locked="0" layoutInCell="0" allowOverlap="1" relativeHeight="5" wp14:anchorId="3CBAF18D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5372100" cy="1243965"/>
                <wp:effectExtent l="1905" t="2540" r="1905" b="1270"/>
                <wp:wrapSquare wrapText="bothSides"/>
                <wp:docPr id="5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124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9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(1) Pesquisa sobre o ODS 5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campanhas de referência: 6h; </w:t>
                            </w:r>
                          </w:p>
                          <w:p>
                            <w:pPr>
                              <w:pStyle w:val="Contedodoquadro"/>
                              <w:spacing w:lineRule="auto" w:line="29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(2) Elicitação de requisitos e prototipação no Figma: 6h; </w:t>
                            </w:r>
                          </w:p>
                          <w:p>
                            <w:pPr>
                              <w:pStyle w:val="Contedodoquadro"/>
                              <w:spacing w:lineRule="auto" w:line="29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(3) Desenvolvimento do portal web, painel de indicadores e quiz interativo: 12h; </w:t>
                            </w:r>
                          </w:p>
                          <w:p>
                            <w:pPr>
                              <w:pStyle w:val="Contedodoquadro"/>
                              <w:spacing w:lineRule="auto" w:line="29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(4) Produção de materiais de comunicação: 4h; </w:t>
                            </w:r>
                          </w:p>
                          <w:p>
                            <w:pPr>
                              <w:pStyle w:val="Contedodoquadro"/>
                              <w:spacing w:lineRule="auto" w:line="29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(5) Execução da Semana de Sensibilização e roda de conversa: 8h; </w:t>
                            </w:r>
                          </w:p>
                          <w:p>
                            <w:pPr>
                              <w:pStyle w:val="Contedodoquadro"/>
                              <w:spacing w:lineRule="auto" w:line="29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(6) Análise de métricas: 4h.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Tempo total: 40 horas (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semana).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20.45pt;width:422.95pt;height:97.9pt;mso-wrap-style:square;v-text-anchor:top;mso-position-horizontal:right;mso-position-horizontal-relative:margin" wp14:anchorId="3CBAF18D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29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(1) Pesquisa sobre o ODS 5 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campanhas de referência: 6h; </w:t>
                      </w:r>
                    </w:p>
                    <w:p>
                      <w:pPr>
                        <w:pStyle w:val="Contedodoquadro"/>
                        <w:spacing w:lineRule="auto" w:line="29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(2) Elicitação de requisitos e prototipação no Figma: 6h; </w:t>
                      </w:r>
                    </w:p>
                    <w:p>
                      <w:pPr>
                        <w:pStyle w:val="Contedodoquadro"/>
                        <w:spacing w:lineRule="auto" w:line="29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(3) Desenvolvimento do portal web, painel de indicadores e quiz interativo: 12h; </w:t>
                      </w:r>
                    </w:p>
                    <w:p>
                      <w:pPr>
                        <w:pStyle w:val="Contedodoquadro"/>
                        <w:spacing w:lineRule="auto" w:line="29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(4) Produção de materiais de comunicação: 4h; </w:t>
                      </w:r>
                    </w:p>
                    <w:p>
                      <w:pPr>
                        <w:pStyle w:val="Contedodoquadro"/>
                        <w:spacing w:lineRule="auto" w:line="29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(5) Execução da Semana de Sensibilização e roda de conversa: 8h; </w:t>
                      </w:r>
                    </w:p>
                    <w:p>
                      <w:pPr>
                        <w:pStyle w:val="Contedodoquadro"/>
                        <w:spacing w:lineRule="auto" w:line="29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(6) Análise de métricas: 4h.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Tempo total: 40 horas (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semana).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Tempo: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mc:AlternateContent>
          <mc:Choice Requires="wps">
            <w:drawing>
              <wp:anchor behindDoc="0" distT="43180" distB="56515" distL="112395" distR="131445" simplePos="0" locked="0" layoutInCell="0" allowOverlap="1" relativeHeight="9" wp14:anchorId="08F55FCB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5372100" cy="2997835"/>
                <wp:effectExtent l="1905" t="2540" r="1905" b="1270"/>
                <wp:wrapSquare wrapText="bothSides"/>
                <wp:docPr id="6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299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00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Público-alvo: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Discentes, docentes e profissionais de Engenharia de Software e TI.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Etapas e atividades: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(1) Curadoria de indicadores oficiais da </w:t>
                            </w:r>
                            <w:hyperlink r:id="rId12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ONU Brasil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hyperlink r:id="rId13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IPEA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e </w:t>
                            </w:r>
                            <w:hyperlink r:id="rId14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SBC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sobre participação feminina em computação; (2) Prototipação de interface acessível e responsiva (Mobile-First); (3) Construção da aplicação web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EquiTech ODS 5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com três módulos: painel de dados sobre equidade salarial e liderança (meta 5.5), simulador gamificado de situações reais de trabalho (identificação de vieses em code reviews, reuniões diárias e processos seletivos) e mural digital de compromissos inspirado na campanha </w:t>
                            </w:r>
                            <w:hyperlink r:id="rId15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HeForShe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; (4) Mobilização híbrida com cartazes com QR Code nos laboratórios e AVA, aliada a um painel com engenheiras de software convidadas; (5) Avaliação de impacto por formulário eletrônico.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Recursos e ferramentas: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VS Code, Python/Django, Git/GitHub, Figma, Canva, Google Forms, projetor multimídia e computadores dos laboratórios.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22pt;width:422.95pt;height:236pt;mso-wrap-style:square;v-text-anchor:top;mso-position-horizontal:right;mso-position-horizontal-relative:margin" wp14:anchorId="08F55FCB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00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Público-alvo: 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Discentes, docentes e profissionais de Engenharia de Software e TI.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Etapas e atividades: 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(1) Curadoria de indicadores oficiais da </w:t>
                      </w:r>
                      <w:hyperlink r:id="rId16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ONU Brasil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hyperlink r:id="rId17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IPEA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e </w:t>
                      </w:r>
                      <w:hyperlink r:id="rId18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SBC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sobre participação feminina em computação; (2) Prototipação de interface acessível e responsiva (Mobile-First); (3) Construção da aplicação web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EquiTech ODS 5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com três módulos: painel de dados sobre equidade salarial e liderança (meta 5.5), simulador gamificado de situações reais de trabalho (identificação de vieses em code reviews, reuniões diárias e processos seletivos) e mural digital de compromissos inspirado na campanha </w:t>
                      </w:r>
                      <w:hyperlink r:id="rId19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HeForShe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; (4) Mobilização híbrida com cartazes com QR Code nos laboratórios e AVA, aliada a um painel com engenheiras de software convidadas; (5) Avaliação de impacto por formulário eletrônico.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Recursos e ferramentas: 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VS Code, Python/Django, Git/GitHub, Figma, Canva, Google Forms, projetor multimídia e computadores dos laboratórios.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Procedimento e material utilizado: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160"/>
        <w:rPr>
          <w:rFonts w:ascii="Arial" w:hAnsi="Arial" w:cs="Arial"/>
        </w:rPr>
      </w:pPr>
      <w:r>
        <mc:AlternateContent>
          <mc:Choice Requires="wps">
            <w:drawing>
              <wp:anchor behindDoc="0" distT="43815" distB="61595" distL="112395" distR="131445" simplePos="0" locked="0" layoutInCell="0" allowOverlap="1" relativeHeight="11" wp14:anchorId="4C24EBE8">
                <wp:simplePos x="0" y="0"/>
                <wp:positionH relativeFrom="margin">
                  <wp:align>right</wp:align>
                </wp:positionH>
                <wp:positionV relativeFrom="paragraph">
                  <wp:posOffset>335280</wp:posOffset>
                </wp:positionV>
                <wp:extent cx="5372100" cy="3944620"/>
                <wp:effectExtent l="1905" t="1905" r="1905" b="1905"/>
                <wp:wrapSquare wrapText="bothSides"/>
                <wp:docPr id="7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394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09" w:before="0" w:after="0"/>
                              <w:jc w:val="both"/>
                              <w:rPr/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A aplicação do procedimento resultou na implantação do portal interativo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MenHelpHer -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ODS 5”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ODS 5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e no engajamento ativo da comunidade acadêmica e profissional em torno das metas 5.1, 5.5 e 5.b da Agenda 2030. A combinação entre evidências estatísticas (dados do </w:t>
                            </w:r>
                            <w:hyperlink r:id="rId20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IPEA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e da </w:t>
                            </w:r>
                            <w:hyperlink r:id="rId21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ONU Brasil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) e o simulador prático de situações cotidianas permitiu que estudantes e desenvolvedores reconhecessem microagressões e vieses inconscientes que ocorrem em revisões de código, divisão de tarefas de arquitetura e dinâmicas de equipe. O mural digital registrou adesões voluntárias de alunos e professores a práticas de inclusão, mostrando que referências como o </w:t>
                            </w:r>
                            <w:hyperlink r:id="rId22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Programa Meninas Digitais (SBC)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e a campanha </w:t>
                            </w:r>
                            <w:hyperlink r:id="rId23">
                              <w:r>
                                <w:rPr>
                                  <w:rStyle w:val="ListLabel10"/>
                                  <w:rFonts w:cs="Arial" w:ascii="Arial" w:hAnsi="Arial"/>
                                  <w:color w:val="0563C1"/>
                                  <w:sz w:val="22"/>
                                  <w:szCs w:val="22"/>
                                  <w:u w:val="single"/>
                                </w:rPr>
                                <w:t>ElesPorElas (ONU Mulheres)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mobilizam tanto mulheres quanto aliados masculinos na promoção de ambientes seguros.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Comentários finais: 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22"/>
                                <w:szCs w:val="22"/>
                              </w:rPr>
                              <w:t>O projeto demonstra que a Engenharia de Software é uma atividade sociotécnica; desenvolver sistemas confiáveis, éticos e sem vieses algorítmicos exige equipes plurais e equidade de oportunidades desde a formação universitária até a liderança na indústria.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path="m0,0l-2147483645,0l-2147483645,-2147483646l0,-2147483646xe" fillcolor="white" stroked="t" o:allowincell="f" style="position:absolute;margin-left:-8.2pt;margin-top:26.4pt;width:422.95pt;height:310.55pt;mso-wrap-style:square;v-text-anchor:top;mso-position-horizontal:right;mso-position-horizontal-relative:margin" wp14:anchorId="4C24EBE8">
                <v:fill o:detectmouseclick="t" type="solid" color2="black"/>
                <v:stroke color="gray" weight="3240" joinstyle="miter" endcap="flat"/>
                <v:textbox>
                  <w:txbxContent>
                    <w:p>
                      <w:pPr>
                        <w:pStyle w:val="Contedodoquadro"/>
                        <w:spacing w:lineRule="auto" w:line="309" w:before="0" w:after="0"/>
                        <w:jc w:val="both"/>
                        <w:rPr/>
                      </w:pP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A aplicação do procedimento resultou na implantação do portal interativo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MenHelpHer -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ODS 5”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ODS 5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e no engajamento ativo da comunidade acadêmica e profissional em torno das metas 5.1, 5.5 e 5.b da Agenda 2030. A combinação entre evidências estatísticas (dados do </w:t>
                      </w:r>
                      <w:hyperlink r:id="rId24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IPEA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e da </w:t>
                      </w:r>
                      <w:hyperlink r:id="rId25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ONU Brasil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) e o simulador prático de situações cotidianas permitiu que estudantes e desenvolvedores reconhecessem microagressões e vieses inconscientes que ocorrem em revisões de código, divisão de tarefas de arquitetura e dinâmicas de equipe. O mural digital registrou adesões voluntárias de alunos e professores a práticas de inclusão, mostrando que referências como o </w:t>
                      </w:r>
                      <w:hyperlink r:id="rId26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Programa Meninas Digitais (SBC)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e a campanha </w:t>
                      </w:r>
                      <w:hyperlink r:id="rId27">
                        <w:r>
                          <w:rPr>
                            <w:rStyle w:val="ListLabel10"/>
                            <w:rFonts w:cs="Arial" w:ascii="Arial" w:hAnsi="Arial"/>
                            <w:color w:val="0563C1"/>
                            <w:sz w:val="22"/>
                            <w:szCs w:val="22"/>
                            <w:u w:val="single"/>
                          </w:rPr>
                          <w:t>ElesPorElas (ONU Mulheres)</w:t>
                        </w:r>
                      </w:hyperlink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 xml:space="preserve"> mobilizam tanto mulheres quanto aliados masculinos na promoção de ambientes seguros. 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Comentários finais: </w:t>
                      </w:r>
                      <w:r>
                        <w:rPr>
                          <w:rFonts w:cs="Arial" w:ascii="Arial" w:hAnsi="Arial"/>
                          <w:color w:val="000000"/>
                          <w:sz w:val="22"/>
                          <w:szCs w:val="22"/>
                        </w:rPr>
                        <w:t>O projeto demonstra que a Engenharia de Software é uma atividade sociotécnica; desenvolver sistemas confiáveis, éticos e sem vieses algorítmicos exige equipes plurais e equidade de oportunidades desde a formação universitária até a liderança na indústria.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Resultado e discussão</w:t>
      </w:r>
      <w:r>
        <w:rPr>
          <w:rFonts w:cs="Arial" w:ascii="Arial" w:hAnsi="Arial"/>
        </w:rPr>
        <w:t>:</w:t>
      </w:r>
    </w:p>
    <w:sectPr>
      <w:headerReference w:type="even" r:id="rId28"/>
      <w:headerReference w:type="default" r:id="rId29"/>
      <w:headerReference w:type="first" r:id="rId30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510665"/>
          <wp:effectExtent l="0" t="0" r="0" b="0"/>
          <wp:wrapNone/>
          <wp:docPr id="8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510665"/>
          <wp:effectExtent l="0" t="0" r="0" b="0"/>
          <wp:wrapNone/>
          <wp:docPr id="9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6a26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rasil.un.org/pt-br/sdgs/5" TargetMode="External"/><Relationship Id="rId3" Type="http://schemas.openxmlformats.org/officeDocument/2006/relationships/hyperlink" Target="https://www.ipea.gov.br/ods/ods5.html" TargetMode="External"/><Relationship Id="rId4" Type="http://schemas.openxmlformats.org/officeDocument/2006/relationships/hyperlink" Target="https://brasil.un.org/pt-br/sdgs/5" TargetMode="External"/><Relationship Id="rId5" Type="http://schemas.openxmlformats.org/officeDocument/2006/relationships/hyperlink" Target="https://www.ipea.gov.br/ods/ods5.html" TargetMode="External"/><Relationship Id="rId6" Type="http://schemas.openxmlformats.org/officeDocument/2006/relationships/hyperlink" Target="https://brasil.un.org/pt-br/sdgs/5" TargetMode="External"/><Relationship Id="rId7" Type="http://schemas.openxmlformats.org/officeDocument/2006/relationships/hyperlink" Target="https://brasil.un.org/pt-br/sdgs/5" TargetMode="External"/><Relationship Id="rId8" Type="http://schemas.openxmlformats.org/officeDocument/2006/relationships/hyperlink" Target="https://meninas.sbc.org.br/" TargetMode="External"/><Relationship Id="rId9" Type="http://schemas.openxmlformats.org/officeDocument/2006/relationships/hyperlink" Target="https://www.onumulheres.org.br/elesporelas/" TargetMode="External"/><Relationship Id="rId10" Type="http://schemas.openxmlformats.org/officeDocument/2006/relationships/hyperlink" Target="https://meninas.sbc.org.br/" TargetMode="External"/><Relationship Id="rId11" Type="http://schemas.openxmlformats.org/officeDocument/2006/relationships/hyperlink" Target="https://www.onumulheres.org.br/elesporelas/" TargetMode="External"/><Relationship Id="rId12" Type="http://schemas.openxmlformats.org/officeDocument/2006/relationships/hyperlink" Target="https://brasil.un.org/pt-br/sdgs/5" TargetMode="External"/><Relationship Id="rId13" Type="http://schemas.openxmlformats.org/officeDocument/2006/relationships/hyperlink" Target="https://www.ipea.gov.br/ods/ods5.html" TargetMode="External"/><Relationship Id="rId14" Type="http://schemas.openxmlformats.org/officeDocument/2006/relationships/hyperlink" Target="https://meninas.sbc.org.br/" TargetMode="External"/><Relationship Id="rId15" Type="http://schemas.openxmlformats.org/officeDocument/2006/relationships/hyperlink" Target="https://www.onumulheres.org.br/elesporelas/" TargetMode="External"/><Relationship Id="rId16" Type="http://schemas.openxmlformats.org/officeDocument/2006/relationships/hyperlink" Target="https://brasil.un.org/pt-br/sdgs/5" TargetMode="External"/><Relationship Id="rId17" Type="http://schemas.openxmlformats.org/officeDocument/2006/relationships/hyperlink" Target="https://www.ipea.gov.br/ods/ods5.html" TargetMode="External"/><Relationship Id="rId18" Type="http://schemas.openxmlformats.org/officeDocument/2006/relationships/hyperlink" Target="https://meninas.sbc.org.br/" TargetMode="External"/><Relationship Id="rId19" Type="http://schemas.openxmlformats.org/officeDocument/2006/relationships/hyperlink" Target="https://www.onumulheres.org.br/elesporelas/" TargetMode="External"/><Relationship Id="rId20" Type="http://schemas.openxmlformats.org/officeDocument/2006/relationships/hyperlink" Target="https://www.ipea.gov.br/ods/ods5.html" TargetMode="External"/><Relationship Id="rId21" Type="http://schemas.openxmlformats.org/officeDocument/2006/relationships/hyperlink" Target="https://brasil.un.org/pt-br/sdgs/5" TargetMode="External"/><Relationship Id="rId22" Type="http://schemas.openxmlformats.org/officeDocument/2006/relationships/hyperlink" Target="https://meninas.sbc.org.br/" TargetMode="External"/><Relationship Id="rId23" Type="http://schemas.openxmlformats.org/officeDocument/2006/relationships/hyperlink" Target="https://www.onumulheres.org.br/elesporelas/" TargetMode="External"/><Relationship Id="rId24" Type="http://schemas.openxmlformats.org/officeDocument/2006/relationships/hyperlink" Target="https://www.ipea.gov.br/ods/ods5.html" TargetMode="External"/><Relationship Id="rId25" Type="http://schemas.openxmlformats.org/officeDocument/2006/relationships/hyperlink" Target="https://brasil.un.org/pt-br/sdgs/5" TargetMode="External"/><Relationship Id="rId26" Type="http://schemas.openxmlformats.org/officeDocument/2006/relationships/hyperlink" Target="https://meninas.sbc.org.br/" TargetMode="External"/><Relationship Id="rId27" Type="http://schemas.openxmlformats.org/officeDocument/2006/relationships/hyperlink" Target="https://www.onumulheres.org.br/elesporelas/" TargetMode="External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header" Target="header3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3</Pages>
  <Words>683</Words>
  <Characters>4088</Characters>
  <CharactersWithSpaces>4742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2023-12-13T17:03:00Z</dcterms:created>
  <dc:creator>Patrick William Pessoa</dc:creator>
  <dc:description/>
  <dc:language>pt-BR</dc:language>
  <cp:lastModifiedBy/>
  <dcterms:modified xsi:type="dcterms:W3CDTF">2026-10-16T14:36:47Z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