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6: Suspected disabling events by flag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34"/>
        <w:gridCol w:w="2025"/>
        <w:gridCol w:w="1438"/>
        <w:gridCol w:w="1401"/>
      </w:tblGrid>
      <w:tr>
        <w:trPr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Disabling events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Gap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 lost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Sri Lanka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10.4%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4.6%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Taiwan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1.5%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Réunion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650.2%</w:t>
            </w:r>
          </w:p>
        </w:tc>
      </w:tr>
      <w:tr>
        <w:trPr>
          <w:trHeight w:val="577" w:hRule="auto"/>
        </w:trPr>
        body6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Korea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154.7%</w:t>
            </w:r>
          </w:p>
        </w:tc>
      </w:tr>
      <w:tr>
        <w:trPr>
          <w:trHeight w:val="600" w:hRule="auto"/>
        </w:trPr>
        body7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3,373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2022-11-14T13:22:03Z</dcterms:modified>
  <cp:category/>
</cp:coreProperties>
</file>