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1: Apparent foreign fishing by year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122"/>
        <w:gridCol w:w="1731"/>
        <w:gridCol w:w="1915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Fishing-kW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vessels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78,264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273,324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628,230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773,974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1,753,792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4,218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In 2016, fishing-kW hours and fishing vessels are zero while fishing hours is not because the first two variables come from data with a .1 degree resolution while fishing hours data have a resolution of .01 degrees.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2022-11-17T09:53:25Z</dcterms:modified>
  <cp:category/>
</cp:coreProperties>
</file>