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4-2</w:t>
      </w:r>
      <w:r>
        <w:t xml:space="preserve"> </w:t>
      </w:r>
      <w:r>
        <w:t xml:space="preserve">Practice</w:t>
      </w:r>
      <w:r>
        <w:t xml:space="preserve"> </w:t>
      </w:r>
      <w:r>
        <w:t xml:space="preserve">Quiz</w:t>
      </w:r>
    </w:p>
    <w:p>
      <w:pPr>
        <w:pStyle w:val="Author"/>
      </w:pPr>
      <w:r>
        <w:t xml:space="preserve">®γσ,</w:t>
      </w:r>
      <w:r>
        <w:t xml:space="preserve"> </w:t>
      </w:r>
      <w:r>
        <w:t xml:space="preserve">Eng</w:t>
      </w:r>
      <w:r>
        <w:t xml:space="preserve"> </w:t>
      </w:r>
      <w:r>
        <w:t xml:space="preserve">Lian</w:t>
      </w:r>
      <w:r>
        <w:t xml:space="preserve"> </w:t>
      </w:r>
      <w:r>
        <w:t xml:space="preserve">Hu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11,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lesson-4-2-practice-quiz"/>
      <w:bookmarkEnd w:id="21"/>
      <w:r>
        <w:t xml:space="preserve">Lesson 4-2 Practice Quiz</w:t>
      </w:r>
    </w:p>
    <w:p>
      <w:pPr>
        <w:pStyle w:val="FirstParagraph"/>
      </w:pPr>
      <w:r>
        <w:rPr>
          <w:i/>
        </w:rPr>
        <w:t xml:space="preserve">1/1 points earned (100%)</w:t>
      </w:r>
    </w:p>
    <w:p>
      <w:pPr>
        <w:pStyle w:val="BodyText"/>
      </w:pPr>
      <w:r>
        <w:rPr>
          <w:b/>
        </w:rPr>
        <w:t xml:space="preserve">Excellent!</w:t>
      </w:r>
    </w:p>
    <w:p>
      <w:pPr>
        <w:pStyle w:val="BodyText"/>
      </w:pPr>
      <w:r>
        <w:rPr>
          <w:i/>
        </w:rPr>
        <w:t xml:space="preserve">Correct 1/1 points</w:t>
      </w:r>
    </w:p>
    <w:p>
      <w:pPr>
        <w:pStyle w:val="Compact"/>
        <w:numPr>
          <w:numId w:val="1001"/>
          <w:ilvl w:val="0"/>
        </w:numPr>
      </w:pPr>
      <w:r>
        <w:t xml:space="preserve">The weighted-average contribution margin is computed for each product separately.</w:t>
      </w:r>
    </w:p>
    <w:p>
      <w:pPr>
        <w:pStyle w:val="Compact"/>
        <w:numPr>
          <w:numId w:val="1002"/>
          <w:ilvl w:val="0"/>
        </w:numPr>
      </w:pPr>
      <w:r>
        <w:t xml:space="preserve">A. TRUE</w:t>
      </w:r>
    </w:p>
    <w:p>
      <w:pPr>
        <w:numPr>
          <w:numId w:val="1002"/>
          <w:ilvl w:val="0"/>
        </w:numPr>
      </w:pPr>
      <w:r>
        <w:rPr>
          <w:b/>
        </w:rPr>
        <w:t xml:space="preserve">B. FALSE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Correct Response </w:t>
      </w:r>
      <w:r>
        <w:br w:type="textWrapping"/>
      </w:r>
      <w:r>
        <w:rPr>
          <w:rStyle w:val="VerbatimChar"/>
        </w:rPr>
        <w:t xml:space="preserve">That is correct! The weighted-average contribution margin is calculated using the sales mix for multiple products. That is, a single weighted-average contribution margin represents multiple products.</w:t>
      </w:r>
    </w:p>
    <w:p>
      <w:pPr>
        <w:pStyle w:val="FirstParagraph"/>
      </w:pPr>
      <w:r>
        <w:rPr>
          <w:i/>
        </w:rPr>
        <w:t xml:space="preserve">Correct 1/1 points</w:t>
      </w:r>
    </w:p>
    <w:p>
      <w:pPr>
        <w:pStyle w:val="Compact"/>
        <w:numPr>
          <w:numId w:val="1003"/>
          <w:ilvl w:val="0"/>
        </w:numPr>
      </w:pPr>
      <w:r>
        <w:t xml:space="preserve">Garrett Company has the following information relating to its two products, product Red and product Blue.</w:t>
      </w:r>
    </w:p>
    <w:p>
      <w:pPr>
        <w:pStyle w:val="TableCaption"/>
      </w:pPr>
      <w:r>
        <w:t xml:space="preserve">Sales Table</w:t>
      </w:r>
    </w:p>
    <w:tbl>
      <w:tblPr>
        <w:tblStyle w:val="TableNormal"/>
        <w:tblW w:type="pct" w:w="0.0"/>
        <w:tblLook w:firstRow="1"/>
        <w:tblCaption w:val="Sales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Selling.price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Variable.cost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Fixed.cost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p>
            <w:pPr>
              <w:pStyle w:val="Compact"/>
              <w:jc w:val="left"/>
            </w:pPr>
            <w:r>
              <w:t xml:space="preserve">$14</w:t>
            </w:r>
          </w:p>
        </w:tc>
        <w:tc>
          <w:p>
            <w:pPr>
              <w:pStyle w:val="Compact"/>
              <w:jc w:val="left"/>
            </w:pPr>
            <w:r>
              <w:t xml:space="preserve">$6</w:t>
            </w:r>
          </w:p>
        </w:tc>
        <w:tc>
          <w:p>
            <w:pPr>
              <w:pStyle w:val="Compact"/>
              <w:jc w:val="left"/>
            </w:pPr>
            <w:r>
              <w:t xml:space="preserve">$16,000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p>
            <w:pPr>
              <w:pStyle w:val="Compact"/>
              <w:jc w:val="left"/>
            </w:pPr>
            <w:r>
              <w:t xml:space="preserve">$15</w:t>
            </w:r>
          </w:p>
        </w:tc>
        <w:tc>
          <w:p>
            <w:pPr>
              <w:pStyle w:val="Compact"/>
              <w:jc w:val="left"/>
            </w:pPr>
            <w:r>
              <w:t xml:space="preserve">$5</w:t>
            </w:r>
          </w:p>
        </w:tc>
        <w:tc>
          <w:p>
            <w:pPr>
              <w:pStyle w:val="Compact"/>
              <w:jc w:val="left"/>
            </w:pPr>
            <w:r>
              <w:t xml:space="preserve">$10,000</w:t>
            </w:r>
          </w:p>
        </w:tc>
      </w:tr>
    </w:tbl>
    <w:p>
      <w:pPr>
        <w:pStyle w:val="BodyText"/>
      </w:pPr>
      <w:r>
        <w:rPr>
          <w:i/>
        </w:rPr>
        <w:t xml:space="preserve">Table 2 : Sales Table</w:t>
      </w:r>
    </w:p>
    <w:p>
      <w:pPr>
        <w:pStyle w:val="BodyText"/>
      </w:pPr>
      <w:r>
        <w:t xml:space="preserve">Assuming Garrett Company views each product separately, what is the break-even point for Red? For Blue?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A. 2,000 Units; 1,000 units</w:t>
      </w:r>
    </w:p>
    <w:p>
      <w:pPr>
        <w:pStyle w:val="SourceCode"/>
      </w:pPr>
      <w:r>
        <w:rPr>
          <w:rStyle w:val="VerbatimChar"/>
        </w:rPr>
        <w:t xml:space="preserve">Correct Response </w:t>
      </w:r>
      <w:r>
        <w:br w:type="textWrapping"/>
      </w:r>
      <w:r>
        <w:rPr>
          <w:rStyle w:val="VerbatimChar"/>
        </w:rPr>
        <w:t xml:space="preserve">That is correct! Calculating the break-even point for each of the products separately is as follows: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Red: $16,000 / ($14 – 6) = 2,000 Red units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Blue: $10,000 / ($15 – 5) = 1,000 Blue units</w:t>
      </w:r>
    </w:p>
    <w:p>
      <w:pPr>
        <w:pStyle w:val="Compact"/>
        <w:numPr>
          <w:numId w:val="1005"/>
          <w:ilvl w:val="0"/>
        </w:numPr>
      </w:pPr>
      <w:r>
        <w:t xml:space="preserve">B. 1,500 Units; 1,000 units</w:t>
      </w:r>
    </w:p>
    <w:p>
      <w:pPr>
        <w:pStyle w:val="Compact"/>
        <w:numPr>
          <w:numId w:val="1005"/>
          <w:ilvl w:val="0"/>
        </w:numPr>
      </w:pPr>
      <w:r>
        <w:t xml:space="preserve">C. 2,500 Units; 2,000 units</w:t>
      </w:r>
    </w:p>
    <w:p>
      <w:pPr>
        <w:pStyle w:val="Compact"/>
        <w:numPr>
          <w:numId w:val="1005"/>
          <w:ilvl w:val="0"/>
        </w:numPr>
      </w:pPr>
      <w:r>
        <w:t xml:space="preserve">D. 3,000 Units; 2,000 units</w:t>
      </w:r>
    </w:p>
    <w:p>
      <w:pPr>
        <w:pStyle w:val="FirstParagraph"/>
      </w:pPr>
      <w:r>
        <w:rPr>
          <w:i/>
        </w:rPr>
        <w:t xml:space="preserve">Correct 1/1 points</w:t>
      </w:r>
    </w:p>
    <w:p>
      <w:pPr>
        <w:pStyle w:val="Compact"/>
        <w:numPr>
          <w:numId w:val="1006"/>
          <w:ilvl w:val="0"/>
        </w:numPr>
      </w:pPr>
      <w:r>
        <w:t xml:space="preserve">Garrett Company has the following information relating to its two products, product Red and product Blue.</w:t>
      </w:r>
    </w:p>
    <w:p>
      <w:pPr>
        <w:pStyle w:val="TableCaption"/>
      </w:pPr>
      <w:r>
        <w:t xml:space="preserve">Sales Table</w:t>
      </w:r>
    </w:p>
    <w:tbl>
      <w:tblPr>
        <w:tblStyle w:val="TableNormal"/>
        <w:tblW w:type="pct" w:w="0.0"/>
        <w:tblLook w:firstRow="1"/>
        <w:tblCaption w:val="Sales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Selling.price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Variable.cost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Fixed.cost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p>
            <w:pPr>
              <w:pStyle w:val="Compact"/>
              <w:jc w:val="left"/>
            </w:pPr>
            <w:r>
              <w:t xml:space="preserve">$14</w:t>
            </w:r>
          </w:p>
        </w:tc>
        <w:tc>
          <w:p>
            <w:pPr>
              <w:pStyle w:val="Compact"/>
              <w:jc w:val="left"/>
            </w:pPr>
            <w:r>
              <w:t xml:space="preserve">$6</w:t>
            </w:r>
          </w:p>
        </w:tc>
        <w:tc>
          <w:p>
            <w:pPr>
              <w:pStyle w:val="Compact"/>
              <w:jc w:val="left"/>
            </w:pPr>
            <w:r>
              <w:t xml:space="preserve">$16,000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p>
            <w:pPr>
              <w:pStyle w:val="Compact"/>
              <w:jc w:val="left"/>
            </w:pPr>
            <w:r>
              <w:t xml:space="preserve">$15</w:t>
            </w:r>
          </w:p>
        </w:tc>
        <w:tc>
          <w:p>
            <w:pPr>
              <w:pStyle w:val="Compact"/>
              <w:jc w:val="left"/>
            </w:pPr>
            <w:r>
              <w:t xml:space="preserve">$5</w:t>
            </w:r>
          </w:p>
        </w:tc>
        <w:tc>
          <w:p>
            <w:pPr>
              <w:pStyle w:val="Compact"/>
              <w:jc w:val="left"/>
            </w:pPr>
            <w:r>
              <w:t xml:space="preserve">$10,000</w:t>
            </w:r>
          </w:p>
        </w:tc>
      </w:tr>
    </w:tbl>
    <w:p>
      <w:pPr>
        <w:pStyle w:val="BodyText"/>
      </w:pPr>
      <w:r>
        <w:rPr>
          <w:i/>
        </w:rPr>
        <w:t xml:space="preserve">Table 3 : Sales Table</w:t>
      </w:r>
    </w:p>
    <w:p>
      <w:pPr>
        <w:pStyle w:val="BodyText"/>
      </w:pPr>
      <w:r>
        <w:t xml:space="preserve">If Garrett Company viewed its products in aggregate, what would the break-even point be if managers projected a 60% - 40% sales mix for Red and Blue, respectively? How about a 40% - 60% sales mix for Red and Blue, respectively.</w:t>
      </w:r>
    </w:p>
    <w:p>
      <w:pPr>
        <w:pStyle w:val="Compact"/>
        <w:numPr>
          <w:numId w:val="1007"/>
          <w:ilvl w:val="0"/>
        </w:numPr>
      </w:pPr>
      <w:r>
        <w:t xml:space="preserve">A. 2,444 units; 2,210 units (rounded)</w:t>
      </w:r>
    </w:p>
    <w:p>
      <w:pPr>
        <w:pStyle w:val="Compact"/>
        <w:numPr>
          <w:numId w:val="1007"/>
          <w:ilvl w:val="0"/>
        </w:numPr>
      </w:pPr>
      <w:r>
        <w:t xml:space="preserve">B. 3,000 units; 2,987 units (rounded)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C. 2,955 units; 2,826 units (rounded)</w:t>
      </w:r>
    </w:p>
    <w:p>
      <w:pPr>
        <w:pStyle w:val="SourceCode"/>
      </w:pPr>
      <w:r>
        <w:rPr>
          <w:rStyle w:val="VerbatimChar"/>
        </w:rPr>
        <w:t xml:space="preserve">Correct Response </w:t>
      </w:r>
      <w:r>
        <w:br w:type="textWrapping"/>
      </w:r>
      <w:r>
        <w:rPr>
          <w:rStyle w:val="VerbatimChar"/>
        </w:rPr>
        <w:t xml:space="preserve">That is correct! Calculating the break-even point for the 60%-40% sales mix is as follows: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Weighted-average CM: (.60 x ($14 – 6)) + (.40 x ($15 – 5) = $8.80 per composite unit</w:t>
      </w:r>
      <w:r>
        <w:br w:type="textWrapping"/>
      </w:r>
      <w:r>
        <w:rPr>
          <w:rStyle w:val="VerbatimChar"/>
        </w:rPr>
        <w:t xml:space="preserve">Break-even: $26,000 / $8.80 per unit = 2,954.54 composite units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40%-60% sales mix, the calculation is similar: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Weighted-average CM: (.40 x ($14 – 6)) + (.60 x ($15 – 5) = $9.20 per composite unit</w:t>
      </w:r>
      <w:r>
        <w:br w:type="textWrapping"/>
      </w:r>
      <w:r>
        <w:rPr>
          <w:rStyle w:val="VerbatimChar"/>
        </w:rPr>
        <w:t xml:space="preserve">Break-even: $26,000 / $9.20 per unit = 2,826.09 composite units</w:t>
      </w:r>
    </w:p>
    <w:p>
      <w:pPr>
        <w:pStyle w:val="Compact"/>
        <w:numPr>
          <w:numId w:val="1008"/>
          <w:ilvl w:val="0"/>
        </w:numPr>
      </w:pPr>
      <w:r>
        <w:t xml:space="preserve">D. 2,667 units; 2,451 units (rounded)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5707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b06b08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247a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3953fe4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ad5f34b6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1"/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4-2 Practice Quiz</dc:title>
  <dc:creator>®γσ, Eng Lian Hu</dc:creator>
  <dcterms:created xsi:type="dcterms:W3CDTF">2016-06-11</dcterms:created>
  <dcterms:modified xsi:type="dcterms:W3CDTF">2016-06-11</dcterms:modified>
</cp:coreProperties>
</file>