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43C893" w:rsidP="7B43C893" w:rsidRDefault="7B43C893" w14:noSpellErr="1" w14:paraId="41B9C573" w14:textId="72B7C094">
      <w:pPr>
        <w:pStyle w:val="Heading1"/>
      </w:pPr>
      <w:r w:rsidRPr="7B43C893" w:rsidR="7B43C893">
        <w:rPr>
          <w:b w:val="0"/>
          <w:bCs w:val="0"/>
          <w:sz w:val="48"/>
          <w:szCs w:val="48"/>
        </w:rPr>
        <w:t>Lesson 3.1 Practice Quiz</w:t>
      </w:r>
    </w:p>
    <w:p w:rsidR="7B43C893" w:rsidP="7B43C893" w:rsidRDefault="7B43C893" w14:noSpellErr="1" w14:paraId="76B33E44" w14:textId="2E630718">
      <w:pPr>
        <w:pStyle w:val="Normal"/>
      </w:pPr>
    </w:p>
    <w:p w:rsidR="7B43C893" w:rsidP="7B43C893" w:rsidRDefault="7B43C893" w14:noSpellErr="1" w14:paraId="08343A66" w14:textId="23E78E08">
      <w:pPr>
        <w:ind w:left="-225"/>
        <w:rPr>
          <w:rFonts w:ascii="Calibri" w:hAnsi="Calibri" w:eastAsia="Calibri" w:cs="Calibri"/>
          <w:color w:val="00B050"/>
          <w:sz w:val="22"/>
          <w:szCs w:val="22"/>
        </w:rPr>
      </w:pPr>
      <w:r w:rsidRPr="7B43C893" w:rsidR="7B43C893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7B43C893" w:rsidR="7B43C893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7B43C893" w:rsidR="7B43C893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</w:t>
      </w:r>
      <w:r w:rsidRPr="7B43C893" w:rsidR="7B43C893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7B43C893" w:rsidR="7B43C893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7B43C893" w:rsidR="7B43C893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7B43C893" w:rsidP="7B43C893" w:rsidRDefault="7B43C893" w14:noSpellErr="1" w14:paraId="2E58985A" w14:textId="2A7798A8">
      <w:pPr>
        <w:ind w:left="-225"/>
      </w:pPr>
      <w:r w:rsidRPr="7B43C893" w:rsidR="7B43C893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7B43C893" w:rsidP="7B43C893" w:rsidRDefault="7B43C893" w14:noSpellErr="1" w14:paraId="3795E965" w14:textId="4BBC9D8A">
      <w:pPr>
        <w:ind w:left="-225"/>
      </w:pPr>
      <w:r w:rsidRPr="7B43C893" w:rsidR="7B43C893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7B43C893" w:rsidP="7B43C893" w:rsidRDefault="7B43C893" w14:noSpellErr="1" w14:paraId="621130CE" w14:textId="095AD8EC">
      <w:pPr>
        <w:ind w:left="-225"/>
        <w:jc w:val="center"/>
      </w:pPr>
      <w:hyperlink r:id="R47a93a2eaa474da4">
        <w:r w:rsidRPr="7B43C893" w:rsidR="7B43C893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7B43C893" w:rsidP="7B43C893" w:rsidRDefault="7B43C893" w14:noSpellErr="1" w14:paraId="5204D643" w14:textId="78EFEA58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B43C893" w:rsidR="7B43C893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B43C893" w:rsidP="7B43C893" w:rsidRDefault="7B43C893" w14:noSpellErr="1" w14:paraId="7E275116" w14:textId="15DB36F3">
      <w:pPr>
        <w:ind w:left="-225"/>
        <w:jc w:val="center"/>
      </w:pPr>
      <w:r w:rsidRPr="7B43C893" w:rsidR="7B43C893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B43C893" w:rsidP="7B43C893" w:rsidRDefault="7B43C893" w14:noSpellErr="1" w14:paraId="17D33CB7" w14:textId="3AFCE911">
      <w:pPr>
        <w:ind w:left="-225"/>
      </w:pPr>
      <w:r w:rsidRPr="7B43C893" w:rsidR="7B43C893">
        <w:rPr>
          <w:rFonts w:ascii="Calibri" w:hAnsi="Calibri" w:eastAsia="Calibri" w:cs="Calibri"/>
          <w:sz w:val="22"/>
          <w:szCs w:val="22"/>
        </w:rPr>
        <w:t xml:space="preserve">1. </w:t>
      </w:r>
      <w:r w:rsidRPr="7B43C893" w:rsidR="7B43C893">
        <w:rPr>
          <w:rFonts w:ascii="Calibri" w:hAnsi="Calibri" w:eastAsia="Calibri" w:cs="Calibri"/>
          <w:sz w:val="22"/>
          <w:szCs w:val="22"/>
        </w:rPr>
        <w:t>Which of the following best describes a standard?</w:t>
      </w:r>
    </w:p>
    <w:p w:rsidR="7B43C893" w:rsidP="7B43C893" w:rsidRDefault="7B43C893" w14:noSpellErr="1" w14:paraId="0D77F59E" w14:textId="73CB2329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43C893" w:rsidR="7B43C893">
        <w:rPr>
          <w:rFonts w:ascii="Calibri" w:hAnsi="Calibri" w:eastAsia="Calibri" w:cs="Calibri"/>
          <w:sz w:val="22"/>
          <w:szCs w:val="22"/>
        </w:rPr>
        <w:t>Broader than a master budget</w:t>
      </w:r>
    </w:p>
    <w:p w:rsidR="7B43C893" w:rsidP="7B43C893" w:rsidRDefault="7B43C893" w14:noSpellErr="1" w14:paraId="0BFE370F" w14:textId="356B6C80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43C893" w:rsidR="7B43C893">
        <w:rPr>
          <w:rFonts w:ascii="Calibri" w:hAnsi="Calibri" w:eastAsia="Calibri" w:cs="Calibri"/>
          <w:sz w:val="22"/>
          <w:szCs w:val="22"/>
        </w:rPr>
        <w:t>Determined at the end of an accounting period</w:t>
      </w:r>
    </w:p>
    <w:p w:rsidR="7B43C893" w:rsidP="7B43C893" w:rsidRDefault="7B43C893" w14:noSpellErr="1" w14:paraId="7C677115" w14:textId="261C945E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B43C893" w:rsidR="7B43C893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Reported on a per-unit basis</w:t>
      </w:r>
    </w:p>
    <w:p w:rsidR="7B43C893" w:rsidP="7B43C893" w:rsidRDefault="7B43C893" w14:noSpellErr="1" w14:paraId="0AADAE1A" w14:textId="116F95DB">
      <w:pPr>
        <w:ind w:left="-225"/>
      </w:pPr>
      <w:r w:rsidRPr="7B43C893" w:rsidR="7B43C893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B43C893" w:rsidR="7B43C893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B43C893" w:rsidP="7B43C893" w:rsidRDefault="7B43C893" w14:noSpellErr="1" w14:paraId="60EC1F88" w14:textId="719C03B5">
      <w:pPr>
        <w:ind w:left="-225"/>
      </w:pPr>
      <w:r w:rsidRPr="7B43C893" w:rsidR="7B43C893">
        <w:rPr>
          <w:rFonts w:ascii="Calibri" w:hAnsi="Calibri" w:eastAsia="Calibri" w:cs="Calibri"/>
          <w:sz w:val="22"/>
          <w:szCs w:val="22"/>
          <w:highlight w:val="lightGray"/>
        </w:rPr>
        <w:t>Correct! Standards are reported at the component-level (as opposed to the aggregate level).</w:t>
      </w:r>
    </w:p>
    <w:p w:rsidR="7B43C893" w:rsidP="7B43C893" w:rsidRDefault="7B43C893" w14:paraId="6CB1EBB5" w14:textId="612A32D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B43C893" w:rsidP="7B43C893" w:rsidRDefault="7B43C893" w14:noSpellErr="1" w14:paraId="79BF13DD" w14:textId="6F7771C0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B43C893" w:rsidR="7B43C893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B43C893" w:rsidP="7B43C893" w:rsidRDefault="7B43C893" w14:noSpellErr="1" w14:paraId="149A8523" w14:textId="770F8F57">
      <w:pPr>
        <w:ind w:left="-225"/>
        <w:jc w:val="center"/>
      </w:pPr>
      <w:r w:rsidRPr="7B43C893" w:rsidR="7B43C893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B43C893" w:rsidP="7B43C893" w:rsidRDefault="7B43C893" w14:noSpellErr="1" w14:paraId="784774F2" w14:textId="03E92E0D">
      <w:pPr>
        <w:ind w:left="-225"/>
      </w:pPr>
      <w:r w:rsidRPr="7B43C893" w:rsidR="7B43C893">
        <w:rPr>
          <w:rFonts w:ascii="Calibri" w:hAnsi="Calibri" w:eastAsia="Calibri" w:cs="Calibri"/>
          <w:sz w:val="22"/>
          <w:szCs w:val="22"/>
        </w:rPr>
        <w:t xml:space="preserve">2. </w:t>
      </w:r>
      <w:r w:rsidRPr="7B43C893" w:rsidR="7B43C893">
        <w:rPr>
          <w:rFonts w:ascii="Calibri" w:hAnsi="Calibri" w:eastAsia="Calibri" w:cs="Calibri"/>
          <w:sz w:val="22"/>
          <w:szCs w:val="22"/>
        </w:rPr>
        <w:t>Favorable variances are good news, and unfavorable variances are bad news.</w:t>
      </w:r>
    </w:p>
    <w:p w:rsidR="7B43C893" w:rsidP="7B43C893" w:rsidRDefault="7B43C893" w14:noSpellErr="1" w14:paraId="13085E20" w14:textId="7745E3FC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43C893" w:rsidR="7B43C893">
        <w:rPr>
          <w:rFonts w:ascii="Calibri" w:hAnsi="Calibri" w:eastAsia="Calibri" w:cs="Calibri"/>
          <w:sz w:val="22"/>
          <w:szCs w:val="22"/>
        </w:rPr>
        <w:t>True</w:t>
      </w:r>
    </w:p>
    <w:p w:rsidR="7B43C893" w:rsidP="7B43C893" w:rsidRDefault="7B43C893" w14:noSpellErr="1" w14:paraId="087EAACD" w14:textId="5CAA9A79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B43C893" w:rsidR="7B43C893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7B43C893" w:rsidP="7B43C893" w:rsidRDefault="7B43C893" w14:noSpellErr="1" w14:paraId="3A46B3F4" w14:textId="53DD7488">
      <w:pPr>
        <w:ind w:left="-225"/>
      </w:pPr>
      <w:r w:rsidRPr="7B43C893" w:rsidR="7B43C893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B43C893" w:rsidR="7B43C893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B43C893" w:rsidP="7B43C893" w:rsidRDefault="7B43C893" w14:noSpellErr="1" w14:paraId="505F456A" w14:textId="7774FC86">
      <w:pPr>
        <w:ind w:left="-225"/>
      </w:pPr>
      <w:r w:rsidRPr="7B43C893" w:rsidR="7B43C893">
        <w:rPr>
          <w:rFonts w:ascii="Calibri" w:hAnsi="Calibri" w:eastAsia="Calibri" w:cs="Calibri"/>
          <w:sz w:val="22"/>
          <w:szCs w:val="22"/>
          <w:highlight w:val="lightGray"/>
        </w:rPr>
        <w:t>Correct! Favorable variances may stem from undesirable circumstances or actions. Similarly, unfavorable variances may stem from desirable circumstances or actions.</w:t>
      </w:r>
    </w:p>
    <w:p w:rsidR="7B43C893" w:rsidP="7B43C893" w:rsidRDefault="7B43C893" w14:paraId="16A9AB2D" w14:textId="5CBB695F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B43C893" w:rsidP="7B43C893" w:rsidRDefault="7B43C893" w14:noSpellErr="1" w14:paraId="40756955" w14:textId="706CA236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B43C893" w:rsidR="7B43C893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B43C893" w:rsidP="7B43C893" w:rsidRDefault="7B43C893" w14:noSpellErr="1" w14:paraId="47D14527" w14:textId="4405E018">
      <w:pPr>
        <w:ind w:left="-225"/>
        <w:jc w:val="center"/>
      </w:pPr>
      <w:r w:rsidRPr="7B43C893" w:rsidR="7B43C893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B43C893" w:rsidP="7B43C893" w:rsidRDefault="7B43C893" w14:noSpellErr="1" w14:paraId="548FDB29" w14:textId="1F8DB7BE">
      <w:pPr>
        <w:ind w:left="-225"/>
      </w:pPr>
      <w:r w:rsidRPr="7B43C893" w:rsidR="7B43C893">
        <w:rPr>
          <w:rFonts w:ascii="Calibri" w:hAnsi="Calibri" w:eastAsia="Calibri" w:cs="Calibri"/>
          <w:sz w:val="22"/>
          <w:szCs w:val="22"/>
        </w:rPr>
        <w:t xml:space="preserve">3. </w:t>
      </w:r>
      <w:r w:rsidRPr="7B43C893" w:rsidR="7B43C893">
        <w:rPr>
          <w:rFonts w:ascii="Calibri" w:hAnsi="Calibri" w:eastAsia="Calibri" w:cs="Calibri"/>
          <w:sz w:val="22"/>
          <w:szCs w:val="22"/>
        </w:rPr>
        <w:t>Which of the following is true regarding cost variances?</w:t>
      </w:r>
    </w:p>
    <w:p w:rsidR="7B43C893" w:rsidP="7B43C893" w:rsidRDefault="7B43C893" w14:noSpellErr="1" w14:paraId="0357B784" w14:textId="5D1D560B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B43C893" w:rsidR="7B43C893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Variable costs can exhibit spending, efficiency, and activity variances.</w:t>
      </w:r>
    </w:p>
    <w:p w:rsidR="7B43C893" w:rsidP="7B43C893" w:rsidRDefault="7B43C893" w14:noSpellErr="1" w14:paraId="23BE2398" w14:textId="4269BB02">
      <w:pPr>
        <w:ind w:left="-225"/>
      </w:pPr>
      <w:r w:rsidRPr="7B43C893" w:rsidR="7B43C893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7B43C893" w:rsidR="7B43C893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7B43C893" w:rsidP="7B43C893" w:rsidRDefault="7B43C893" w14:noSpellErr="1" w14:paraId="08BBB8F7" w14:textId="1F03DF20">
      <w:pPr>
        <w:ind w:left="-225"/>
      </w:pPr>
      <w:r w:rsidRPr="7B43C893" w:rsidR="7B43C893">
        <w:rPr>
          <w:rFonts w:ascii="Calibri" w:hAnsi="Calibri" w:eastAsia="Calibri" w:cs="Calibri"/>
          <w:sz w:val="22"/>
          <w:szCs w:val="22"/>
          <w:highlight w:val="lightGray"/>
        </w:rPr>
        <w:t>Correct! All three variance types apply to all variable costs.</w:t>
      </w:r>
    </w:p>
    <w:p w:rsidR="7B43C893" w:rsidP="7B43C893" w:rsidRDefault="7B43C893" w14:noSpellErr="1" w14:paraId="18B61CB0" w14:textId="5DA0BDB0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43C893" w:rsidR="7B43C893">
        <w:rPr>
          <w:rFonts w:ascii="Calibri" w:hAnsi="Calibri" w:eastAsia="Calibri" w:cs="Calibri"/>
          <w:sz w:val="22"/>
          <w:szCs w:val="22"/>
        </w:rPr>
        <w:t>Fixed overhead costs exhibit efficiency variances.</w:t>
      </w:r>
    </w:p>
    <w:p w:rsidR="7B43C893" w:rsidP="7B43C893" w:rsidRDefault="7B43C893" w14:noSpellErr="1" w14:paraId="6B5107D9" w14:textId="3E372D33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43C893" w:rsidR="7B43C893">
        <w:rPr>
          <w:rFonts w:ascii="Calibri" w:hAnsi="Calibri" w:eastAsia="Calibri" w:cs="Calibri"/>
          <w:sz w:val="22"/>
          <w:szCs w:val="22"/>
        </w:rPr>
        <w:t>All costs can exhibit spending, efficiency, and activity variances.</w:t>
      </w:r>
    </w:p>
    <w:p w:rsidR="7B43C893" w:rsidP="7B43C893" w:rsidRDefault="7B43C893" w14:paraId="4179AD9E" w14:textId="0CBF687E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7B43C893" w:rsidP="7B43C893" w:rsidRDefault="7B43C893" w14:noSpellErr="1" w14:paraId="1040319E" w14:textId="38AA2B8B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7B43C893" w:rsidR="7B43C893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7B43C893" w:rsidP="7B43C893" w:rsidRDefault="7B43C893" w14:noSpellErr="1" w14:paraId="555934F9" w14:textId="23975311">
      <w:pPr>
        <w:ind w:left="-225"/>
        <w:jc w:val="center"/>
      </w:pPr>
      <w:r w:rsidRPr="7B43C893" w:rsidR="7B43C893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7B43C893" w:rsidP="7B43C893" w:rsidRDefault="7B43C893" w14:noSpellErr="1" w14:paraId="08343049" w14:textId="556F8524">
      <w:pPr>
        <w:ind w:left="-225"/>
      </w:pPr>
      <w:r w:rsidRPr="7B43C893" w:rsidR="7B43C893">
        <w:rPr>
          <w:rFonts w:ascii="Calibri" w:hAnsi="Calibri" w:eastAsia="Calibri" w:cs="Calibri"/>
          <w:sz w:val="22"/>
          <w:szCs w:val="22"/>
        </w:rPr>
        <w:t xml:space="preserve">4. </w:t>
      </w:r>
      <w:r w:rsidRPr="7B43C893" w:rsidR="7B43C893">
        <w:rPr>
          <w:rFonts w:ascii="Calibri" w:hAnsi="Calibri" w:eastAsia="Calibri" w:cs="Calibri"/>
          <w:sz w:val="22"/>
          <w:szCs w:val="22"/>
        </w:rPr>
        <w:t>Which of the following best describes variance analysis?</w:t>
      </w:r>
    </w:p>
    <w:p w:rsidR="7B43C893" w:rsidP="7B43C893" w:rsidRDefault="7B43C893" w14:noSpellErr="1" w14:paraId="7420B393" w14:textId="468EE50C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43C893" w:rsidR="7B43C893">
        <w:rPr>
          <w:rFonts w:ascii="Calibri" w:hAnsi="Calibri" w:eastAsia="Calibri" w:cs="Calibri"/>
          <w:sz w:val="22"/>
          <w:szCs w:val="22"/>
        </w:rPr>
        <w:t>Performed at the aggregate level</w:t>
      </w:r>
    </w:p>
    <w:p w:rsidR="7B43C893" w:rsidP="7B43C893" w:rsidRDefault="7B43C893" w14:noSpellErr="1" w14:paraId="3D7C277A" w14:textId="06CAD21D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43C893" w:rsidR="7B43C893">
        <w:rPr>
          <w:rFonts w:ascii="Calibri" w:hAnsi="Calibri" w:eastAsia="Calibri" w:cs="Calibri"/>
          <w:sz w:val="22"/>
          <w:szCs w:val="22"/>
        </w:rPr>
        <w:t>Provides a comparison of actual and expected performance</w:t>
      </w:r>
    </w:p>
    <w:p w:rsidR="7B43C893" w:rsidP="7B43C893" w:rsidRDefault="7B43C893" w14:noSpellErr="1" w14:paraId="180F5641" w14:textId="0ADD3BE7">
      <w:pPr>
        <w:ind w:left="-225"/>
      </w:pPr>
      <w:r w:rsidRPr="7B43C893" w:rsidR="7B43C893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Correct Response </w:t>
      </w:r>
    </w:p>
    <w:p w:rsidR="7B43C893" w:rsidP="7B43C893" w:rsidRDefault="7B43C893" w14:noSpellErr="1" w14:paraId="74FBD401" w14:textId="4B3D84A1">
      <w:pPr>
        <w:ind w:left="-225"/>
      </w:pPr>
      <w:r w:rsidRPr="7B43C893" w:rsidR="7B43C893">
        <w:rPr>
          <w:rFonts w:ascii="Calibri" w:hAnsi="Calibri" w:eastAsia="Calibri" w:cs="Calibri"/>
          <w:sz w:val="22"/>
          <w:szCs w:val="22"/>
        </w:rPr>
        <w:t>Correct! This comparison is the key output of variance analysis.</w:t>
      </w:r>
    </w:p>
    <w:p w:rsidR="7B43C893" w:rsidP="7B43C893" w:rsidRDefault="7B43C893" w14:noSpellErr="1" w14:paraId="01DE4423" w14:textId="5F20081C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43C893" w:rsidR="7B43C893">
        <w:rPr>
          <w:rFonts w:ascii="Calibri" w:hAnsi="Calibri" w:eastAsia="Calibri" w:cs="Calibri"/>
          <w:sz w:val="22"/>
          <w:szCs w:val="22"/>
        </w:rPr>
        <w:t>Used only on an annual basis</w:t>
      </w:r>
    </w:p>
    <w:p w:rsidR="7B43C893" w:rsidP="7B43C893" w:rsidRDefault="7B43C893" w14:paraId="3885B1D0" w14:textId="47C1196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b3516-c9dd-4fca-b8da-62ce8684840d}"/>
  <w14:docId w14:val="7103E8A7"/>
  <w:rsids>
    <w:rsidRoot w:val="7B43C893"/>
    <w:rsid w:val="7B43C8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managerial-accounting-tools/home/welcome" TargetMode="External" Id="R47a93a2eaa474da4" /><Relationship Type="http://schemas.openxmlformats.org/officeDocument/2006/relationships/numbering" Target="/word/numbering.xml" Id="Rf1aa1008bc224c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2016-07-09T09:10:59.9394689Z</dcterms:modified>
  <lastModifiedBy>®γσ, Lian Hu Eng</lastModifiedBy>
</coreProperties>
</file>