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8F533" w14:textId="5F182184" w:rsidR="00D45289" w:rsidRDefault="00CB67A2" w:rsidP="00B86EA6">
      <w:pPr>
        <w:pStyle w:val="Heading1"/>
        <w:spacing w:before="0"/>
        <w:jc w:val="center"/>
      </w:pPr>
      <w:r>
        <w:rPr>
          <w:sz w:val="32"/>
          <w:szCs w:val="32"/>
        </w:rPr>
        <w:t>Hume’s</w:t>
      </w:r>
      <w:r w:rsidR="00B86EA6">
        <w:rPr>
          <w:sz w:val="32"/>
          <w:szCs w:val="32"/>
        </w:rPr>
        <w:t xml:space="preserve"> Sceptical Texts 1: Induction</w:t>
      </w:r>
      <w:r w:rsidR="00B86EA6">
        <w:rPr>
          <w:sz w:val="32"/>
          <w:szCs w:val="32"/>
        </w:rPr>
        <w:br/>
      </w:r>
      <w:r w:rsidR="0089296C">
        <w:t>(</w:t>
      </w:r>
      <w:r w:rsidR="0089296C">
        <w:rPr>
          <w:i/>
          <w:iCs/>
        </w:rPr>
        <w:t>Treatise</w:t>
      </w:r>
      <w:r w:rsidR="0089296C">
        <w:t xml:space="preserve"> 1.3</w:t>
      </w:r>
      <w:r w:rsidR="00B94C3D">
        <w:t>.</w:t>
      </w:r>
      <w:r w:rsidR="0089296C">
        <w:t xml:space="preserve">6, </w:t>
      </w:r>
      <w:r w:rsidR="0089296C">
        <w:rPr>
          <w:i/>
          <w:iCs/>
        </w:rPr>
        <w:t>Enquiry</w:t>
      </w:r>
      <w:r w:rsidR="0089296C">
        <w:t xml:space="preserve"> 4 and 12.22</w:t>
      </w:r>
      <w:r w:rsidR="0089296C">
        <w:noBreakHyphen/>
        <w:t>3)</w:t>
      </w:r>
    </w:p>
    <w:p w14:paraId="70ACC082" w14:textId="77777777" w:rsidR="00D01FF4" w:rsidRDefault="00D01FF4" w:rsidP="00D01FF4">
      <w:pPr>
        <w:pStyle w:val="Heading3"/>
      </w:pPr>
      <w:r>
        <w:t>1.1  Hume is committed to inductive science</w:t>
      </w:r>
    </w:p>
    <w:p w14:paraId="2E621F68" w14:textId="77777777" w:rsidR="00D01FF4" w:rsidRDefault="00D01FF4" w:rsidP="00D01FF4">
      <w:r>
        <w:t xml:space="preserve">Hume’s </w:t>
      </w:r>
      <w:r w:rsidRPr="002A3887">
        <w:rPr>
          <w:i/>
          <w:iCs/>
          <w:u w:val="single"/>
        </w:rPr>
        <w:t>overall</w:t>
      </w:r>
      <w:r>
        <w:t xml:space="preserve"> attitude to induction cannot plausibly be described as “sceptical”, in either the </w:t>
      </w:r>
      <w:r>
        <w:rPr>
          <w:i/>
          <w:iCs/>
        </w:rPr>
        <w:t>Treatise</w:t>
      </w:r>
      <w:r>
        <w:t xml:space="preserve">, the </w:t>
      </w:r>
      <w:r>
        <w:rPr>
          <w:i/>
          <w:iCs/>
        </w:rPr>
        <w:t>Enquiry</w:t>
      </w:r>
      <w:r>
        <w:t>, or his other works.  For example:</w:t>
      </w:r>
    </w:p>
    <w:p w14:paraId="055BAD14" w14:textId="77777777" w:rsidR="00D01FF4" w:rsidRDefault="00D01FF4" w:rsidP="00D01FF4">
      <w:pPr>
        <w:pStyle w:val="ListParagraph"/>
        <w:numPr>
          <w:ilvl w:val="0"/>
          <w:numId w:val="5"/>
        </w:numPr>
      </w:pPr>
      <w:r>
        <w:t xml:space="preserve">The subtitle of the </w:t>
      </w:r>
      <w:r w:rsidRPr="00B41208">
        <w:rPr>
          <w:i/>
          <w:iCs/>
        </w:rPr>
        <w:t>Treatise</w:t>
      </w:r>
      <w:r>
        <w:t xml:space="preserve"> describes it as “An Attempt to introduce the experimental Method of Reasoning into Moral Subjects”.</w:t>
      </w:r>
    </w:p>
    <w:p w14:paraId="290B9901" w14:textId="77777777" w:rsidR="00D01FF4" w:rsidRDefault="00D01FF4" w:rsidP="00D01FF4">
      <w:pPr>
        <w:pStyle w:val="ListParagraph"/>
        <w:numPr>
          <w:ilvl w:val="0"/>
          <w:numId w:val="5"/>
        </w:numPr>
      </w:pPr>
      <w:r>
        <w:t xml:space="preserve">Hume argues in both the </w:t>
      </w:r>
      <w:r>
        <w:rPr>
          <w:i/>
          <w:iCs/>
        </w:rPr>
        <w:t>Treatise</w:t>
      </w:r>
      <w:r>
        <w:t xml:space="preserve"> and the </w:t>
      </w:r>
      <w:r>
        <w:rPr>
          <w:i/>
          <w:iCs/>
        </w:rPr>
        <w:t>Enquiry</w:t>
      </w:r>
      <w:r>
        <w:t xml:space="preserve"> that causal (inductive) inference is our only basis for inference to the unobserved.</w:t>
      </w:r>
      <w:r>
        <w:rPr>
          <w:rStyle w:val="FootnoteReference"/>
        </w:rPr>
        <w:footnoteReference w:id="1"/>
      </w:r>
    </w:p>
    <w:p w14:paraId="3CF992CE" w14:textId="77777777" w:rsidR="00D01FF4" w:rsidRDefault="00D01FF4" w:rsidP="00D01FF4">
      <w:pPr>
        <w:pStyle w:val="ListParagraph"/>
        <w:numPr>
          <w:ilvl w:val="0"/>
          <w:numId w:val="5"/>
        </w:numPr>
      </w:pPr>
      <w:r>
        <w:t xml:space="preserve">Many arguments in the </w:t>
      </w:r>
      <w:r>
        <w:rPr>
          <w:i/>
          <w:iCs/>
        </w:rPr>
        <w:t>Treatise</w:t>
      </w:r>
      <w:r>
        <w:t xml:space="preserve"> and in Hume’s other works (e.g. Essays on politics, economics etc.) are – not surprisingly in view of the above – inductive.  In particular, “experiments” are mentioned in seven paragraphs of </w:t>
      </w:r>
      <w:r>
        <w:rPr>
          <w:i/>
          <w:iCs/>
        </w:rPr>
        <w:t>Treatise</w:t>
      </w:r>
      <w:r>
        <w:t xml:space="preserve"> 1.3.8, thirteen paragraphs of 1.3.12, and sixteen paragraphs of 2.2.2!</w:t>
      </w:r>
    </w:p>
    <w:p w14:paraId="4D81C1B3" w14:textId="77777777" w:rsidR="00D01FF4" w:rsidRDefault="00D01FF4" w:rsidP="00D01FF4">
      <w:pPr>
        <w:pStyle w:val="ListParagraph"/>
        <w:numPr>
          <w:ilvl w:val="0"/>
          <w:numId w:val="5"/>
        </w:numPr>
      </w:pPr>
      <w:r>
        <w:rPr>
          <w:i/>
          <w:iCs/>
        </w:rPr>
        <w:t>Treatise</w:t>
      </w:r>
      <w:r>
        <w:t xml:space="preserve"> 1.3.12 develops a theory of “probability of causes”, while 1.3.13 discusses “unphilosophical probability” – thus Hume clearly distinguishes between good and bad inductive inference, which is inconsistent with considering all inductive inference as epistemically worthless.</w:t>
      </w:r>
    </w:p>
    <w:p w14:paraId="05F0DA34" w14:textId="77777777" w:rsidR="00D01FF4" w:rsidRDefault="00D01FF4" w:rsidP="00D01FF4">
      <w:pPr>
        <w:pStyle w:val="ListParagraph"/>
        <w:numPr>
          <w:ilvl w:val="0"/>
          <w:numId w:val="5"/>
        </w:numPr>
      </w:pPr>
      <w:r>
        <w:t xml:space="preserve">In the </w:t>
      </w:r>
      <w:r>
        <w:rPr>
          <w:i/>
          <w:iCs/>
        </w:rPr>
        <w:t>Treatise</w:t>
      </w:r>
      <w:r>
        <w:t xml:space="preserve"> Hume gives “rules by which to judge of causes and effects” (</w:t>
      </w:r>
      <w:r>
        <w:rPr>
          <w:i/>
          <w:iCs/>
        </w:rPr>
        <w:t>T</w:t>
      </w:r>
      <w:r>
        <w:t> 1.3.15) to guide our discovery of causal relations, and also advises us to search for hidden causes (</w:t>
      </w:r>
      <w:r>
        <w:rPr>
          <w:i/>
          <w:iCs/>
        </w:rPr>
        <w:t>T</w:t>
      </w:r>
      <w:r>
        <w:t> 1.3.12.5) – again, such normative guidance of inductive enquiry is inconsistent with thoroughgoing scepticism.</w:t>
      </w:r>
    </w:p>
    <w:p w14:paraId="03EFBF22" w14:textId="77777777" w:rsidR="00D01FF4" w:rsidRDefault="00D01FF4" w:rsidP="00D01FF4">
      <w:pPr>
        <w:pStyle w:val="ListParagraph"/>
        <w:numPr>
          <w:ilvl w:val="0"/>
          <w:numId w:val="5"/>
        </w:numPr>
      </w:pPr>
      <w:r>
        <w:t xml:space="preserve">In the </w:t>
      </w:r>
      <w:r w:rsidRPr="004A3334">
        <w:rPr>
          <w:i/>
          <w:iCs/>
        </w:rPr>
        <w:t>Enquiry</w:t>
      </w:r>
      <w:r>
        <w:t>, Hume again recommends probable inference and basing probable judgements on past experience: “One, who in our climate, should expect better weather in any week of JUNE than in one of DECEMBER, would reason justly, and conformably to experience …  A wise man … proportions his belief to the evidence.” (</w:t>
      </w:r>
      <w:r>
        <w:rPr>
          <w:i/>
          <w:iCs/>
        </w:rPr>
        <w:t>E</w:t>
      </w:r>
      <w:r>
        <w:t xml:space="preserve"> 10.4 – see also </w:t>
      </w:r>
      <w:r>
        <w:rPr>
          <w:i/>
          <w:iCs/>
        </w:rPr>
        <w:t>E</w:t>
      </w:r>
      <w:r>
        <w:t> 6).</w:t>
      </w:r>
    </w:p>
    <w:p w14:paraId="1F841E58" w14:textId="77777777" w:rsidR="00D01FF4" w:rsidRPr="00B41208" w:rsidRDefault="00D01FF4" w:rsidP="00D01FF4">
      <w:pPr>
        <w:pStyle w:val="ListParagraph"/>
        <w:numPr>
          <w:ilvl w:val="0"/>
          <w:numId w:val="5"/>
        </w:numPr>
      </w:pPr>
      <w:r>
        <w:t xml:space="preserve">In the </w:t>
      </w:r>
      <w:r w:rsidRPr="00944956">
        <w:rPr>
          <w:i/>
          <w:iCs/>
        </w:rPr>
        <w:t>Enquiry</w:t>
      </w:r>
      <w:r>
        <w:t xml:space="preserve"> Hume recommends searching for general laws (</w:t>
      </w:r>
      <w:r>
        <w:rPr>
          <w:i/>
          <w:iCs/>
        </w:rPr>
        <w:t>E</w:t>
      </w:r>
      <w:r>
        <w:t> 4.12) and hidden causes (</w:t>
      </w:r>
      <w:r w:rsidRPr="00944956">
        <w:rPr>
          <w:i/>
          <w:iCs/>
        </w:rPr>
        <w:t>E</w:t>
      </w:r>
      <w:r>
        <w:t xml:space="preserve"> 8.13, copied from </w:t>
      </w:r>
      <w:r w:rsidRPr="00944956">
        <w:rPr>
          <w:i/>
          <w:iCs/>
        </w:rPr>
        <w:t>T</w:t>
      </w:r>
      <w:r>
        <w:t> 1.3.12.5); reasoning from analogy (</w:t>
      </w:r>
      <w:r w:rsidRPr="00944956">
        <w:rPr>
          <w:i/>
          <w:iCs/>
        </w:rPr>
        <w:t>E</w:t>
      </w:r>
      <w:r>
        <w:t xml:space="preserve"> 9.1); and norms of proportionate inference (</w:t>
      </w:r>
      <w:r w:rsidRPr="00944956">
        <w:rPr>
          <w:i/>
          <w:iCs/>
        </w:rPr>
        <w:t>E</w:t>
      </w:r>
      <w:r>
        <w:t> 11.12</w:t>
      </w:r>
      <w:r>
        <w:noBreakHyphen/>
        <w:t>13).  He also gives hints on experimental method (</w:t>
      </w:r>
      <w:r w:rsidRPr="00944956">
        <w:rPr>
          <w:i/>
          <w:iCs/>
        </w:rPr>
        <w:t>E</w:t>
      </w:r>
      <w:r>
        <w:t> 9.5 n. 20).</w:t>
      </w:r>
    </w:p>
    <w:p w14:paraId="2A8CE924" w14:textId="77777777" w:rsidR="00D01FF4" w:rsidRPr="003E78C6" w:rsidRDefault="00D01FF4" w:rsidP="00D01FF4">
      <w:pPr>
        <w:pStyle w:val="Heading3"/>
      </w:pPr>
      <w:r>
        <w:t xml:space="preserve">1.2  The </w:t>
      </w:r>
      <w:r w:rsidRPr="00723E6B">
        <w:t>Treatise argument is no</w:t>
      </w:r>
      <w:r>
        <w:t xml:space="preserve">t intended as </w:t>
      </w:r>
      <w:r w:rsidRPr="00723E6B">
        <w:t>sceptical</w:t>
      </w:r>
    </w:p>
    <w:p w14:paraId="7AD8D561" w14:textId="77777777" w:rsidR="00D01FF4" w:rsidRDefault="00D01FF4" w:rsidP="00D01FF4">
      <w:r>
        <w:t xml:space="preserve">In the </w:t>
      </w:r>
      <w:r>
        <w:rPr>
          <w:i/>
          <w:iCs/>
        </w:rPr>
        <w:t>Treatise</w:t>
      </w:r>
      <w:r>
        <w:t xml:space="preserve">, Hume never describes his treatment of induction as </w:t>
      </w:r>
      <w:r w:rsidRPr="00D45289">
        <w:rPr>
          <w:i/>
          <w:iCs/>
        </w:rPr>
        <w:t>sceptical</w:t>
      </w:r>
      <w:r>
        <w:t xml:space="preserve">, and the famous argument of </w:t>
      </w:r>
      <w:r>
        <w:rPr>
          <w:i/>
          <w:iCs/>
        </w:rPr>
        <w:t>T</w:t>
      </w:r>
      <w:r>
        <w:t xml:space="preserve"> 1.3.6 appears to be a stage in the quest to identify the impression of necessary connexion, which began at </w:t>
      </w:r>
      <w:r>
        <w:rPr>
          <w:i/>
          <w:iCs/>
        </w:rPr>
        <w:t>T</w:t>
      </w:r>
      <w:r>
        <w:t xml:space="preserve"> 1.3.2.11 and finally bears fruit at </w:t>
      </w:r>
      <w:r>
        <w:rPr>
          <w:i/>
          <w:iCs/>
        </w:rPr>
        <w:t>T</w:t>
      </w:r>
      <w:r>
        <w:t> 1.3.14.20:</w:t>
      </w:r>
    </w:p>
    <w:p w14:paraId="6B7ED921" w14:textId="77777777" w:rsidR="00D01FF4" w:rsidRDefault="00D01FF4" w:rsidP="00D01FF4">
      <w:pPr>
        <w:pStyle w:val="BlockQuote"/>
      </w:pPr>
      <w:r w:rsidRPr="003E78C6">
        <w:t xml:space="preserve">“Shall we … rest contented with these two relations of contiguity and succession, as affording a compleat idea of causation?  By no means.  An object may be contiguous and prior to another, without being consider’d as its cause.  There is a </w:t>
      </w:r>
      <w:r w:rsidRPr="003E78C6">
        <w:rPr>
          <w:smallCaps/>
        </w:rPr>
        <w:t>necessary connexion</w:t>
      </w:r>
      <w:r w:rsidRPr="003E78C6">
        <w:t xml:space="preserve"> to be taken into consideration”</w:t>
      </w:r>
      <w:r>
        <w:t xml:space="preserve"> </w:t>
      </w:r>
      <w:r w:rsidRPr="003E78C6">
        <w:t xml:space="preserve"> (</w:t>
      </w:r>
      <w:r w:rsidRPr="003E78C6">
        <w:rPr>
          <w:i/>
          <w:iCs/>
        </w:rPr>
        <w:t>T</w:t>
      </w:r>
      <w:r w:rsidRPr="003E78C6">
        <w:t> 1.3.2.11)</w:t>
      </w:r>
    </w:p>
    <w:p w14:paraId="7C5CC098" w14:textId="77777777" w:rsidR="00D01FF4" w:rsidRDefault="00D01FF4" w:rsidP="00D01FF4">
      <w:pPr>
        <w:pStyle w:val="BlockQuote"/>
      </w:pPr>
      <w:r>
        <w:t>“</w:t>
      </w:r>
      <w:r w:rsidRPr="00A8570C">
        <w:t>We must,</w:t>
      </w:r>
      <w:r>
        <w:t xml:space="preserve"> …</w:t>
      </w:r>
      <w:r w:rsidRPr="00A8570C">
        <w:t xml:space="preserve"> beat about all the neighbouring fields, </w:t>
      </w:r>
      <w:r>
        <w:t>…</w:t>
      </w:r>
      <w:r w:rsidRPr="00A8570C">
        <w:t xml:space="preserve"> leave the direct survey of this question concerning the nature of that </w:t>
      </w:r>
      <w:r w:rsidRPr="00A8570C">
        <w:rPr>
          <w:i/>
          <w:iCs/>
        </w:rPr>
        <w:t>necessary connexion</w:t>
      </w:r>
      <w:r w:rsidRPr="00A8570C">
        <w:t xml:space="preserve">, which enters into our idea of cause and effect; and endeavour to find some other questions, </w:t>
      </w:r>
      <w:r>
        <w:t>…</w:t>
      </w:r>
      <w:r w:rsidRPr="00A8570C">
        <w:t xml:space="preserve"> which will perhaps afford a hint, that may serve to clear up the present difficulty.</w:t>
      </w:r>
      <w:r>
        <w:t>”  (</w:t>
      </w:r>
      <w:r>
        <w:rPr>
          <w:i/>
          <w:iCs/>
        </w:rPr>
        <w:t>T</w:t>
      </w:r>
      <w:r>
        <w:t> 1.3.2.13)</w:t>
      </w:r>
    </w:p>
    <w:p w14:paraId="0D557FEF" w14:textId="77777777" w:rsidR="00D01FF4" w:rsidRPr="003E78C6" w:rsidRDefault="00D01FF4" w:rsidP="00D01FF4">
      <w:pPr>
        <w:pStyle w:val="BlockQuote"/>
      </w:pPr>
      <w:r>
        <w:t>“</w:t>
      </w:r>
      <w:r w:rsidRPr="003F624B">
        <w:t>Tho</w:t>
      </w:r>
      <w:r>
        <w:t>’</w:t>
      </w:r>
      <w:r w:rsidRPr="003F624B">
        <w:t xml:space="preserve"> the several resembling instances, which give rise to the idea of power, </w:t>
      </w:r>
      <w:r>
        <w:t>…</w:t>
      </w:r>
      <w:r w:rsidRPr="003F624B">
        <w:t xml:space="preserve"> can never produce any new quality </w:t>
      </w:r>
      <w:r w:rsidRPr="003F624B">
        <w:rPr>
          <w:i/>
          <w:iCs/>
        </w:rPr>
        <w:t>in the object</w:t>
      </w:r>
      <w:r w:rsidRPr="003F624B">
        <w:t xml:space="preserve">, which can be the model of that idea, yet the </w:t>
      </w:r>
      <w:r w:rsidRPr="003F624B">
        <w:rPr>
          <w:i/>
          <w:iCs/>
        </w:rPr>
        <w:t>observation</w:t>
      </w:r>
      <w:r w:rsidRPr="003F624B">
        <w:t xml:space="preserve"> of this resemblance produces a new impression </w:t>
      </w:r>
      <w:r w:rsidRPr="003F624B">
        <w:rPr>
          <w:i/>
          <w:iCs/>
        </w:rPr>
        <w:t>in the mind</w:t>
      </w:r>
      <w:r w:rsidRPr="003F624B">
        <w:t xml:space="preserve">, which is its real model. </w:t>
      </w:r>
      <w:r>
        <w:t xml:space="preserve"> </w:t>
      </w:r>
      <w:r w:rsidRPr="003F624B">
        <w:t>For after we have observ</w:t>
      </w:r>
      <w:r>
        <w:t>’</w:t>
      </w:r>
      <w:r w:rsidRPr="003F624B">
        <w:t xml:space="preserve">d the resemblance in a sufficient number of instances, we immediately feel a determination of the mind to pass from one object to its usual attendant, and to conceive it in a stronger light upon account of that relation. </w:t>
      </w:r>
      <w:r>
        <w:t xml:space="preserve"> </w:t>
      </w:r>
      <w:r w:rsidRPr="003F624B">
        <w:lastRenderedPageBreak/>
        <w:t>This determination is the only effect of the resemblance; and therefore must be the same with power or efficacy, whose idea is deriv</w:t>
      </w:r>
      <w:r>
        <w:t>’</w:t>
      </w:r>
      <w:r w:rsidRPr="003F624B">
        <w:t xml:space="preserve">d from the resemblance. </w:t>
      </w:r>
      <w:r>
        <w:t xml:space="preserve"> …</w:t>
      </w:r>
      <w:r w:rsidRPr="003F624B">
        <w:t xml:space="preserve"> </w:t>
      </w:r>
      <w:r>
        <w:t xml:space="preserve"> </w:t>
      </w:r>
      <w:r w:rsidRPr="003F624B">
        <w:t xml:space="preserve">Necessity, then, is the effect of this observation, and is nothing but an internal impression of the mind, or a determination to carry our thoughts from one object to another. </w:t>
      </w:r>
      <w:r>
        <w:t xml:space="preserve"> </w:t>
      </w:r>
      <w:r w:rsidRPr="003F624B">
        <w:t xml:space="preserve">Without considering it in this view, we can never arrive at the most distant notion of it, or be able to attribute it either to </w:t>
      </w:r>
      <w:r>
        <w:t>…</w:t>
      </w:r>
      <w:r w:rsidRPr="003F624B">
        <w:t xml:space="preserve"> causes or effects.</w:t>
      </w:r>
      <w:r>
        <w:t>”  (</w:t>
      </w:r>
      <w:r>
        <w:rPr>
          <w:i/>
          <w:iCs/>
        </w:rPr>
        <w:t>T</w:t>
      </w:r>
      <w:r>
        <w:t> 1.3.14.20)</w:t>
      </w:r>
    </w:p>
    <w:p w14:paraId="241998EA" w14:textId="77777777" w:rsidR="00D01FF4" w:rsidRDefault="00D01FF4" w:rsidP="00D01FF4">
      <w:r>
        <w:t xml:space="preserve">The role of </w:t>
      </w:r>
      <w:r>
        <w:rPr>
          <w:i/>
          <w:iCs/>
        </w:rPr>
        <w:t>T</w:t>
      </w:r>
      <w:r>
        <w:t> 1.3.6</w:t>
      </w:r>
      <w:r>
        <w:noBreakHyphen/>
        <w:t xml:space="preserve">7 is to identify </w:t>
      </w:r>
      <w:r>
        <w:rPr>
          <w:i/>
          <w:iCs/>
        </w:rPr>
        <w:t>constant conjunction</w:t>
      </w:r>
      <w:r>
        <w:t xml:space="preserve"> and </w:t>
      </w:r>
      <w:r>
        <w:rPr>
          <w:i/>
          <w:iCs/>
        </w:rPr>
        <w:t>customary inference</w:t>
      </w:r>
      <w:r>
        <w:t xml:space="preserve"> as key, having excluded “reason” as a potential ground of inference:</w:t>
      </w:r>
    </w:p>
    <w:p w14:paraId="050C1F7B" w14:textId="77777777" w:rsidR="00D01FF4" w:rsidRDefault="00D01FF4" w:rsidP="00D01FF4">
      <w:pPr>
        <w:pStyle w:val="BlockQuote"/>
      </w:pPr>
      <w:r>
        <w:t>“</w:t>
      </w:r>
      <w:r w:rsidRPr="00D45289">
        <w:t>Thus in advancing we have insensibly discover</w:t>
      </w:r>
      <w:r>
        <w:t>’</w:t>
      </w:r>
      <w:r w:rsidRPr="00D45289">
        <w:t>d a new relation betwixt cause and effect, when we least expected it, and were entirely employ</w:t>
      </w:r>
      <w:r>
        <w:t>’</w:t>
      </w:r>
      <w:r w:rsidRPr="00D45289">
        <w:t xml:space="preserve">d upon another subject. </w:t>
      </w:r>
      <w:r>
        <w:t xml:space="preserve"> </w:t>
      </w:r>
      <w:r w:rsidRPr="00D45289">
        <w:t xml:space="preserve">This relation is their </w:t>
      </w:r>
      <w:r w:rsidRPr="00D45289">
        <w:rPr>
          <w:smallCaps/>
        </w:rPr>
        <w:t>constant conjunction</w:t>
      </w:r>
      <w:r w:rsidRPr="00D45289">
        <w:t>.</w:t>
      </w:r>
      <w:r>
        <w:t>”  (</w:t>
      </w:r>
      <w:r>
        <w:rPr>
          <w:i/>
          <w:iCs/>
        </w:rPr>
        <w:t>T</w:t>
      </w:r>
      <w:r>
        <w:t> 1.3.6.3).</w:t>
      </w:r>
    </w:p>
    <w:p w14:paraId="3D205653" w14:textId="77777777" w:rsidR="00D01FF4" w:rsidRDefault="00D01FF4" w:rsidP="00D01FF4">
      <w:pPr>
        <w:pStyle w:val="BlockQuote"/>
      </w:pPr>
      <w:r>
        <w:t>“</w:t>
      </w:r>
      <w:r w:rsidRPr="00A8570C">
        <w:t>When ev</w:t>
      </w:r>
      <w:r>
        <w:t>’</w:t>
      </w:r>
      <w:r w:rsidRPr="00A8570C">
        <w:t>ry individual of any species of objects is found by experience to be constantly united with an individual of another species, the appearance of any new individual of either species naturally conveys the thought to its usual attendant.</w:t>
      </w:r>
      <w:r>
        <w:t>”  (</w:t>
      </w:r>
      <w:r>
        <w:rPr>
          <w:i/>
          <w:iCs/>
        </w:rPr>
        <w:t>T</w:t>
      </w:r>
      <w:r>
        <w:t> 1.3.6.14).</w:t>
      </w:r>
    </w:p>
    <w:p w14:paraId="1C9C812D" w14:textId="77777777" w:rsidR="00D01FF4" w:rsidRDefault="00D01FF4" w:rsidP="00D01FF4">
      <w:pPr>
        <w:pStyle w:val="BlockQuote"/>
      </w:pPr>
      <w:r>
        <w:t>“</w:t>
      </w:r>
      <w:r w:rsidRPr="00A8570C">
        <w:t>Reason can never satisfy us that the existence of any one object does ever imply that of another; so that when we pass from the impression of one to the idea or belief of another, we are not determin</w:t>
      </w:r>
      <w:r>
        <w:t>’</w:t>
      </w:r>
      <w:r w:rsidRPr="00A8570C">
        <w:t>d by reason, but by custom or a principle of association.</w:t>
      </w:r>
      <w:r>
        <w:t>”  (</w:t>
      </w:r>
      <w:r>
        <w:rPr>
          <w:i/>
          <w:iCs/>
        </w:rPr>
        <w:t>T</w:t>
      </w:r>
      <w:r>
        <w:t> 1.3.7.6).</w:t>
      </w:r>
    </w:p>
    <w:p w14:paraId="3B1458B7" w14:textId="77777777" w:rsidR="00D01FF4" w:rsidRPr="003E78C6" w:rsidRDefault="00D01FF4" w:rsidP="00D01FF4">
      <w:pPr>
        <w:pStyle w:val="Heading3"/>
        <w:rPr>
          <w:i/>
          <w:iCs/>
        </w:rPr>
      </w:pPr>
      <w:r>
        <w:t xml:space="preserve">1.3  Later hints of scepticism in the </w:t>
      </w:r>
      <w:r>
        <w:rPr>
          <w:i/>
          <w:iCs/>
        </w:rPr>
        <w:t>Treatise</w:t>
      </w:r>
    </w:p>
    <w:p w14:paraId="169C3542" w14:textId="77777777" w:rsidR="00D01FF4" w:rsidRPr="003E78C6" w:rsidRDefault="00D01FF4" w:rsidP="00D01FF4">
      <w:pPr>
        <w:rPr>
          <w:u w:val="single"/>
        </w:rPr>
      </w:pPr>
      <w:r>
        <w:t xml:space="preserve">At </w:t>
      </w:r>
      <w:r>
        <w:rPr>
          <w:i/>
          <w:iCs/>
        </w:rPr>
        <w:t>T</w:t>
      </w:r>
      <w:r>
        <w:t xml:space="preserve"> 1.3.12.20, while urging acceptance of his “abstruse” theory of the “probability of causes”, Hume seems to acknowledge the potential sceptical significance of </w:t>
      </w:r>
      <w:r>
        <w:rPr>
          <w:i/>
          <w:iCs/>
        </w:rPr>
        <w:t>T</w:t>
      </w:r>
      <w:r>
        <w:t> 1.3.6:</w:t>
      </w:r>
    </w:p>
    <w:p w14:paraId="01B3D11D" w14:textId="77777777" w:rsidR="00D01FF4" w:rsidRPr="003E78C6" w:rsidRDefault="00D01FF4" w:rsidP="00D01FF4">
      <w:pPr>
        <w:pStyle w:val="BlockQuote"/>
      </w:pPr>
      <w:r>
        <w:t>“</w:t>
      </w:r>
      <w:r w:rsidRPr="003F624B">
        <w:t xml:space="preserve">Let men be once fully perswaded of these two principles, </w:t>
      </w:r>
      <w:r w:rsidRPr="003E78C6">
        <w:rPr>
          <w:i/>
          <w:iCs/>
        </w:rPr>
        <w:t>That there is nothing in any object, consider’d in itself, which can afford us a reason for drawing a conclusion beyond it</w:t>
      </w:r>
      <w:r w:rsidRPr="003F624B">
        <w:t xml:space="preserve">; and, </w:t>
      </w:r>
      <w:r w:rsidRPr="003E78C6">
        <w:rPr>
          <w:i/>
          <w:iCs/>
        </w:rPr>
        <w:t>That even after the observation of the frequent or constant conjunction of objects, we have no reason to draw any inference concerning any object beyond those of which we have had experience</w:t>
      </w:r>
      <w:r w:rsidRPr="003F624B">
        <w:t>; I say, let men be once fully convinc</w:t>
      </w:r>
      <w:r>
        <w:t>’</w:t>
      </w:r>
      <w:r w:rsidRPr="003F624B">
        <w:t>d of these two principles, and this will throw them so loose from all common systems, that they will make no difficulty of receiving any, which may appear the most extraordinary.</w:t>
      </w:r>
      <w:r>
        <w:t>”  (T 1.3.12.20)</w:t>
      </w:r>
    </w:p>
    <w:p w14:paraId="6A69F87C" w14:textId="77777777" w:rsidR="00D01FF4" w:rsidRDefault="00D01FF4" w:rsidP="00D01FF4">
      <w:r>
        <w:t>In the Conclusion of Book 1, the dependence of induction on custom and the enlivening of ideas is the first (but by no means the most serious) sceptical concern that Hume raises:</w:t>
      </w:r>
    </w:p>
    <w:p w14:paraId="7E6E9AAA" w14:textId="77777777" w:rsidR="00D01FF4" w:rsidRDefault="00D01FF4" w:rsidP="00D01FF4">
      <w:pPr>
        <w:pStyle w:val="BlockQuote"/>
        <w:rPr>
          <w:u w:val="single"/>
        </w:rPr>
      </w:pPr>
      <w:r>
        <w:t>“</w:t>
      </w:r>
      <w:r w:rsidRPr="00723E6B">
        <w:t>After the most accurate and exact of my reasonings, I can give no reason why I shou</w:t>
      </w:r>
      <w:r>
        <w:t>’</w:t>
      </w:r>
      <w:r w:rsidRPr="00723E6B">
        <w:t xml:space="preserve">d assent to it; and feel nothing but a </w:t>
      </w:r>
      <w:r w:rsidRPr="00723E6B">
        <w:rPr>
          <w:i/>
          <w:iCs/>
        </w:rPr>
        <w:t>strong</w:t>
      </w:r>
      <w:r w:rsidRPr="00723E6B">
        <w:t xml:space="preserve"> propensity to consider objects </w:t>
      </w:r>
      <w:r w:rsidRPr="00723E6B">
        <w:rPr>
          <w:i/>
          <w:iCs/>
        </w:rPr>
        <w:t>strongly</w:t>
      </w:r>
      <w:r w:rsidRPr="00723E6B">
        <w:t xml:space="preserve"> in that view, under which they appear to me. </w:t>
      </w:r>
      <w:r>
        <w:t xml:space="preserve"> </w:t>
      </w:r>
      <w:r w:rsidRPr="00723E6B">
        <w:t xml:space="preserve">Experience is a principle, which instructs me in the several conjunctions of objects for the past. </w:t>
      </w:r>
      <w:r>
        <w:t xml:space="preserve"> </w:t>
      </w:r>
      <w:r w:rsidRPr="00723E6B">
        <w:t xml:space="preserve">Habit is another principle, which determines me to expect the same for the future; and both of them conspiring to operate upon the imagination, make me form certain ideas in a more intense and lively manner, than others, which are not attended with the same advantages. </w:t>
      </w:r>
      <w:r>
        <w:t xml:space="preserve"> </w:t>
      </w:r>
      <w:r w:rsidRPr="00723E6B">
        <w:t>Without this quality, by which the mind enlivens some ideas beyond others (which seemingly is so trivial, and so little founded on reason) we cou'd never assent to any argument, nor carry our view beyond those few objects, which are present to our senses.</w:t>
      </w:r>
      <w:r>
        <w:t>” (</w:t>
      </w:r>
      <w:r>
        <w:rPr>
          <w:i/>
          <w:iCs/>
        </w:rPr>
        <w:t>T</w:t>
      </w:r>
      <w:r>
        <w:t> 1.4.7.3)</w:t>
      </w:r>
    </w:p>
    <w:p w14:paraId="743078FF" w14:textId="77777777" w:rsidR="00D01FF4" w:rsidRPr="003E78C6" w:rsidRDefault="00D01FF4" w:rsidP="00D01FF4">
      <w:pPr>
        <w:pStyle w:val="Heading3"/>
      </w:pPr>
      <w:r>
        <w:t xml:space="preserve">1.4  The </w:t>
      </w:r>
      <w:r w:rsidRPr="003E78C6">
        <w:rPr>
          <w:i/>
          <w:iCs/>
        </w:rPr>
        <w:t>Enquiry</w:t>
      </w:r>
      <w:r w:rsidRPr="00723E6B">
        <w:t xml:space="preserve"> argument is sceptical</w:t>
      </w:r>
      <w:r>
        <w:t xml:space="preserve">, but … </w:t>
      </w:r>
    </w:p>
    <w:p w14:paraId="029EB79E" w14:textId="77777777" w:rsidR="00D01FF4" w:rsidRPr="004C6520" w:rsidRDefault="00D01FF4" w:rsidP="00D01FF4">
      <w:pPr>
        <w:rPr>
          <w:u w:val="single"/>
        </w:rPr>
      </w:pPr>
      <w:r>
        <w:t xml:space="preserve">In the </w:t>
      </w:r>
      <w:r>
        <w:rPr>
          <w:i/>
          <w:iCs/>
        </w:rPr>
        <w:t>Enquiry</w:t>
      </w:r>
      <w:r>
        <w:t xml:space="preserve">, Hume’s chapter on induction is entitled “Sceptical doubts concerning the operations of the understanding”.  Moreover the argument proceeds by </w:t>
      </w:r>
      <w:r>
        <w:rPr>
          <w:i/>
          <w:iCs/>
          <w:u w:val="single"/>
        </w:rPr>
        <w:t>first</w:t>
      </w:r>
      <w:r>
        <w:t xml:space="preserve">, identifying extrapolation from observed to unobserved (often called the </w:t>
      </w:r>
      <w:r w:rsidRPr="004C6520">
        <w:rPr>
          <w:i/>
          <w:iCs/>
        </w:rPr>
        <w:t>Uniformity Principle</w:t>
      </w:r>
      <w:r>
        <w:t>) as essential for inference to the unobserved (</w:t>
      </w:r>
      <w:r>
        <w:rPr>
          <w:i/>
          <w:iCs/>
        </w:rPr>
        <w:t>E</w:t>
      </w:r>
      <w:r>
        <w:t xml:space="preserve"> 4.16); and </w:t>
      </w:r>
      <w:r>
        <w:rPr>
          <w:i/>
          <w:iCs/>
          <w:u w:val="single"/>
        </w:rPr>
        <w:t>then</w:t>
      </w:r>
      <w:r>
        <w:t xml:space="preserve"> showing that this cannot be supported by </w:t>
      </w:r>
      <w:r>
        <w:rPr>
          <w:i/>
          <w:iCs/>
        </w:rPr>
        <w:t>intuition</w:t>
      </w:r>
      <w:r>
        <w:t xml:space="preserve">, </w:t>
      </w:r>
      <w:r>
        <w:rPr>
          <w:i/>
          <w:iCs/>
        </w:rPr>
        <w:t>sensation</w:t>
      </w:r>
      <w:r>
        <w:t xml:space="preserve">, </w:t>
      </w:r>
      <w:r>
        <w:rPr>
          <w:i/>
          <w:iCs/>
        </w:rPr>
        <w:t>demonstration</w:t>
      </w:r>
      <w:r>
        <w:t xml:space="preserve">, or </w:t>
      </w:r>
      <w:r>
        <w:rPr>
          <w:i/>
          <w:iCs/>
        </w:rPr>
        <w:t>probable argument</w:t>
      </w:r>
      <w:r>
        <w:t>.  This seems to be clearly sceptical in approach.</w:t>
      </w:r>
    </w:p>
    <w:p w14:paraId="1DF6C7F2" w14:textId="77777777" w:rsidR="00D01FF4" w:rsidRDefault="00D01FF4" w:rsidP="00D01FF4">
      <w:pPr>
        <w:pStyle w:val="BlockQuote"/>
      </w:pPr>
      <w:r>
        <w:t>“</w:t>
      </w:r>
      <w:r w:rsidRPr="004C6520">
        <w:t xml:space="preserve">These two propositions are far from being the same, </w:t>
      </w:r>
      <w:r w:rsidRPr="00046011">
        <w:rPr>
          <w:i/>
          <w:iCs/>
        </w:rPr>
        <w:t>I have found that such an object has always been attended with such an effect</w:t>
      </w:r>
      <w:r w:rsidRPr="004C6520">
        <w:t xml:space="preserve">, and </w:t>
      </w:r>
      <w:r w:rsidRPr="00046011">
        <w:rPr>
          <w:i/>
          <w:iCs/>
        </w:rPr>
        <w:t>I foresee, that other objects, which are, in appearance, similar, will be attended with similar effects</w:t>
      </w:r>
      <w:r w:rsidRPr="004C6520">
        <w:t>.</w:t>
      </w:r>
      <w:r>
        <w:t xml:space="preserve">  …  </w:t>
      </w:r>
      <w:r w:rsidRPr="004C6520">
        <w:rPr>
          <w:u w:val="single"/>
        </w:rPr>
        <w:t>The connexion between these propositions is not intuitive</w:t>
      </w:r>
      <w:r w:rsidRPr="004C6520">
        <w:t xml:space="preserve">. </w:t>
      </w:r>
      <w:r>
        <w:t xml:space="preserve"> </w:t>
      </w:r>
      <w:r w:rsidRPr="004C6520">
        <w:t xml:space="preserve">There is </w:t>
      </w:r>
      <w:r w:rsidRPr="004C6520">
        <w:lastRenderedPageBreak/>
        <w:t>required a medium, which may enable the mind to draw such an inference, if indeed it be drawn by reasoning and argument.</w:t>
      </w:r>
      <w:r>
        <w:t>”  (E 4.16)</w:t>
      </w:r>
    </w:p>
    <w:p w14:paraId="1F615474" w14:textId="77777777" w:rsidR="00D01FF4" w:rsidRDefault="00D01FF4" w:rsidP="00D01FF4">
      <w:pPr>
        <w:pStyle w:val="BlockQuote"/>
      </w:pPr>
      <w:r>
        <w:t>“</w:t>
      </w:r>
      <w:r w:rsidRPr="004C6520">
        <w:t xml:space="preserve">It is allowed on all hands, that there is </w:t>
      </w:r>
      <w:r w:rsidRPr="004C6520">
        <w:rPr>
          <w:u w:val="single"/>
        </w:rPr>
        <w:t>no known connexion between the sensible qualities and the secret powers</w:t>
      </w:r>
      <w:r w:rsidRPr="004C6520">
        <w:t>; and consequently, that the mind is not led to form such a conclusion concerning their constant and regular conjunction, by any thing which it knows of their nature.</w:t>
      </w:r>
      <w:r>
        <w:t>”  (E 4.16)</w:t>
      </w:r>
    </w:p>
    <w:p w14:paraId="73F19FD5" w14:textId="77777777" w:rsidR="00D01FF4" w:rsidRDefault="00D01FF4" w:rsidP="00D01FF4">
      <w:pPr>
        <w:pStyle w:val="BlockQuote"/>
      </w:pPr>
      <w:r>
        <w:t>“</w:t>
      </w:r>
      <w:r w:rsidRPr="004C6520">
        <w:t xml:space="preserve">That there are </w:t>
      </w:r>
      <w:r w:rsidRPr="00046011">
        <w:rPr>
          <w:u w:val="single"/>
        </w:rPr>
        <w:t>no demonstrative arguments</w:t>
      </w:r>
      <w:r w:rsidRPr="004C6520">
        <w:t xml:space="preserve"> in the case, seems evident; since it implies no contradiction, that the course of nature may change</w:t>
      </w:r>
      <w:r>
        <w:t>”  (E 4.18)</w:t>
      </w:r>
    </w:p>
    <w:p w14:paraId="178DA957" w14:textId="77777777" w:rsidR="00D01FF4" w:rsidRPr="00425F2C" w:rsidRDefault="00D01FF4" w:rsidP="00D01FF4">
      <w:pPr>
        <w:pStyle w:val="BlockQuote"/>
        <w:rPr>
          <w:u w:val="single"/>
        </w:rPr>
      </w:pPr>
      <w:r>
        <w:t>“</w:t>
      </w:r>
      <w:r w:rsidRPr="004C6520">
        <w:t xml:space="preserve">all our experimental conclusions proceed upon the supposition, that the future will be conformable to the past. To endeavour, therefore, the proof of this last supposition by </w:t>
      </w:r>
      <w:r w:rsidRPr="00046011">
        <w:rPr>
          <w:u w:val="single"/>
        </w:rPr>
        <w:t>probable arguments</w:t>
      </w:r>
      <w:r w:rsidRPr="004C6520">
        <w:t xml:space="preserve"> </w:t>
      </w:r>
      <w:r>
        <w:t xml:space="preserve">… </w:t>
      </w:r>
      <w:r w:rsidRPr="004C6520">
        <w:t>must be evidently going in a circle, and taking that for granted, which is the very point in question.</w:t>
      </w:r>
      <w:r>
        <w:t>”  (E 4.19)</w:t>
      </w:r>
    </w:p>
    <w:p w14:paraId="30A624EE" w14:textId="77777777" w:rsidR="00D01FF4" w:rsidRDefault="00D01FF4" w:rsidP="00D01FF4">
      <w:r>
        <w:t xml:space="preserve">In the final section of the </w:t>
      </w:r>
      <w:r>
        <w:rPr>
          <w:i/>
          <w:iCs/>
        </w:rPr>
        <w:t>Enquiry</w:t>
      </w:r>
      <w:r>
        <w:t>, Hume’s argument from Section 4 is put into the mouth of the sceptic:</w:t>
      </w:r>
    </w:p>
    <w:p w14:paraId="70E38C62" w14:textId="77777777" w:rsidR="00D01FF4" w:rsidRPr="00046011" w:rsidRDefault="00D01FF4" w:rsidP="00D01FF4">
      <w:pPr>
        <w:pStyle w:val="BlockQuote"/>
      </w:pPr>
      <w:r>
        <w:t>“</w:t>
      </w:r>
      <w:r w:rsidRPr="00046011">
        <w:t xml:space="preserve">The sceptic </w:t>
      </w:r>
      <w:r>
        <w:t>…</w:t>
      </w:r>
      <w:r w:rsidRPr="00046011">
        <w:t xml:space="preserve"> seems to have ample matter of triumph; while he justly insists, that all our evidence for any matter of fact, which lies beyond the testimony of sense or memory, is derived entirely from the relation of cause and effect; that we have no other idea of this relation than that of two objects, which have been frequently conjoined together; that we have no argument to convince us, that objects, which have, in our experience, been frequently conjoined, will likewise, in other instances, be conjoined in the same manner; and that nothing leads us to this inference but custom or a certain instinct of our nature; which it is indeed difficult to resist, but which, like other instincts, may be fallacious and deceitful. </w:t>
      </w:r>
      <w:r>
        <w:t xml:space="preserve"> </w:t>
      </w:r>
      <w:r w:rsidRPr="00046011">
        <w:t>While the sceptic insists upon these topics, he shews his force, or rather, indeed, his own and our weakness; and seems, for the time at least, to destroy all assurance and conviction.</w:t>
      </w:r>
      <w:r>
        <w:t>”  (</w:t>
      </w:r>
      <w:r>
        <w:rPr>
          <w:i/>
          <w:iCs/>
        </w:rPr>
        <w:t>E</w:t>
      </w:r>
      <w:r>
        <w:t> 12.22)</w:t>
      </w:r>
    </w:p>
    <w:p w14:paraId="648D8835" w14:textId="77777777" w:rsidR="00D01FF4" w:rsidRPr="003E78C6" w:rsidRDefault="00D01FF4" w:rsidP="00D01FF4">
      <w:pPr>
        <w:pStyle w:val="Heading3"/>
      </w:pPr>
      <w:r>
        <w:t xml:space="preserve">1.5  … in the </w:t>
      </w:r>
      <w:r w:rsidRPr="003E78C6">
        <w:rPr>
          <w:i/>
          <w:iCs/>
        </w:rPr>
        <w:t>Enquiry</w:t>
      </w:r>
      <w:r>
        <w:t xml:space="preserve">, Hume explicitly answers the sceptic </w:t>
      </w:r>
    </w:p>
    <w:p w14:paraId="24AF35CB" w14:textId="77777777" w:rsidR="00D01FF4" w:rsidRDefault="00D01FF4" w:rsidP="00D01FF4">
      <w:r>
        <w:t>Having put his own argument into the mouth of the sceptic (as above), Hume then gives an answer which appears (to me, at any rate), to be quite persuasive:</w:t>
      </w:r>
      <w:r>
        <w:rPr>
          <w:rStyle w:val="FootnoteReference"/>
        </w:rPr>
        <w:footnoteReference w:id="2"/>
      </w:r>
    </w:p>
    <w:p w14:paraId="70AF6CBB" w14:textId="77777777" w:rsidR="00D01FF4" w:rsidRDefault="00D01FF4" w:rsidP="00D01FF4">
      <w:pPr>
        <w:pStyle w:val="BlockQuote"/>
      </w:pPr>
      <w:r>
        <w:t>“</w:t>
      </w:r>
      <w:r w:rsidRPr="00046011">
        <w:t xml:space="preserve">For here is the chief and most confounding objection to excessive scepticism, that no durable good can ever result from it; while it remains in its full force and vigour. </w:t>
      </w:r>
      <w:r>
        <w:t xml:space="preserve"> </w:t>
      </w:r>
      <w:r w:rsidRPr="00046011">
        <w:t xml:space="preserve">We need only ask such a sceptic, </w:t>
      </w:r>
      <w:r w:rsidRPr="00046011">
        <w:rPr>
          <w:i/>
          <w:iCs/>
        </w:rPr>
        <w:t xml:space="preserve">What his meaning is? </w:t>
      </w:r>
      <w:r>
        <w:rPr>
          <w:i/>
          <w:iCs/>
        </w:rPr>
        <w:t xml:space="preserve"> </w:t>
      </w:r>
      <w:r w:rsidRPr="00046011">
        <w:rPr>
          <w:i/>
          <w:iCs/>
        </w:rPr>
        <w:t>And what he proposes by all these curious researches?</w:t>
      </w:r>
      <w:r w:rsidRPr="00046011">
        <w:t xml:space="preserve"> </w:t>
      </w:r>
      <w:r>
        <w:t xml:space="preserve"> …</w:t>
      </w:r>
      <w:r w:rsidRPr="00046011">
        <w:t xml:space="preserve"> a </w:t>
      </w:r>
      <w:r w:rsidRPr="00B41208">
        <w:rPr>
          <w:smallCaps/>
        </w:rPr>
        <w:t>Pyrrhonian</w:t>
      </w:r>
      <w:r w:rsidRPr="00046011">
        <w:t xml:space="preserve"> cannot expect, that his philosophy will have any constant influence on the mind: Or if it had, that its influence would be beneficial to society. </w:t>
      </w:r>
      <w:r>
        <w:t xml:space="preserve"> </w:t>
      </w:r>
      <w:r w:rsidRPr="00046011">
        <w:t>On the contrary, he must acknowledge, if he will acknowledge any thing, that all human life must perish, were his principles universally and steadily to prevail.</w:t>
      </w:r>
      <w:r>
        <w:t xml:space="preserve"> </w:t>
      </w:r>
      <w:r w:rsidRPr="00046011">
        <w:t xml:space="preserve"> All discourse, all action would immediately cease; and men remain in a total lethargy, till the necessities of nature, unsatisfied, put an end to their miserable existence.</w:t>
      </w:r>
      <w:r>
        <w:t xml:space="preserve"> </w:t>
      </w:r>
      <w:r w:rsidRPr="00046011">
        <w:t xml:space="preserve"> </w:t>
      </w:r>
      <w:r>
        <w:t>…</w:t>
      </w:r>
      <w:r w:rsidRPr="00046011">
        <w:t xml:space="preserve"> all his objections </w:t>
      </w:r>
      <w:r>
        <w:t>…</w:t>
      </w:r>
      <w:r w:rsidRPr="00046011">
        <w:t xml:space="preserve"> can have no other tendency than to show the whimsical condition of mankind, who must act and reason and believe; though they are not able, by their most diligent enquiry, to satisfy themselves concerning the foundation of these operations, or to remove the objections, which may be raised against them.</w:t>
      </w:r>
      <w:r>
        <w:t>”  (</w:t>
      </w:r>
      <w:r>
        <w:rPr>
          <w:i/>
          <w:iCs/>
        </w:rPr>
        <w:t>E</w:t>
      </w:r>
      <w:r>
        <w:t> 12.23)</w:t>
      </w:r>
    </w:p>
    <w:p w14:paraId="14EB46C9" w14:textId="77777777" w:rsidR="00D01FF4" w:rsidRDefault="00D01FF4" w:rsidP="00D01FF4">
      <w:r>
        <w:t xml:space="preserve">This can usefully be read in conjunction with an important paragraph much earlier in Section 12, where Hume rejects what he calls extreme </w:t>
      </w:r>
      <w:r>
        <w:rPr>
          <w:i/>
          <w:iCs/>
        </w:rPr>
        <w:t>antecedent</w:t>
      </w:r>
      <w:r>
        <w:t xml:space="preserve"> scepticism:</w:t>
      </w:r>
    </w:p>
    <w:p w14:paraId="21074272" w14:textId="77777777" w:rsidR="00D01FF4" w:rsidRPr="00BA5703" w:rsidRDefault="00D01FF4" w:rsidP="00D01FF4">
      <w:pPr>
        <w:pStyle w:val="BlockQuote"/>
      </w:pPr>
      <w:r>
        <w:t>“</w:t>
      </w:r>
      <w:r w:rsidRPr="00BA5703">
        <w:t xml:space="preserve">There is a species of scepticism, </w:t>
      </w:r>
      <w:r w:rsidRPr="00BA5703">
        <w:rPr>
          <w:i/>
          <w:iCs/>
        </w:rPr>
        <w:t>antecedent</w:t>
      </w:r>
      <w:r w:rsidRPr="00BA5703">
        <w:t xml:space="preserve"> to all study and philosophy, which is much inculcated by Des Cartes and others, as a sovereign preservative against error and precipitate judgment.</w:t>
      </w:r>
      <w:r>
        <w:t xml:space="preserve"> </w:t>
      </w:r>
      <w:r w:rsidRPr="00BA5703">
        <w:t xml:space="preserve"> It recommends an universal doubt, not only of all our former opinions and principles, but also of our very faculties; of whose veracity, say they, we must assure ourselves, by a chain of reasoning, deduced from some original principle, which cannot possibly be fallacious or deceitful. </w:t>
      </w:r>
      <w:r>
        <w:t xml:space="preserve"> </w:t>
      </w:r>
      <w:r w:rsidRPr="00BA5703">
        <w:t xml:space="preserve">But neither is there any such original principle, which has a prerogative above others, that are self-evident and convincing: Or if there were, could we advance a step beyond it, but by the use of those very faculties, of which we are supposed to be already diffident. </w:t>
      </w:r>
      <w:r>
        <w:t xml:space="preserve"> </w:t>
      </w:r>
      <w:r w:rsidRPr="00BA5703">
        <w:t xml:space="preserve">The Cartesian doubt, therefore, were it ever possible to be attained by any human creature (as </w:t>
      </w:r>
      <w:r w:rsidRPr="00BA5703">
        <w:lastRenderedPageBreak/>
        <w:t>it plainly is not) would be entirely incurable; and no reasoning could ever bring us to a state of assurance and conviction upon any subject.</w:t>
      </w:r>
      <w:r>
        <w:t>”  (</w:t>
      </w:r>
      <w:r>
        <w:rPr>
          <w:i/>
          <w:iCs/>
        </w:rPr>
        <w:t>E</w:t>
      </w:r>
      <w:r>
        <w:t> 12.3)</w:t>
      </w:r>
    </w:p>
    <w:p w14:paraId="2E8CD673" w14:textId="77777777" w:rsidR="00D01FF4" w:rsidRPr="00BA5703" w:rsidRDefault="00D01FF4" w:rsidP="00D01FF4">
      <w:r>
        <w:t xml:space="preserve">Instead of attempting this hopeless task of justifying our faculties </w:t>
      </w:r>
      <w:r>
        <w:rPr>
          <w:i/>
          <w:iCs/>
        </w:rPr>
        <w:t>a priori</w:t>
      </w:r>
      <w:r>
        <w:t xml:space="preserve"> (when obviously any justification can only be done using those very faculties), Hume seems to be suggesting here that we should be prepared initially to give </w:t>
      </w:r>
      <w:r w:rsidRPr="00BA5703">
        <w:rPr>
          <w:i/>
          <w:iCs/>
        </w:rPr>
        <w:t>default</w:t>
      </w:r>
      <w:r>
        <w:t xml:space="preserve"> authority to our faculties, and adopt a “</w:t>
      </w:r>
      <w:r>
        <w:rPr>
          <w:i/>
          <w:iCs/>
        </w:rPr>
        <w:t>consequent</w:t>
      </w:r>
      <w:r>
        <w:t>” sceptical position only if, and when, we discover by experience “</w:t>
      </w:r>
      <w:r w:rsidRPr="00BA5703">
        <w:t xml:space="preserve">either the absolute fallaciousness of </w:t>
      </w:r>
      <w:r>
        <w:t>[our]</w:t>
      </w:r>
      <w:r w:rsidRPr="00BA5703">
        <w:t xml:space="preserve"> mental faculties, or their unfitness to reach any fixed determination</w:t>
      </w:r>
      <w:r>
        <w:t>” (</w:t>
      </w:r>
      <w:r>
        <w:rPr>
          <w:i/>
          <w:iCs/>
        </w:rPr>
        <w:t>E</w:t>
      </w:r>
      <w:r>
        <w:t xml:space="preserve"> 12.5).  In the case of induction, the recognition of our “whimsical condition” – whereby we “must act and reason and believe” without being able to give a fundamental justification of our assumption that the future will resemble the past – does not constitute such a worrying discovery.  It may indeed raise a </w:t>
      </w:r>
      <w:r w:rsidRPr="00FE4C1D">
        <w:rPr>
          <w:i/>
          <w:iCs/>
        </w:rPr>
        <w:t>theoretical sceptical worry</w:t>
      </w:r>
      <w:r>
        <w:t xml:space="preserve">, but it gives no practical basis for </w:t>
      </w:r>
      <w:r>
        <w:rPr>
          <w:i/>
          <w:iCs/>
        </w:rPr>
        <w:t>rejecting</w:t>
      </w:r>
      <w:r>
        <w:t xml:space="preserve"> our default reliance on induction, especially when we are convinced “that all human life must perish” were the sceptic’s “principles universally and steadily to prevail”.  We stand to lose everything by following the sceptic, who cannot reasonably (on his own principles) assure us of any benefit if we do so.</w:t>
      </w:r>
    </w:p>
    <w:p w14:paraId="6C0BB4BE" w14:textId="77777777" w:rsidR="00D01FF4" w:rsidRDefault="00D01FF4" w:rsidP="00D01FF4">
      <w:pPr>
        <w:pStyle w:val="Heading3"/>
      </w:pPr>
      <w:r>
        <w:t>1.6  Explaining Hume’s attitude to induction</w:t>
      </w:r>
    </w:p>
    <w:p w14:paraId="3FF47D7F" w14:textId="761B1B56" w:rsidR="009F6316" w:rsidRPr="009F6316" w:rsidRDefault="00D01FF4" w:rsidP="00D01FF4">
      <w:r>
        <w:t xml:space="preserve">In view of the above, it is far easier to explain Hume’s attitude to induction based on the </w:t>
      </w:r>
      <w:r>
        <w:rPr>
          <w:i/>
          <w:iCs/>
        </w:rPr>
        <w:t>Enquiry</w:t>
      </w:r>
      <w:r>
        <w:t xml:space="preserve"> than on the </w:t>
      </w:r>
      <w:r>
        <w:rPr>
          <w:i/>
          <w:iCs/>
        </w:rPr>
        <w:t>Treatise</w:t>
      </w:r>
      <w:r>
        <w:t xml:space="preserve"> – he says so much more about it there, and explicitly faces up to the sceptical concerns.  It also seems plausible that his overall attitude to induction is largely the same in both works – for there is little to indicate a serious change in view – so it is justifiable, even if discussing induction with primary reference to the </w:t>
      </w:r>
      <w:r>
        <w:rPr>
          <w:i/>
          <w:iCs/>
        </w:rPr>
        <w:t>Treatise</w:t>
      </w:r>
      <w:r>
        <w:t xml:space="preserve">, to appeal to the </w:t>
      </w:r>
      <w:r>
        <w:rPr>
          <w:i/>
          <w:iCs/>
        </w:rPr>
        <w:t>Enquiry</w:t>
      </w:r>
      <w:r>
        <w:t xml:space="preserve"> for clarification.</w:t>
      </w:r>
      <w:r>
        <w:rPr>
          <w:rStyle w:val="FootnoteReference"/>
        </w:rPr>
        <w:footnoteReference w:id="3"/>
      </w:r>
    </w:p>
    <w:sectPr w:rsidR="009F6316" w:rsidRPr="009F6316" w:rsidSect="00D13B32">
      <w:footerReference w:type="default" r:id="rId8"/>
      <w:pgSz w:w="11906" w:h="16838" w:code="9"/>
      <w:pgMar w:top="567" w:right="1134" w:bottom="1304" w:left="1134" w:header="28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34D4AF" w14:textId="77777777" w:rsidR="00D04753" w:rsidRDefault="00D04753" w:rsidP="004B4AE0">
      <w:pPr>
        <w:spacing w:before="0" w:line="240" w:lineRule="auto"/>
      </w:pPr>
      <w:r>
        <w:separator/>
      </w:r>
    </w:p>
  </w:endnote>
  <w:endnote w:type="continuationSeparator" w:id="0">
    <w:p w14:paraId="0F558137" w14:textId="77777777" w:rsidR="00D04753" w:rsidRDefault="00D04753" w:rsidP="004B4AE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4203341"/>
      <w:docPartObj>
        <w:docPartGallery w:val="Page Numbers (Bottom of Page)"/>
        <w:docPartUnique/>
      </w:docPartObj>
    </w:sdtPr>
    <w:sdtEndPr>
      <w:rPr>
        <w:noProof/>
      </w:rPr>
    </w:sdtEndPr>
    <w:sdtContent>
      <w:p w14:paraId="2812CD67" w14:textId="70B14245" w:rsidR="00E27FC7" w:rsidRDefault="00E27F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FA0FD3" w14:textId="77777777" w:rsidR="00E27FC7" w:rsidRDefault="00E27F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66C733" w14:textId="77777777" w:rsidR="00D04753" w:rsidRDefault="00D04753" w:rsidP="004B4AE0">
      <w:pPr>
        <w:spacing w:before="0" w:line="240" w:lineRule="auto"/>
      </w:pPr>
      <w:r>
        <w:separator/>
      </w:r>
    </w:p>
  </w:footnote>
  <w:footnote w:type="continuationSeparator" w:id="0">
    <w:p w14:paraId="0F011950" w14:textId="77777777" w:rsidR="00D04753" w:rsidRDefault="00D04753" w:rsidP="004B4AE0">
      <w:pPr>
        <w:spacing w:before="0" w:line="240" w:lineRule="auto"/>
      </w:pPr>
      <w:r>
        <w:continuationSeparator/>
      </w:r>
    </w:p>
  </w:footnote>
  <w:footnote w:id="1">
    <w:p w14:paraId="65E8EF20" w14:textId="77777777" w:rsidR="00D01FF4" w:rsidRPr="00B41208" w:rsidRDefault="00D01FF4" w:rsidP="00D01FF4">
      <w:pPr>
        <w:pStyle w:val="FootnoteText"/>
        <w:rPr>
          <w:lang w:val="en-US"/>
        </w:rPr>
      </w:pPr>
      <w:r>
        <w:rPr>
          <w:rStyle w:val="FootnoteReference"/>
        </w:rPr>
        <w:footnoteRef/>
      </w:r>
      <w:r>
        <w:t xml:space="preserve"> </w:t>
      </w:r>
      <w:r>
        <w:rPr>
          <w:lang w:val="en-US"/>
        </w:rPr>
        <w:t>“</w:t>
      </w:r>
      <w:r w:rsidRPr="00B41208">
        <w:rPr>
          <w:lang w:val="en-US"/>
        </w:rPr>
        <w:t xml:space="preserve">the only </w:t>
      </w:r>
      <w:r>
        <w:rPr>
          <w:lang w:val="en-US"/>
        </w:rPr>
        <w:t>[relation],</w:t>
      </w:r>
      <w:r w:rsidRPr="00B41208">
        <w:rPr>
          <w:lang w:val="en-US"/>
        </w:rPr>
        <w:t xml:space="preserve"> that can be trac</w:t>
      </w:r>
      <w:r>
        <w:rPr>
          <w:lang w:val="en-US"/>
        </w:rPr>
        <w:t>’</w:t>
      </w:r>
      <w:r w:rsidRPr="00B41208">
        <w:rPr>
          <w:lang w:val="en-US"/>
        </w:rPr>
        <w:t>d beyond our senses, and informs us of existences and objects, which we do not see or feel, is causation</w:t>
      </w:r>
      <w:r>
        <w:rPr>
          <w:lang w:val="en-US"/>
        </w:rPr>
        <w:t>” (</w:t>
      </w:r>
      <w:r>
        <w:rPr>
          <w:i/>
          <w:iCs/>
          <w:lang w:val="en-US"/>
        </w:rPr>
        <w:t>T</w:t>
      </w:r>
      <w:r>
        <w:rPr>
          <w:lang w:val="en-US"/>
        </w:rPr>
        <w:t> 1.3.2.3); “</w:t>
      </w:r>
      <w:r w:rsidRPr="00B41208">
        <w:rPr>
          <w:lang w:val="en-US"/>
        </w:rPr>
        <w:t xml:space="preserve">All reasonings concerning matter of fact seem to be founded on the relation of </w:t>
      </w:r>
      <w:r w:rsidRPr="004A3334">
        <w:rPr>
          <w:i/>
          <w:iCs/>
          <w:lang w:val="en-US"/>
        </w:rPr>
        <w:t>Cause and Effect</w:t>
      </w:r>
      <w:r w:rsidRPr="00B41208">
        <w:rPr>
          <w:lang w:val="en-US"/>
        </w:rPr>
        <w:t xml:space="preserve">. </w:t>
      </w:r>
      <w:r>
        <w:rPr>
          <w:lang w:val="en-US"/>
        </w:rPr>
        <w:t xml:space="preserve"> </w:t>
      </w:r>
      <w:r w:rsidRPr="00B41208">
        <w:rPr>
          <w:lang w:val="en-US"/>
        </w:rPr>
        <w:t>By means of that relation alone we can go beyond the evidence of our memory and senses.</w:t>
      </w:r>
      <w:r>
        <w:rPr>
          <w:lang w:val="en-US"/>
        </w:rPr>
        <w:t>” (</w:t>
      </w:r>
      <w:r>
        <w:rPr>
          <w:i/>
          <w:iCs/>
          <w:lang w:val="en-US"/>
        </w:rPr>
        <w:t>E</w:t>
      </w:r>
      <w:r>
        <w:rPr>
          <w:lang w:val="en-US"/>
        </w:rPr>
        <w:t> 4.4).</w:t>
      </w:r>
    </w:p>
  </w:footnote>
  <w:footnote w:id="2">
    <w:p w14:paraId="342A79E4" w14:textId="77777777" w:rsidR="00D01FF4" w:rsidRPr="00BA5703" w:rsidRDefault="00D01FF4" w:rsidP="00D01FF4">
      <w:pPr>
        <w:pStyle w:val="FootnoteText"/>
        <w:rPr>
          <w:lang w:val="en-US"/>
        </w:rPr>
      </w:pPr>
      <w:r>
        <w:rPr>
          <w:rStyle w:val="FootnoteReference"/>
        </w:rPr>
        <w:footnoteRef/>
      </w:r>
      <w:r>
        <w:t xml:space="preserve">  For a full explanation of what I take this answer to be, see §1 of my “Hume’s ‘Scepticism’ about Induction” (2012).</w:t>
      </w:r>
    </w:p>
  </w:footnote>
  <w:footnote w:id="3">
    <w:p w14:paraId="5C92DC72" w14:textId="77777777" w:rsidR="00D01FF4" w:rsidRPr="00C67EE9" w:rsidRDefault="00D01FF4" w:rsidP="00D01FF4">
      <w:pPr>
        <w:pStyle w:val="FootnoteText"/>
        <w:rPr>
          <w:lang w:val="en-US"/>
        </w:rPr>
      </w:pPr>
      <w:r>
        <w:rPr>
          <w:rStyle w:val="FootnoteReference"/>
        </w:rPr>
        <w:footnoteRef/>
      </w:r>
      <w:r>
        <w:t xml:space="preserve"> Miriam </w:t>
      </w:r>
      <w:r w:rsidRPr="009F6316">
        <w:t xml:space="preserve">McCormick, </w:t>
      </w:r>
      <w:r>
        <w:t>“</w:t>
      </w:r>
      <w:r w:rsidRPr="009F6316">
        <w:t xml:space="preserve">A Change in Manner: Hume’s Scepticism in the </w:t>
      </w:r>
      <w:r w:rsidRPr="009F6316">
        <w:rPr>
          <w:i/>
          <w:iCs/>
        </w:rPr>
        <w:t>Treatise</w:t>
      </w:r>
      <w:r w:rsidRPr="009F6316">
        <w:t xml:space="preserve"> and the first </w:t>
      </w:r>
      <w:r w:rsidRPr="009F6316">
        <w:rPr>
          <w:i/>
          <w:iCs/>
        </w:rPr>
        <w:t>Enquiry</w:t>
      </w:r>
      <w:r>
        <w:t>” (</w:t>
      </w:r>
      <w:r w:rsidRPr="009F6316">
        <w:rPr>
          <w:i/>
          <w:iCs/>
        </w:rPr>
        <w:t>Canadian Journal of Philosophy</w:t>
      </w:r>
      <w:r w:rsidRPr="009F6316">
        <w:t xml:space="preserve"> 29 </w:t>
      </w:r>
      <w:r>
        <w:t>(</w:t>
      </w:r>
      <w:r w:rsidRPr="009F6316">
        <w:t xml:space="preserve">1999), </w:t>
      </w:r>
      <w:r>
        <w:t xml:space="preserve">pp. </w:t>
      </w:r>
      <w:r w:rsidRPr="009F6316">
        <w:t>431-47</w:t>
      </w:r>
      <w:r>
        <w:t xml:space="preserve">) does not specifically discuss Hume on induction, but argues that the overall sceptical attitude of </w:t>
      </w:r>
      <w:r>
        <w:rPr>
          <w:i/>
          <w:iCs/>
        </w:rPr>
        <w:t>Treatise</w:t>
      </w:r>
      <w:r>
        <w:t xml:space="preserve"> Book 1 Part 4 is (despite some appearances to the contrary) virtually identical to the “mitigated scepticism” (</w:t>
      </w:r>
      <w:r>
        <w:rPr>
          <w:i/>
          <w:iCs/>
        </w:rPr>
        <w:t>E</w:t>
      </w:r>
      <w:r>
        <w:t xml:space="preserve"> 12.24) which is expressed much more clearly in the </w:t>
      </w:r>
      <w:r>
        <w:rPr>
          <w:i/>
          <w:iCs/>
        </w:rPr>
        <w:t>Enquiry</w:t>
      </w:r>
      <w:r>
        <w:t xml:space="preserve">.  This claim is far less plausible, however, with regard to Hume’s “scepticism with regard to reason” of </w:t>
      </w:r>
      <w:r>
        <w:rPr>
          <w:i/>
          <w:iCs/>
        </w:rPr>
        <w:t>Treatise</w:t>
      </w:r>
      <w:r>
        <w:t xml:space="preserve"> 1.4.1, which looks very distant from the mitigated scepticism of the </w:t>
      </w:r>
      <w:r>
        <w:rPr>
          <w:i/>
          <w:iCs/>
        </w:rPr>
        <w:t>Enquiry</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3212B"/>
    <w:multiLevelType w:val="hybridMultilevel"/>
    <w:tmpl w:val="4F8E8712"/>
    <w:lvl w:ilvl="0" w:tplc="1DBC1854">
      <w:start w:val="1"/>
      <w:numFmt w:val="bullet"/>
      <w:lvlText w:val="–"/>
      <w:lvlJc w:val="left"/>
      <w:pPr>
        <w:tabs>
          <w:tab w:val="num" w:pos="720"/>
        </w:tabs>
        <w:ind w:left="720" w:hanging="360"/>
      </w:pPr>
      <w:rPr>
        <w:rFonts w:ascii="Times New Roman" w:hAnsi="Times New Roman" w:hint="default"/>
      </w:rPr>
    </w:lvl>
    <w:lvl w:ilvl="1" w:tplc="C316A674">
      <w:start w:val="1"/>
      <w:numFmt w:val="bullet"/>
      <w:lvlText w:val="–"/>
      <w:lvlJc w:val="left"/>
      <w:pPr>
        <w:tabs>
          <w:tab w:val="num" w:pos="1440"/>
        </w:tabs>
        <w:ind w:left="1440" w:hanging="360"/>
      </w:pPr>
      <w:rPr>
        <w:rFonts w:ascii="Times New Roman" w:hAnsi="Times New Roman" w:hint="default"/>
      </w:rPr>
    </w:lvl>
    <w:lvl w:ilvl="2" w:tplc="54A25356" w:tentative="1">
      <w:start w:val="1"/>
      <w:numFmt w:val="bullet"/>
      <w:lvlText w:val="–"/>
      <w:lvlJc w:val="left"/>
      <w:pPr>
        <w:tabs>
          <w:tab w:val="num" w:pos="2160"/>
        </w:tabs>
        <w:ind w:left="2160" w:hanging="360"/>
      </w:pPr>
      <w:rPr>
        <w:rFonts w:ascii="Times New Roman" w:hAnsi="Times New Roman" w:hint="default"/>
      </w:rPr>
    </w:lvl>
    <w:lvl w:ilvl="3" w:tplc="7F4E5BF8" w:tentative="1">
      <w:start w:val="1"/>
      <w:numFmt w:val="bullet"/>
      <w:lvlText w:val="–"/>
      <w:lvlJc w:val="left"/>
      <w:pPr>
        <w:tabs>
          <w:tab w:val="num" w:pos="2880"/>
        </w:tabs>
        <w:ind w:left="2880" w:hanging="360"/>
      </w:pPr>
      <w:rPr>
        <w:rFonts w:ascii="Times New Roman" w:hAnsi="Times New Roman" w:hint="default"/>
      </w:rPr>
    </w:lvl>
    <w:lvl w:ilvl="4" w:tplc="C26C583E" w:tentative="1">
      <w:start w:val="1"/>
      <w:numFmt w:val="bullet"/>
      <w:lvlText w:val="–"/>
      <w:lvlJc w:val="left"/>
      <w:pPr>
        <w:tabs>
          <w:tab w:val="num" w:pos="3600"/>
        </w:tabs>
        <w:ind w:left="3600" w:hanging="360"/>
      </w:pPr>
      <w:rPr>
        <w:rFonts w:ascii="Times New Roman" w:hAnsi="Times New Roman" w:hint="default"/>
      </w:rPr>
    </w:lvl>
    <w:lvl w:ilvl="5" w:tplc="B1627290" w:tentative="1">
      <w:start w:val="1"/>
      <w:numFmt w:val="bullet"/>
      <w:lvlText w:val="–"/>
      <w:lvlJc w:val="left"/>
      <w:pPr>
        <w:tabs>
          <w:tab w:val="num" w:pos="4320"/>
        </w:tabs>
        <w:ind w:left="4320" w:hanging="360"/>
      </w:pPr>
      <w:rPr>
        <w:rFonts w:ascii="Times New Roman" w:hAnsi="Times New Roman" w:hint="default"/>
      </w:rPr>
    </w:lvl>
    <w:lvl w:ilvl="6" w:tplc="A348B0B2" w:tentative="1">
      <w:start w:val="1"/>
      <w:numFmt w:val="bullet"/>
      <w:lvlText w:val="–"/>
      <w:lvlJc w:val="left"/>
      <w:pPr>
        <w:tabs>
          <w:tab w:val="num" w:pos="5040"/>
        </w:tabs>
        <w:ind w:left="5040" w:hanging="360"/>
      </w:pPr>
      <w:rPr>
        <w:rFonts w:ascii="Times New Roman" w:hAnsi="Times New Roman" w:hint="default"/>
      </w:rPr>
    </w:lvl>
    <w:lvl w:ilvl="7" w:tplc="51D81EF2" w:tentative="1">
      <w:start w:val="1"/>
      <w:numFmt w:val="bullet"/>
      <w:lvlText w:val="–"/>
      <w:lvlJc w:val="left"/>
      <w:pPr>
        <w:tabs>
          <w:tab w:val="num" w:pos="5760"/>
        </w:tabs>
        <w:ind w:left="5760" w:hanging="360"/>
      </w:pPr>
      <w:rPr>
        <w:rFonts w:ascii="Times New Roman" w:hAnsi="Times New Roman" w:hint="default"/>
      </w:rPr>
    </w:lvl>
    <w:lvl w:ilvl="8" w:tplc="AF945CF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9802D16"/>
    <w:multiLevelType w:val="hybridMultilevel"/>
    <w:tmpl w:val="E092C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7F5735"/>
    <w:multiLevelType w:val="hybridMultilevel"/>
    <w:tmpl w:val="92F89EA4"/>
    <w:lvl w:ilvl="0" w:tplc="08090017">
      <w:start w:val="1"/>
      <w:numFmt w:val="lowerLetter"/>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 w15:restartNumberingAfterBreak="0">
    <w:nsid w:val="13067458"/>
    <w:multiLevelType w:val="hybridMultilevel"/>
    <w:tmpl w:val="00D89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80504D"/>
    <w:multiLevelType w:val="hybridMultilevel"/>
    <w:tmpl w:val="C9CC15A0"/>
    <w:lvl w:ilvl="0" w:tplc="05CCB094">
      <w:start w:val="1"/>
      <w:numFmt w:val="bullet"/>
      <w:lvlText w:val=""/>
      <w:lvlJc w:val="left"/>
      <w:pPr>
        <w:tabs>
          <w:tab w:val="num" w:pos="720"/>
        </w:tabs>
        <w:ind w:left="720" w:hanging="360"/>
      </w:pPr>
      <w:rPr>
        <w:rFonts w:ascii="Symbol" w:hAnsi="Symbol" w:hint="default"/>
      </w:rPr>
    </w:lvl>
    <w:lvl w:ilvl="1" w:tplc="A960534E" w:tentative="1">
      <w:start w:val="1"/>
      <w:numFmt w:val="bullet"/>
      <w:lvlText w:val=""/>
      <w:lvlJc w:val="left"/>
      <w:pPr>
        <w:tabs>
          <w:tab w:val="num" w:pos="1440"/>
        </w:tabs>
        <w:ind w:left="1440" w:hanging="360"/>
      </w:pPr>
      <w:rPr>
        <w:rFonts w:ascii="Symbol" w:hAnsi="Symbol" w:hint="default"/>
      </w:rPr>
    </w:lvl>
    <w:lvl w:ilvl="2" w:tplc="4814BB2C" w:tentative="1">
      <w:start w:val="1"/>
      <w:numFmt w:val="bullet"/>
      <w:lvlText w:val=""/>
      <w:lvlJc w:val="left"/>
      <w:pPr>
        <w:tabs>
          <w:tab w:val="num" w:pos="2160"/>
        </w:tabs>
        <w:ind w:left="2160" w:hanging="360"/>
      </w:pPr>
      <w:rPr>
        <w:rFonts w:ascii="Symbol" w:hAnsi="Symbol" w:hint="default"/>
      </w:rPr>
    </w:lvl>
    <w:lvl w:ilvl="3" w:tplc="0E288530" w:tentative="1">
      <w:start w:val="1"/>
      <w:numFmt w:val="bullet"/>
      <w:lvlText w:val=""/>
      <w:lvlJc w:val="left"/>
      <w:pPr>
        <w:tabs>
          <w:tab w:val="num" w:pos="2880"/>
        </w:tabs>
        <w:ind w:left="2880" w:hanging="360"/>
      </w:pPr>
      <w:rPr>
        <w:rFonts w:ascii="Symbol" w:hAnsi="Symbol" w:hint="default"/>
      </w:rPr>
    </w:lvl>
    <w:lvl w:ilvl="4" w:tplc="19C05160" w:tentative="1">
      <w:start w:val="1"/>
      <w:numFmt w:val="bullet"/>
      <w:lvlText w:val=""/>
      <w:lvlJc w:val="left"/>
      <w:pPr>
        <w:tabs>
          <w:tab w:val="num" w:pos="3600"/>
        </w:tabs>
        <w:ind w:left="3600" w:hanging="360"/>
      </w:pPr>
      <w:rPr>
        <w:rFonts w:ascii="Symbol" w:hAnsi="Symbol" w:hint="default"/>
      </w:rPr>
    </w:lvl>
    <w:lvl w:ilvl="5" w:tplc="50E6DECC" w:tentative="1">
      <w:start w:val="1"/>
      <w:numFmt w:val="bullet"/>
      <w:lvlText w:val=""/>
      <w:lvlJc w:val="left"/>
      <w:pPr>
        <w:tabs>
          <w:tab w:val="num" w:pos="4320"/>
        </w:tabs>
        <w:ind w:left="4320" w:hanging="360"/>
      </w:pPr>
      <w:rPr>
        <w:rFonts w:ascii="Symbol" w:hAnsi="Symbol" w:hint="default"/>
      </w:rPr>
    </w:lvl>
    <w:lvl w:ilvl="6" w:tplc="F0685CB0" w:tentative="1">
      <w:start w:val="1"/>
      <w:numFmt w:val="bullet"/>
      <w:lvlText w:val=""/>
      <w:lvlJc w:val="left"/>
      <w:pPr>
        <w:tabs>
          <w:tab w:val="num" w:pos="5040"/>
        </w:tabs>
        <w:ind w:left="5040" w:hanging="360"/>
      </w:pPr>
      <w:rPr>
        <w:rFonts w:ascii="Symbol" w:hAnsi="Symbol" w:hint="default"/>
      </w:rPr>
    </w:lvl>
    <w:lvl w:ilvl="7" w:tplc="2FEE2EDA" w:tentative="1">
      <w:start w:val="1"/>
      <w:numFmt w:val="bullet"/>
      <w:lvlText w:val=""/>
      <w:lvlJc w:val="left"/>
      <w:pPr>
        <w:tabs>
          <w:tab w:val="num" w:pos="5760"/>
        </w:tabs>
        <w:ind w:left="5760" w:hanging="360"/>
      </w:pPr>
      <w:rPr>
        <w:rFonts w:ascii="Symbol" w:hAnsi="Symbol" w:hint="default"/>
      </w:rPr>
    </w:lvl>
    <w:lvl w:ilvl="8" w:tplc="ACF85C72"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492698C"/>
    <w:multiLevelType w:val="hybridMultilevel"/>
    <w:tmpl w:val="D3BA3A42"/>
    <w:lvl w:ilvl="0" w:tplc="581CB664">
      <w:start w:val="1"/>
      <w:numFmt w:val="bullet"/>
      <w:lvlText w:val=""/>
      <w:lvlJc w:val="left"/>
      <w:pPr>
        <w:tabs>
          <w:tab w:val="num" w:pos="720"/>
        </w:tabs>
        <w:ind w:left="720" w:hanging="360"/>
      </w:pPr>
      <w:rPr>
        <w:rFonts w:ascii="Symbol" w:hAnsi="Symbol" w:hint="default"/>
      </w:rPr>
    </w:lvl>
    <w:lvl w:ilvl="1" w:tplc="9A88D06C" w:tentative="1">
      <w:start w:val="1"/>
      <w:numFmt w:val="bullet"/>
      <w:lvlText w:val=""/>
      <w:lvlJc w:val="left"/>
      <w:pPr>
        <w:tabs>
          <w:tab w:val="num" w:pos="1440"/>
        </w:tabs>
        <w:ind w:left="1440" w:hanging="360"/>
      </w:pPr>
      <w:rPr>
        <w:rFonts w:ascii="Symbol" w:hAnsi="Symbol" w:hint="default"/>
      </w:rPr>
    </w:lvl>
    <w:lvl w:ilvl="2" w:tplc="77E6440A" w:tentative="1">
      <w:start w:val="1"/>
      <w:numFmt w:val="bullet"/>
      <w:lvlText w:val=""/>
      <w:lvlJc w:val="left"/>
      <w:pPr>
        <w:tabs>
          <w:tab w:val="num" w:pos="2160"/>
        </w:tabs>
        <w:ind w:left="2160" w:hanging="360"/>
      </w:pPr>
      <w:rPr>
        <w:rFonts w:ascii="Symbol" w:hAnsi="Symbol" w:hint="default"/>
      </w:rPr>
    </w:lvl>
    <w:lvl w:ilvl="3" w:tplc="C7942E2E" w:tentative="1">
      <w:start w:val="1"/>
      <w:numFmt w:val="bullet"/>
      <w:lvlText w:val=""/>
      <w:lvlJc w:val="left"/>
      <w:pPr>
        <w:tabs>
          <w:tab w:val="num" w:pos="2880"/>
        </w:tabs>
        <w:ind w:left="2880" w:hanging="360"/>
      </w:pPr>
      <w:rPr>
        <w:rFonts w:ascii="Symbol" w:hAnsi="Symbol" w:hint="default"/>
      </w:rPr>
    </w:lvl>
    <w:lvl w:ilvl="4" w:tplc="EB220000" w:tentative="1">
      <w:start w:val="1"/>
      <w:numFmt w:val="bullet"/>
      <w:lvlText w:val=""/>
      <w:lvlJc w:val="left"/>
      <w:pPr>
        <w:tabs>
          <w:tab w:val="num" w:pos="3600"/>
        </w:tabs>
        <w:ind w:left="3600" w:hanging="360"/>
      </w:pPr>
      <w:rPr>
        <w:rFonts w:ascii="Symbol" w:hAnsi="Symbol" w:hint="default"/>
      </w:rPr>
    </w:lvl>
    <w:lvl w:ilvl="5" w:tplc="796EE8D4" w:tentative="1">
      <w:start w:val="1"/>
      <w:numFmt w:val="bullet"/>
      <w:lvlText w:val=""/>
      <w:lvlJc w:val="left"/>
      <w:pPr>
        <w:tabs>
          <w:tab w:val="num" w:pos="4320"/>
        </w:tabs>
        <w:ind w:left="4320" w:hanging="360"/>
      </w:pPr>
      <w:rPr>
        <w:rFonts w:ascii="Symbol" w:hAnsi="Symbol" w:hint="default"/>
      </w:rPr>
    </w:lvl>
    <w:lvl w:ilvl="6" w:tplc="904633AA" w:tentative="1">
      <w:start w:val="1"/>
      <w:numFmt w:val="bullet"/>
      <w:lvlText w:val=""/>
      <w:lvlJc w:val="left"/>
      <w:pPr>
        <w:tabs>
          <w:tab w:val="num" w:pos="5040"/>
        </w:tabs>
        <w:ind w:left="5040" w:hanging="360"/>
      </w:pPr>
      <w:rPr>
        <w:rFonts w:ascii="Symbol" w:hAnsi="Symbol" w:hint="default"/>
      </w:rPr>
    </w:lvl>
    <w:lvl w:ilvl="7" w:tplc="781C4FE4" w:tentative="1">
      <w:start w:val="1"/>
      <w:numFmt w:val="bullet"/>
      <w:lvlText w:val=""/>
      <w:lvlJc w:val="left"/>
      <w:pPr>
        <w:tabs>
          <w:tab w:val="num" w:pos="5760"/>
        </w:tabs>
        <w:ind w:left="5760" w:hanging="360"/>
      </w:pPr>
      <w:rPr>
        <w:rFonts w:ascii="Symbol" w:hAnsi="Symbol" w:hint="default"/>
      </w:rPr>
    </w:lvl>
    <w:lvl w:ilvl="8" w:tplc="4866BF4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2F72287"/>
    <w:multiLevelType w:val="hybridMultilevel"/>
    <w:tmpl w:val="8A5ED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7B6A99"/>
    <w:multiLevelType w:val="hybridMultilevel"/>
    <w:tmpl w:val="746814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5A753F7"/>
    <w:multiLevelType w:val="hybridMultilevel"/>
    <w:tmpl w:val="6D143280"/>
    <w:lvl w:ilvl="0" w:tplc="08090001">
      <w:start w:val="1"/>
      <w:numFmt w:val="bullet"/>
      <w:lvlText w:val=""/>
      <w:lvlJc w:val="left"/>
      <w:pPr>
        <w:ind w:left="720" w:hanging="360"/>
      </w:pPr>
      <w:rPr>
        <w:rFonts w:ascii="Symbol" w:hAnsi="Symbol" w:hint="default"/>
      </w:rPr>
    </w:lvl>
    <w:lvl w:ilvl="1" w:tplc="40A8FA92">
      <w:start w:val="1"/>
      <w:numFmt w:val="lowerRoman"/>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475624"/>
    <w:multiLevelType w:val="hybridMultilevel"/>
    <w:tmpl w:val="FE12B296"/>
    <w:lvl w:ilvl="0" w:tplc="D1763C7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8B43867"/>
    <w:multiLevelType w:val="hybridMultilevel"/>
    <w:tmpl w:val="F8E06348"/>
    <w:lvl w:ilvl="0" w:tplc="4282FA30">
      <w:start w:val="1"/>
      <w:numFmt w:val="bullet"/>
      <w:lvlText w:val=""/>
      <w:lvlJc w:val="left"/>
      <w:pPr>
        <w:tabs>
          <w:tab w:val="num" w:pos="720"/>
        </w:tabs>
        <w:ind w:left="720" w:hanging="360"/>
      </w:pPr>
      <w:rPr>
        <w:rFonts w:ascii="Symbol" w:hAnsi="Symbol" w:hint="default"/>
      </w:rPr>
    </w:lvl>
    <w:lvl w:ilvl="1" w:tplc="B0982F84" w:tentative="1">
      <w:start w:val="1"/>
      <w:numFmt w:val="bullet"/>
      <w:lvlText w:val=""/>
      <w:lvlJc w:val="left"/>
      <w:pPr>
        <w:tabs>
          <w:tab w:val="num" w:pos="1440"/>
        </w:tabs>
        <w:ind w:left="1440" w:hanging="360"/>
      </w:pPr>
      <w:rPr>
        <w:rFonts w:ascii="Symbol" w:hAnsi="Symbol" w:hint="default"/>
      </w:rPr>
    </w:lvl>
    <w:lvl w:ilvl="2" w:tplc="5882C7CA" w:tentative="1">
      <w:start w:val="1"/>
      <w:numFmt w:val="bullet"/>
      <w:lvlText w:val=""/>
      <w:lvlJc w:val="left"/>
      <w:pPr>
        <w:tabs>
          <w:tab w:val="num" w:pos="2160"/>
        </w:tabs>
        <w:ind w:left="2160" w:hanging="360"/>
      </w:pPr>
      <w:rPr>
        <w:rFonts w:ascii="Symbol" w:hAnsi="Symbol" w:hint="default"/>
      </w:rPr>
    </w:lvl>
    <w:lvl w:ilvl="3" w:tplc="2E0042AC" w:tentative="1">
      <w:start w:val="1"/>
      <w:numFmt w:val="bullet"/>
      <w:lvlText w:val=""/>
      <w:lvlJc w:val="left"/>
      <w:pPr>
        <w:tabs>
          <w:tab w:val="num" w:pos="2880"/>
        </w:tabs>
        <w:ind w:left="2880" w:hanging="360"/>
      </w:pPr>
      <w:rPr>
        <w:rFonts w:ascii="Symbol" w:hAnsi="Symbol" w:hint="default"/>
      </w:rPr>
    </w:lvl>
    <w:lvl w:ilvl="4" w:tplc="11A0839E" w:tentative="1">
      <w:start w:val="1"/>
      <w:numFmt w:val="bullet"/>
      <w:lvlText w:val=""/>
      <w:lvlJc w:val="left"/>
      <w:pPr>
        <w:tabs>
          <w:tab w:val="num" w:pos="3600"/>
        </w:tabs>
        <w:ind w:left="3600" w:hanging="360"/>
      </w:pPr>
      <w:rPr>
        <w:rFonts w:ascii="Symbol" w:hAnsi="Symbol" w:hint="default"/>
      </w:rPr>
    </w:lvl>
    <w:lvl w:ilvl="5" w:tplc="C3B6C086" w:tentative="1">
      <w:start w:val="1"/>
      <w:numFmt w:val="bullet"/>
      <w:lvlText w:val=""/>
      <w:lvlJc w:val="left"/>
      <w:pPr>
        <w:tabs>
          <w:tab w:val="num" w:pos="4320"/>
        </w:tabs>
        <w:ind w:left="4320" w:hanging="360"/>
      </w:pPr>
      <w:rPr>
        <w:rFonts w:ascii="Symbol" w:hAnsi="Symbol" w:hint="default"/>
      </w:rPr>
    </w:lvl>
    <w:lvl w:ilvl="6" w:tplc="7C12611A" w:tentative="1">
      <w:start w:val="1"/>
      <w:numFmt w:val="bullet"/>
      <w:lvlText w:val=""/>
      <w:lvlJc w:val="left"/>
      <w:pPr>
        <w:tabs>
          <w:tab w:val="num" w:pos="5040"/>
        </w:tabs>
        <w:ind w:left="5040" w:hanging="360"/>
      </w:pPr>
      <w:rPr>
        <w:rFonts w:ascii="Symbol" w:hAnsi="Symbol" w:hint="default"/>
      </w:rPr>
    </w:lvl>
    <w:lvl w:ilvl="7" w:tplc="9CCE3A7A" w:tentative="1">
      <w:start w:val="1"/>
      <w:numFmt w:val="bullet"/>
      <w:lvlText w:val=""/>
      <w:lvlJc w:val="left"/>
      <w:pPr>
        <w:tabs>
          <w:tab w:val="num" w:pos="5760"/>
        </w:tabs>
        <w:ind w:left="5760" w:hanging="360"/>
      </w:pPr>
      <w:rPr>
        <w:rFonts w:ascii="Symbol" w:hAnsi="Symbol" w:hint="default"/>
      </w:rPr>
    </w:lvl>
    <w:lvl w:ilvl="8" w:tplc="DBCCE5BE"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6A2B37F7"/>
    <w:multiLevelType w:val="hybridMultilevel"/>
    <w:tmpl w:val="78327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832963"/>
    <w:multiLevelType w:val="hybridMultilevel"/>
    <w:tmpl w:val="E7066CEA"/>
    <w:lvl w:ilvl="0" w:tplc="A9CA601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7BD57FE1"/>
    <w:multiLevelType w:val="hybridMultilevel"/>
    <w:tmpl w:val="5584210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4" w15:restartNumberingAfterBreak="0">
    <w:nsid w:val="7D3C313C"/>
    <w:multiLevelType w:val="hybridMultilevel"/>
    <w:tmpl w:val="13701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5607524">
    <w:abstractNumId w:val="2"/>
  </w:num>
  <w:num w:numId="2" w16cid:durableId="1626501463">
    <w:abstractNumId w:val="3"/>
  </w:num>
  <w:num w:numId="3" w16cid:durableId="179903904">
    <w:abstractNumId w:val="12"/>
  </w:num>
  <w:num w:numId="4" w16cid:durableId="983778226">
    <w:abstractNumId w:val="7"/>
  </w:num>
  <w:num w:numId="5" w16cid:durableId="463888318">
    <w:abstractNumId w:val="14"/>
  </w:num>
  <w:num w:numId="6" w16cid:durableId="1420060450">
    <w:abstractNumId w:val="11"/>
  </w:num>
  <w:num w:numId="7" w16cid:durableId="363095423">
    <w:abstractNumId w:val="1"/>
  </w:num>
  <w:num w:numId="8" w16cid:durableId="1963534233">
    <w:abstractNumId w:val="9"/>
  </w:num>
  <w:num w:numId="9" w16cid:durableId="1112897291">
    <w:abstractNumId w:val="13"/>
  </w:num>
  <w:num w:numId="10" w16cid:durableId="929315187">
    <w:abstractNumId w:val="8"/>
  </w:num>
  <w:num w:numId="11" w16cid:durableId="1128157380">
    <w:abstractNumId w:val="5"/>
  </w:num>
  <w:num w:numId="12" w16cid:durableId="506990659">
    <w:abstractNumId w:val="10"/>
  </w:num>
  <w:num w:numId="13" w16cid:durableId="1080715358">
    <w:abstractNumId w:val="4"/>
  </w:num>
  <w:num w:numId="14" w16cid:durableId="1085495313">
    <w:abstractNumId w:val="6"/>
  </w:num>
  <w:num w:numId="15" w16cid:durableId="349767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C7F"/>
    <w:rsid w:val="00002D23"/>
    <w:rsid w:val="00002DF8"/>
    <w:rsid w:val="00005858"/>
    <w:rsid w:val="00022E3D"/>
    <w:rsid w:val="00046011"/>
    <w:rsid w:val="00054690"/>
    <w:rsid w:val="00060271"/>
    <w:rsid w:val="00062F19"/>
    <w:rsid w:val="0006523D"/>
    <w:rsid w:val="0006675F"/>
    <w:rsid w:val="000674EE"/>
    <w:rsid w:val="00073A09"/>
    <w:rsid w:val="00086529"/>
    <w:rsid w:val="000A14E3"/>
    <w:rsid w:val="000A38BE"/>
    <w:rsid w:val="000B00B0"/>
    <w:rsid w:val="000B18A7"/>
    <w:rsid w:val="000B4A9E"/>
    <w:rsid w:val="000B50EA"/>
    <w:rsid w:val="000B7C7A"/>
    <w:rsid w:val="000C38C8"/>
    <w:rsid w:val="000C5C68"/>
    <w:rsid w:val="000C6BB0"/>
    <w:rsid w:val="000E13F7"/>
    <w:rsid w:val="001078C3"/>
    <w:rsid w:val="00116EA7"/>
    <w:rsid w:val="001310E7"/>
    <w:rsid w:val="00131167"/>
    <w:rsid w:val="001431E4"/>
    <w:rsid w:val="00146FC4"/>
    <w:rsid w:val="0016344C"/>
    <w:rsid w:val="00170D07"/>
    <w:rsid w:val="0019372C"/>
    <w:rsid w:val="001A03C3"/>
    <w:rsid w:val="001A342E"/>
    <w:rsid w:val="001A6734"/>
    <w:rsid w:val="001B1C5E"/>
    <w:rsid w:val="001B346F"/>
    <w:rsid w:val="001B4472"/>
    <w:rsid w:val="001D309C"/>
    <w:rsid w:val="001D5609"/>
    <w:rsid w:val="001D6107"/>
    <w:rsid w:val="001E0BE7"/>
    <w:rsid w:val="001E4137"/>
    <w:rsid w:val="00206311"/>
    <w:rsid w:val="002113DB"/>
    <w:rsid w:val="002114F1"/>
    <w:rsid w:val="002133AA"/>
    <w:rsid w:val="00232B29"/>
    <w:rsid w:val="00232E1C"/>
    <w:rsid w:val="00235C37"/>
    <w:rsid w:val="00241655"/>
    <w:rsid w:val="00241BDC"/>
    <w:rsid w:val="00260BFF"/>
    <w:rsid w:val="00261066"/>
    <w:rsid w:val="00286673"/>
    <w:rsid w:val="00290B29"/>
    <w:rsid w:val="00291A45"/>
    <w:rsid w:val="002A3887"/>
    <w:rsid w:val="002A436E"/>
    <w:rsid w:val="002B6BCD"/>
    <w:rsid w:val="002C1376"/>
    <w:rsid w:val="002E2F7E"/>
    <w:rsid w:val="002F10CA"/>
    <w:rsid w:val="00316669"/>
    <w:rsid w:val="00332A70"/>
    <w:rsid w:val="00351421"/>
    <w:rsid w:val="003626FE"/>
    <w:rsid w:val="00363892"/>
    <w:rsid w:val="00390D4E"/>
    <w:rsid w:val="00394CD7"/>
    <w:rsid w:val="003A61F9"/>
    <w:rsid w:val="003C0617"/>
    <w:rsid w:val="003C77B1"/>
    <w:rsid w:val="003E78C6"/>
    <w:rsid w:val="003F624B"/>
    <w:rsid w:val="00404A64"/>
    <w:rsid w:val="00413253"/>
    <w:rsid w:val="00416162"/>
    <w:rsid w:val="004166E5"/>
    <w:rsid w:val="0042327B"/>
    <w:rsid w:val="00424711"/>
    <w:rsid w:val="00425F2C"/>
    <w:rsid w:val="0043053A"/>
    <w:rsid w:val="00450ABA"/>
    <w:rsid w:val="00452CFD"/>
    <w:rsid w:val="00455BE6"/>
    <w:rsid w:val="0045704E"/>
    <w:rsid w:val="00467852"/>
    <w:rsid w:val="00470A67"/>
    <w:rsid w:val="004711F8"/>
    <w:rsid w:val="004A2933"/>
    <w:rsid w:val="004A3334"/>
    <w:rsid w:val="004A4272"/>
    <w:rsid w:val="004B4AE0"/>
    <w:rsid w:val="004B6A26"/>
    <w:rsid w:val="004B7678"/>
    <w:rsid w:val="004C631F"/>
    <w:rsid w:val="004C6520"/>
    <w:rsid w:val="004C697A"/>
    <w:rsid w:val="004D3A64"/>
    <w:rsid w:val="004D5998"/>
    <w:rsid w:val="004D6AC1"/>
    <w:rsid w:val="004E353C"/>
    <w:rsid w:val="004F6D70"/>
    <w:rsid w:val="005009D7"/>
    <w:rsid w:val="00504978"/>
    <w:rsid w:val="00514DAE"/>
    <w:rsid w:val="00516608"/>
    <w:rsid w:val="0052071F"/>
    <w:rsid w:val="0055280A"/>
    <w:rsid w:val="00560901"/>
    <w:rsid w:val="005613A6"/>
    <w:rsid w:val="00570B34"/>
    <w:rsid w:val="00581D1F"/>
    <w:rsid w:val="00584F30"/>
    <w:rsid w:val="00586ED3"/>
    <w:rsid w:val="005B3C16"/>
    <w:rsid w:val="005E1FFD"/>
    <w:rsid w:val="005F0FCC"/>
    <w:rsid w:val="005F2765"/>
    <w:rsid w:val="005F2DCC"/>
    <w:rsid w:val="006012BD"/>
    <w:rsid w:val="00610B3C"/>
    <w:rsid w:val="00611AFB"/>
    <w:rsid w:val="00615088"/>
    <w:rsid w:val="00620914"/>
    <w:rsid w:val="00624425"/>
    <w:rsid w:val="0062625E"/>
    <w:rsid w:val="006343EB"/>
    <w:rsid w:val="00637178"/>
    <w:rsid w:val="006437E9"/>
    <w:rsid w:val="00653B03"/>
    <w:rsid w:val="0067226A"/>
    <w:rsid w:val="006770AD"/>
    <w:rsid w:val="0069753F"/>
    <w:rsid w:val="006A22D8"/>
    <w:rsid w:val="006C7A04"/>
    <w:rsid w:val="006E2A1F"/>
    <w:rsid w:val="006E6E29"/>
    <w:rsid w:val="006F7C7A"/>
    <w:rsid w:val="00720FF2"/>
    <w:rsid w:val="00723E6B"/>
    <w:rsid w:val="0072703A"/>
    <w:rsid w:val="00735D64"/>
    <w:rsid w:val="0074603D"/>
    <w:rsid w:val="00753616"/>
    <w:rsid w:val="00761B4F"/>
    <w:rsid w:val="007621F2"/>
    <w:rsid w:val="007868B3"/>
    <w:rsid w:val="007A049E"/>
    <w:rsid w:val="007A2C44"/>
    <w:rsid w:val="007A340E"/>
    <w:rsid w:val="007B2080"/>
    <w:rsid w:val="007B330B"/>
    <w:rsid w:val="007B5321"/>
    <w:rsid w:val="007B7B3D"/>
    <w:rsid w:val="007C44CB"/>
    <w:rsid w:val="007E103B"/>
    <w:rsid w:val="007E28E6"/>
    <w:rsid w:val="007F4D29"/>
    <w:rsid w:val="007F70B9"/>
    <w:rsid w:val="0080656E"/>
    <w:rsid w:val="008066A2"/>
    <w:rsid w:val="00815EE2"/>
    <w:rsid w:val="008202D8"/>
    <w:rsid w:val="00823C34"/>
    <w:rsid w:val="008325CC"/>
    <w:rsid w:val="008437C2"/>
    <w:rsid w:val="008535EC"/>
    <w:rsid w:val="0085462F"/>
    <w:rsid w:val="008627BA"/>
    <w:rsid w:val="00863454"/>
    <w:rsid w:val="00863B8C"/>
    <w:rsid w:val="008679AB"/>
    <w:rsid w:val="00871C24"/>
    <w:rsid w:val="00874B62"/>
    <w:rsid w:val="00875841"/>
    <w:rsid w:val="00877620"/>
    <w:rsid w:val="00884462"/>
    <w:rsid w:val="00887762"/>
    <w:rsid w:val="00891E93"/>
    <w:rsid w:val="0089296C"/>
    <w:rsid w:val="008B239D"/>
    <w:rsid w:val="008B475E"/>
    <w:rsid w:val="008B622A"/>
    <w:rsid w:val="008D7278"/>
    <w:rsid w:val="008F7D11"/>
    <w:rsid w:val="00904AB4"/>
    <w:rsid w:val="009051BE"/>
    <w:rsid w:val="00907C7F"/>
    <w:rsid w:val="00914078"/>
    <w:rsid w:val="00916CBF"/>
    <w:rsid w:val="0092359F"/>
    <w:rsid w:val="009253E1"/>
    <w:rsid w:val="009257B3"/>
    <w:rsid w:val="00941D17"/>
    <w:rsid w:val="00941EBF"/>
    <w:rsid w:val="009445D0"/>
    <w:rsid w:val="00944956"/>
    <w:rsid w:val="00951E5E"/>
    <w:rsid w:val="009559DC"/>
    <w:rsid w:val="009636F1"/>
    <w:rsid w:val="009658E6"/>
    <w:rsid w:val="009705BC"/>
    <w:rsid w:val="00976DA4"/>
    <w:rsid w:val="00981E34"/>
    <w:rsid w:val="00992C44"/>
    <w:rsid w:val="00992D52"/>
    <w:rsid w:val="009A7006"/>
    <w:rsid w:val="009B3FFA"/>
    <w:rsid w:val="009B5ECE"/>
    <w:rsid w:val="009D166D"/>
    <w:rsid w:val="009D333D"/>
    <w:rsid w:val="009E5F2C"/>
    <w:rsid w:val="009F6316"/>
    <w:rsid w:val="00A1755F"/>
    <w:rsid w:val="00A34E04"/>
    <w:rsid w:val="00A40C06"/>
    <w:rsid w:val="00A41011"/>
    <w:rsid w:val="00A46715"/>
    <w:rsid w:val="00A546C9"/>
    <w:rsid w:val="00A60D0B"/>
    <w:rsid w:val="00A7262E"/>
    <w:rsid w:val="00A81E8A"/>
    <w:rsid w:val="00A849D1"/>
    <w:rsid w:val="00A8570C"/>
    <w:rsid w:val="00A873C5"/>
    <w:rsid w:val="00AB4E5D"/>
    <w:rsid w:val="00AC067A"/>
    <w:rsid w:val="00AC0AB0"/>
    <w:rsid w:val="00AC3007"/>
    <w:rsid w:val="00AC4D88"/>
    <w:rsid w:val="00AE40ED"/>
    <w:rsid w:val="00B06530"/>
    <w:rsid w:val="00B1746D"/>
    <w:rsid w:val="00B205CC"/>
    <w:rsid w:val="00B34B98"/>
    <w:rsid w:val="00B41208"/>
    <w:rsid w:val="00B56F4D"/>
    <w:rsid w:val="00B67C9B"/>
    <w:rsid w:val="00B728E2"/>
    <w:rsid w:val="00B77DDE"/>
    <w:rsid w:val="00B83375"/>
    <w:rsid w:val="00B84366"/>
    <w:rsid w:val="00B86EA6"/>
    <w:rsid w:val="00B94C3D"/>
    <w:rsid w:val="00B97C7F"/>
    <w:rsid w:val="00BA41A7"/>
    <w:rsid w:val="00BB2BD8"/>
    <w:rsid w:val="00BC3151"/>
    <w:rsid w:val="00BC4D13"/>
    <w:rsid w:val="00BC5615"/>
    <w:rsid w:val="00BD13E5"/>
    <w:rsid w:val="00BD37BC"/>
    <w:rsid w:val="00C047C5"/>
    <w:rsid w:val="00C1012A"/>
    <w:rsid w:val="00C1586D"/>
    <w:rsid w:val="00C256C1"/>
    <w:rsid w:val="00C353F6"/>
    <w:rsid w:val="00C5068A"/>
    <w:rsid w:val="00C528C7"/>
    <w:rsid w:val="00C5371B"/>
    <w:rsid w:val="00C53D88"/>
    <w:rsid w:val="00C551ED"/>
    <w:rsid w:val="00C55FDC"/>
    <w:rsid w:val="00C57C44"/>
    <w:rsid w:val="00C62348"/>
    <w:rsid w:val="00C62C53"/>
    <w:rsid w:val="00C64680"/>
    <w:rsid w:val="00C67563"/>
    <w:rsid w:val="00C67EE9"/>
    <w:rsid w:val="00C7007A"/>
    <w:rsid w:val="00C7174A"/>
    <w:rsid w:val="00C92ABB"/>
    <w:rsid w:val="00CA004D"/>
    <w:rsid w:val="00CA45E1"/>
    <w:rsid w:val="00CB67A2"/>
    <w:rsid w:val="00CC0C5D"/>
    <w:rsid w:val="00CC2BB6"/>
    <w:rsid w:val="00CC7D40"/>
    <w:rsid w:val="00CD1C5A"/>
    <w:rsid w:val="00CD6A43"/>
    <w:rsid w:val="00CF2719"/>
    <w:rsid w:val="00CF515E"/>
    <w:rsid w:val="00D01A54"/>
    <w:rsid w:val="00D01FF4"/>
    <w:rsid w:val="00D04753"/>
    <w:rsid w:val="00D12F2D"/>
    <w:rsid w:val="00D13B32"/>
    <w:rsid w:val="00D16606"/>
    <w:rsid w:val="00D34414"/>
    <w:rsid w:val="00D42BC0"/>
    <w:rsid w:val="00D45289"/>
    <w:rsid w:val="00D57FA5"/>
    <w:rsid w:val="00D7483B"/>
    <w:rsid w:val="00D84AA4"/>
    <w:rsid w:val="00DB5647"/>
    <w:rsid w:val="00DB6CA7"/>
    <w:rsid w:val="00DC7362"/>
    <w:rsid w:val="00DD1109"/>
    <w:rsid w:val="00DD595E"/>
    <w:rsid w:val="00DE0DBE"/>
    <w:rsid w:val="00DE2F46"/>
    <w:rsid w:val="00DF399E"/>
    <w:rsid w:val="00E017AE"/>
    <w:rsid w:val="00E27FC7"/>
    <w:rsid w:val="00E33440"/>
    <w:rsid w:val="00E47DFD"/>
    <w:rsid w:val="00E52AD1"/>
    <w:rsid w:val="00E70562"/>
    <w:rsid w:val="00E748C8"/>
    <w:rsid w:val="00E8480A"/>
    <w:rsid w:val="00E8638A"/>
    <w:rsid w:val="00E95A50"/>
    <w:rsid w:val="00EB21CB"/>
    <w:rsid w:val="00EB41F1"/>
    <w:rsid w:val="00EC7C21"/>
    <w:rsid w:val="00ED0EF6"/>
    <w:rsid w:val="00ED459C"/>
    <w:rsid w:val="00EE37E8"/>
    <w:rsid w:val="00EE5BA5"/>
    <w:rsid w:val="00F2102E"/>
    <w:rsid w:val="00F2165B"/>
    <w:rsid w:val="00F226CB"/>
    <w:rsid w:val="00F328C9"/>
    <w:rsid w:val="00F32F1F"/>
    <w:rsid w:val="00F35D66"/>
    <w:rsid w:val="00F4171D"/>
    <w:rsid w:val="00F47AA2"/>
    <w:rsid w:val="00F61727"/>
    <w:rsid w:val="00F764DC"/>
    <w:rsid w:val="00F77675"/>
    <w:rsid w:val="00F933C3"/>
    <w:rsid w:val="00FA1E9D"/>
    <w:rsid w:val="00FB713C"/>
    <w:rsid w:val="00FC5689"/>
    <w:rsid w:val="00FD292C"/>
    <w:rsid w:val="00FD3F34"/>
    <w:rsid w:val="00FD55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D7D90"/>
  <w15:docId w15:val="{714AAB22-95B2-4153-BA1E-583E0CFDB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8C6"/>
    <w:pPr>
      <w:spacing w:before="120" w:after="0"/>
      <w:jc w:val="both"/>
    </w:pPr>
  </w:style>
  <w:style w:type="paragraph" w:styleId="Heading1">
    <w:name w:val="heading 1"/>
    <w:basedOn w:val="Normal"/>
    <w:next w:val="Normal"/>
    <w:link w:val="Heading1Char"/>
    <w:uiPriority w:val="9"/>
    <w:qFormat/>
    <w:rsid w:val="00907C7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8C6"/>
    <w:pPr>
      <w:keepNext/>
      <w:keepLines/>
      <w:spacing w:before="360"/>
      <w:outlineLvl w:val="1"/>
    </w:pPr>
    <w:rPr>
      <w:rFonts w:asciiTheme="majorHAnsi" w:eastAsiaTheme="majorEastAsia" w:hAnsiTheme="majorHAnsi" w:cstheme="majorBidi"/>
      <w:b/>
      <w:bCs/>
      <w:color w:val="1F497D" w:themeColor="text2"/>
      <w:sz w:val="28"/>
      <w:szCs w:val="26"/>
    </w:rPr>
  </w:style>
  <w:style w:type="paragraph" w:styleId="Heading3">
    <w:name w:val="heading 3"/>
    <w:basedOn w:val="Normal"/>
    <w:next w:val="Normal"/>
    <w:link w:val="Heading3Char"/>
    <w:uiPriority w:val="9"/>
    <w:unhideWhenUsed/>
    <w:qFormat/>
    <w:rsid w:val="003E78C6"/>
    <w:pPr>
      <w:keepNext/>
      <w:keepLines/>
      <w:spacing w:before="240"/>
      <w:outlineLvl w:val="2"/>
    </w:pPr>
    <w:rPr>
      <w:rFonts w:asciiTheme="majorHAnsi" w:eastAsiaTheme="majorEastAsia" w:hAnsiTheme="majorHAnsi" w:cstheme="majorBidi"/>
      <w:b/>
      <w:bCs/>
      <w:color w:val="1F497D" w:themeColor="text2"/>
      <w:sz w:val="24"/>
      <w:u w:val="single"/>
    </w:rPr>
  </w:style>
  <w:style w:type="paragraph" w:styleId="Heading4">
    <w:name w:val="heading 4"/>
    <w:basedOn w:val="Normal"/>
    <w:link w:val="Heading4Char"/>
    <w:uiPriority w:val="9"/>
    <w:qFormat/>
    <w:rsid w:val="0051660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C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78C6"/>
    <w:rPr>
      <w:rFonts w:asciiTheme="majorHAnsi" w:eastAsiaTheme="majorEastAsia" w:hAnsiTheme="majorHAnsi" w:cstheme="majorBidi"/>
      <w:b/>
      <w:bCs/>
      <w:color w:val="1F497D" w:themeColor="text2"/>
      <w:sz w:val="28"/>
      <w:szCs w:val="26"/>
    </w:rPr>
  </w:style>
  <w:style w:type="character" w:customStyle="1" w:styleId="Heading3Char">
    <w:name w:val="Heading 3 Char"/>
    <w:basedOn w:val="DefaultParagraphFont"/>
    <w:link w:val="Heading3"/>
    <w:uiPriority w:val="9"/>
    <w:rsid w:val="003E78C6"/>
    <w:rPr>
      <w:rFonts w:asciiTheme="majorHAnsi" w:eastAsiaTheme="majorEastAsia" w:hAnsiTheme="majorHAnsi" w:cstheme="majorBidi"/>
      <w:b/>
      <w:bCs/>
      <w:color w:val="1F497D" w:themeColor="text2"/>
      <w:sz w:val="24"/>
      <w:u w:val="single"/>
    </w:rPr>
  </w:style>
  <w:style w:type="paragraph" w:styleId="ListParagraph">
    <w:name w:val="List Paragraph"/>
    <w:basedOn w:val="Normal"/>
    <w:uiPriority w:val="34"/>
    <w:qFormat/>
    <w:rsid w:val="00907C7F"/>
    <w:pPr>
      <w:contextualSpacing/>
    </w:pPr>
  </w:style>
  <w:style w:type="paragraph" w:styleId="FootnoteText">
    <w:name w:val="footnote text"/>
    <w:basedOn w:val="Normal"/>
    <w:link w:val="FootnoteTextChar"/>
    <w:unhideWhenUsed/>
    <w:rsid w:val="00891E93"/>
    <w:pPr>
      <w:spacing w:line="240" w:lineRule="auto"/>
    </w:pPr>
    <w:rPr>
      <w:sz w:val="18"/>
      <w:szCs w:val="20"/>
    </w:rPr>
  </w:style>
  <w:style w:type="character" w:customStyle="1" w:styleId="FootnoteTextChar">
    <w:name w:val="Footnote Text Char"/>
    <w:basedOn w:val="DefaultParagraphFont"/>
    <w:link w:val="FootnoteText"/>
    <w:rsid w:val="00891E93"/>
    <w:rPr>
      <w:sz w:val="18"/>
      <w:szCs w:val="20"/>
    </w:rPr>
  </w:style>
  <w:style w:type="character" w:styleId="FootnoteReference">
    <w:name w:val="footnote reference"/>
    <w:basedOn w:val="DefaultParagraphFont"/>
    <w:semiHidden/>
    <w:unhideWhenUsed/>
    <w:rsid w:val="004B4AE0"/>
    <w:rPr>
      <w:vertAlign w:val="superscript"/>
    </w:rPr>
  </w:style>
  <w:style w:type="paragraph" w:customStyle="1" w:styleId="Continue">
    <w:name w:val="Continue"/>
    <w:basedOn w:val="Normal"/>
    <w:rsid w:val="00086529"/>
    <w:pPr>
      <w:spacing w:before="180" w:line="320" w:lineRule="exact"/>
      <w:ind w:firstLine="425"/>
      <w:jc w:val="left"/>
    </w:pPr>
    <w:rPr>
      <w:rFonts w:ascii="Times New Roman" w:eastAsia="Times New Roman" w:hAnsi="Times New Roman" w:cs="Times New Roman"/>
      <w:szCs w:val="20"/>
    </w:rPr>
  </w:style>
  <w:style w:type="paragraph" w:customStyle="1" w:styleId="FirstofSection">
    <w:name w:val="First of Section"/>
    <w:basedOn w:val="Normal"/>
    <w:rsid w:val="00086529"/>
    <w:pPr>
      <w:spacing w:before="60" w:line="320" w:lineRule="exact"/>
      <w:jc w:val="left"/>
    </w:pPr>
    <w:rPr>
      <w:rFonts w:ascii="Times New Roman" w:eastAsia="Times New Roman" w:hAnsi="Times New Roman" w:cs="Times New Roman"/>
      <w:szCs w:val="20"/>
    </w:rPr>
  </w:style>
  <w:style w:type="paragraph" w:styleId="NormalWeb">
    <w:name w:val="Normal (Web)"/>
    <w:basedOn w:val="Normal"/>
    <w:uiPriority w:val="99"/>
    <w:semiHidden/>
    <w:unhideWhenUsed/>
    <w:rsid w:val="007E103B"/>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customStyle="1" w:styleId="ins">
    <w:name w:val="ins"/>
    <w:basedOn w:val="DefaultParagraphFont"/>
    <w:rsid w:val="007E103B"/>
  </w:style>
  <w:style w:type="character" w:customStyle="1" w:styleId="apple-converted-space">
    <w:name w:val="apple-converted-space"/>
    <w:basedOn w:val="DefaultParagraphFont"/>
    <w:rsid w:val="007E103B"/>
  </w:style>
  <w:style w:type="character" w:styleId="Emphasis">
    <w:name w:val="Emphasis"/>
    <w:basedOn w:val="DefaultParagraphFont"/>
    <w:uiPriority w:val="20"/>
    <w:qFormat/>
    <w:rsid w:val="007E103B"/>
    <w:rPr>
      <w:i/>
      <w:iCs/>
    </w:rPr>
  </w:style>
  <w:style w:type="paragraph" w:customStyle="1" w:styleId="flow">
    <w:name w:val="flow"/>
    <w:basedOn w:val="Normal"/>
    <w:rsid w:val="007E103B"/>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customStyle="1" w:styleId="Quotation">
    <w:name w:val="Quotation"/>
    <w:basedOn w:val="Normal"/>
    <w:link w:val="QuotationChar"/>
    <w:qFormat/>
    <w:rsid w:val="007E103B"/>
    <w:pPr>
      <w:ind w:left="907" w:right="113"/>
    </w:pPr>
    <w:rPr>
      <w:sz w:val="20"/>
      <w:szCs w:val="20"/>
    </w:rPr>
  </w:style>
  <w:style w:type="character" w:customStyle="1" w:styleId="QuotationChar">
    <w:name w:val="Quotation Char"/>
    <w:basedOn w:val="DefaultParagraphFont"/>
    <w:link w:val="Quotation"/>
    <w:rsid w:val="007E103B"/>
    <w:rPr>
      <w:sz w:val="20"/>
      <w:szCs w:val="20"/>
    </w:rPr>
  </w:style>
  <w:style w:type="paragraph" w:styleId="BalloonText">
    <w:name w:val="Balloon Text"/>
    <w:basedOn w:val="Normal"/>
    <w:link w:val="BalloonTextChar"/>
    <w:uiPriority w:val="99"/>
    <w:semiHidden/>
    <w:unhideWhenUsed/>
    <w:rsid w:val="00863B8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B8C"/>
    <w:rPr>
      <w:rFonts w:ascii="Tahoma" w:hAnsi="Tahoma" w:cs="Tahoma"/>
      <w:sz w:val="16"/>
      <w:szCs w:val="16"/>
    </w:rPr>
  </w:style>
  <w:style w:type="character" w:customStyle="1" w:styleId="highlight">
    <w:name w:val="highlight"/>
    <w:basedOn w:val="DefaultParagraphFont"/>
    <w:rsid w:val="00735D64"/>
  </w:style>
  <w:style w:type="character" w:customStyle="1" w:styleId="sc">
    <w:name w:val="sc"/>
    <w:basedOn w:val="DefaultParagraphFont"/>
    <w:rsid w:val="00CD6A43"/>
  </w:style>
  <w:style w:type="paragraph" w:customStyle="1" w:styleId="BlockQuote">
    <w:name w:val="Block Quote"/>
    <w:basedOn w:val="Normal"/>
    <w:qFormat/>
    <w:rsid w:val="003E78C6"/>
    <w:pPr>
      <w:ind w:left="567" w:right="567"/>
    </w:pPr>
    <w:rPr>
      <w:sz w:val="20"/>
      <w:szCs w:val="20"/>
    </w:rPr>
  </w:style>
  <w:style w:type="character" w:styleId="Hyperlink">
    <w:name w:val="Hyperlink"/>
    <w:basedOn w:val="DefaultParagraphFont"/>
    <w:uiPriority w:val="99"/>
    <w:unhideWhenUsed/>
    <w:rsid w:val="009B3FFA"/>
    <w:rPr>
      <w:color w:val="0000FF" w:themeColor="hyperlink"/>
      <w:u w:val="single"/>
    </w:rPr>
  </w:style>
  <w:style w:type="character" w:customStyle="1" w:styleId="UnresolvedMention1">
    <w:name w:val="Unresolved Mention1"/>
    <w:basedOn w:val="DefaultParagraphFont"/>
    <w:uiPriority w:val="99"/>
    <w:semiHidden/>
    <w:unhideWhenUsed/>
    <w:rsid w:val="009B3FFA"/>
    <w:rPr>
      <w:color w:val="605E5C"/>
      <w:shd w:val="clear" w:color="auto" w:fill="E1DFDD"/>
    </w:rPr>
  </w:style>
  <w:style w:type="character" w:customStyle="1" w:styleId="Heading4Char">
    <w:name w:val="Heading 4 Char"/>
    <w:basedOn w:val="DefaultParagraphFont"/>
    <w:link w:val="Heading4"/>
    <w:uiPriority w:val="9"/>
    <w:rsid w:val="00516608"/>
    <w:rPr>
      <w:rFonts w:ascii="Times New Roman" w:eastAsia="Times New Roman" w:hAnsi="Times New Roman" w:cs="Times New Roman"/>
      <w:b/>
      <w:bCs/>
      <w:sz w:val="24"/>
      <w:szCs w:val="24"/>
      <w:lang w:eastAsia="en-GB"/>
    </w:rPr>
  </w:style>
  <w:style w:type="character" w:customStyle="1" w:styleId="HeaderChar">
    <w:name w:val="Header Char"/>
    <w:basedOn w:val="DefaultParagraphFont"/>
    <w:link w:val="Header"/>
    <w:uiPriority w:val="99"/>
    <w:rsid w:val="00516608"/>
  </w:style>
  <w:style w:type="paragraph" w:styleId="Header">
    <w:name w:val="header"/>
    <w:basedOn w:val="Normal"/>
    <w:link w:val="HeaderChar"/>
    <w:uiPriority w:val="99"/>
    <w:unhideWhenUsed/>
    <w:rsid w:val="00516608"/>
    <w:pPr>
      <w:tabs>
        <w:tab w:val="center" w:pos="4513"/>
        <w:tab w:val="right" w:pos="9026"/>
      </w:tabs>
      <w:spacing w:before="0" w:line="240" w:lineRule="auto"/>
    </w:pPr>
  </w:style>
  <w:style w:type="character" w:customStyle="1" w:styleId="FooterChar">
    <w:name w:val="Footer Char"/>
    <w:basedOn w:val="DefaultParagraphFont"/>
    <w:link w:val="Footer"/>
    <w:uiPriority w:val="99"/>
    <w:rsid w:val="00516608"/>
  </w:style>
  <w:style w:type="paragraph" w:styleId="Footer">
    <w:name w:val="footer"/>
    <w:basedOn w:val="Normal"/>
    <w:link w:val="FooterChar"/>
    <w:uiPriority w:val="99"/>
    <w:unhideWhenUsed/>
    <w:rsid w:val="00516608"/>
    <w:pPr>
      <w:tabs>
        <w:tab w:val="center" w:pos="4513"/>
        <w:tab w:val="right" w:pos="9026"/>
      </w:tabs>
      <w:spacing w:before="0" w:line="240" w:lineRule="auto"/>
    </w:pPr>
  </w:style>
  <w:style w:type="paragraph" w:customStyle="1" w:styleId="HangingIndent">
    <w:name w:val="Hanging Indent"/>
    <w:basedOn w:val="Normal"/>
    <w:qFormat/>
    <w:rsid w:val="008325CC"/>
    <w:pPr>
      <w:ind w:left="851" w:hanging="851"/>
    </w:pPr>
  </w:style>
  <w:style w:type="character" w:styleId="UnresolvedMention">
    <w:name w:val="Unresolved Mention"/>
    <w:basedOn w:val="DefaultParagraphFont"/>
    <w:uiPriority w:val="99"/>
    <w:semiHidden/>
    <w:unhideWhenUsed/>
    <w:rsid w:val="00455BE6"/>
    <w:rPr>
      <w:color w:val="605E5C"/>
      <w:shd w:val="clear" w:color="auto" w:fill="E1DFDD"/>
    </w:rPr>
  </w:style>
  <w:style w:type="table" w:styleId="TableGrid">
    <w:name w:val="Table Grid"/>
    <w:basedOn w:val="TableNormal"/>
    <w:uiPriority w:val="59"/>
    <w:rsid w:val="000A3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922072">
      <w:bodyDiv w:val="1"/>
      <w:marLeft w:val="0"/>
      <w:marRight w:val="0"/>
      <w:marTop w:val="0"/>
      <w:marBottom w:val="0"/>
      <w:divBdr>
        <w:top w:val="none" w:sz="0" w:space="0" w:color="auto"/>
        <w:left w:val="none" w:sz="0" w:space="0" w:color="auto"/>
        <w:bottom w:val="none" w:sz="0" w:space="0" w:color="auto"/>
        <w:right w:val="none" w:sz="0" w:space="0" w:color="auto"/>
      </w:divBdr>
      <w:divsChild>
        <w:div w:id="806511288">
          <w:marLeft w:val="547"/>
          <w:marRight w:val="0"/>
          <w:marTop w:val="130"/>
          <w:marBottom w:val="0"/>
          <w:divBdr>
            <w:top w:val="none" w:sz="0" w:space="0" w:color="auto"/>
            <w:left w:val="none" w:sz="0" w:space="0" w:color="auto"/>
            <w:bottom w:val="none" w:sz="0" w:space="0" w:color="auto"/>
            <w:right w:val="none" w:sz="0" w:space="0" w:color="auto"/>
          </w:divBdr>
        </w:div>
        <w:div w:id="1275751649">
          <w:marLeft w:val="547"/>
          <w:marRight w:val="0"/>
          <w:marTop w:val="130"/>
          <w:marBottom w:val="0"/>
          <w:divBdr>
            <w:top w:val="none" w:sz="0" w:space="0" w:color="auto"/>
            <w:left w:val="none" w:sz="0" w:space="0" w:color="auto"/>
            <w:bottom w:val="none" w:sz="0" w:space="0" w:color="auto"/>
            <w:right w:val="none" w:sz="0" w:space="0" w:color="auto"/>
          </w:divBdr>
        </w:div>
      </w:divsChild>
    </w:div>
    <w:div w:id="639648919">
      <w:bodyDiv w:val="1"/>
      <w:marLeft w:val="0"/>
      <w:marRight w:val="0"/>
      <w:marTop w:val="0"/>
      <w:marBottom w:val="0"/>
      <w:divBdr>
        <w:top w:val="none" w:sz="0" w:space="0" w:color="auto"/>
        <w:left w:val="none" w:sz="0" w:space="0" w:color="auto"/>
        <w:bottom w:val="none" w:sz="0" w:space="0" w:color="auto"/>
        <w:right w:val="none" w:sz="0" w:space="0" w:color="auto"/>
      </w:divBdr>
      <w:divsChild>
        <w:div w:id="539636063">
          <w:marLeft w:val="0"/>
          <w:marRight w:val="0"/>
          <w:marTop w:val="300"/>
          <w:marBottom w:val="300"/>
          <w:divBdr>
            <w:top w:val="single" w:sz="6" w:space="31" w:color="000000"/>
            <w:left w:val="single" w:sz="6" w:space="31" w:color="000000"/>
            <w:bottom w:val="single" w:sz="6" w:space="31" w:color="000000"/>
            <w:right w:val="single" w:sz="6" w:space="31" w:color="000000"/>
          </w:divBdr>
        </w:div>
        <w:div w:id="391929723">
          <w:marLeft w:val="0"/>
          <w:marRight w:val="0"/>
          <w:marTop w:val="300"/>
          <w:marBottom w:val="300"/>
          <w:divBdr>
            <w:top w:val="single" w:sz="6" w:space="31" w:color="000000"/>
            <w:left w:val="single" w:sz="6" w:space="31" w:color="000000"/>
            <w:bottom w:val="single" w:sz="6" w:space="31" w:color="000000"/>
            <w:right w:val="single" w:sz="6" w:space="31" w:color="000000"/>
          </w:divBdr>
        </w:div>
      </w:divsChild>
    </w:div>
    <w:div w:id="771127281">
      <w:bodyDiv w:val="1"/>
      <w:marLeft w:val="0"/>
      <w:marRight w:val="0"/>
      <w:marTop w:val="0"/>
      <w:marBottom w:val="0"/>
      <w:divBdr>
        <w:top w:val="none" w:sz="0" w:space="0" w:color="auto"/>
        <w:left w:val="none" w:sz="0" w:space="0" w:color="auto"/>
        <w:bottom w:val="none" w:sz="0" w:space="0" w:color="auto"/>
        <w:right w:val="none" w:sz="0" w:space="0" w:color="auto"/>
      </w:divBdr>
      <w:divsChild>
        <w:div w:id="1244948670">
          <w:marLeft w:val="0"/>
          <w:marRight w:val="0"/>
          <w:marTop w:val="300"/>
          <w:marBottom w:val="300"/>
          <w:divBdr>
            <w:top w:val="single" w:sz="6" w:space="31" w:color="000000"/>
            <w:left w:val="single" w:sz="6" w:space="31" w:color="000000"/>
            <w:bottom w:val="single" w:sz="6" w:space="31" w:color="000000"/>
            <w:right w:val="single" w:sz="6" w:space="31" w:color="000000"/>
          </w:divBdr>
          <w:divsChild>
            <w:div w:id="680086325">
              <w:marLeft w:val="-2550"/>
              <w:marRight w:val="0"/>
              <w:marTop w:val="0"/>
              <w:marBottom w:val="0"/>
              <w:divBdr>
                <w:top w:val="none" w:sz="0" w:space="0" w:color="auto"/>
                <w:left w:val="none" w:sz="0" w:space="0" w:color="auto"/>
                <w:bottom w:val="none" w:sz="0" w:space="0" w:color="auto"/>
                <w:right w:val="none" w:sz="0" w:space="0" w:color="auto"/>
              </w:divBdr>
            </w:div>
          </w:divsChild>
        </w:div>
        <w:div w:id="469904028">
          <w:marLeft w:val="0"/>
          <w:marRight w:val="0"/>
          <w:marTop w:val="300"/>
          <w:marBottom w:val="300"/>
          <w:divBdr>
            <w:top w:val="single" w:sz="6" w:space="31" w:color="000000"/>
            <w:left w:val="single" w:sz="6" w:space="31" w:color="000000"/>
            <w:bottom w:val="single" w:sz="6" w:space="31" w:color="000000"/>
            <w:right w:val="single" w:sz="6" w:space="31" w:color="000000"/>
          </w:divBdr>
          <w:divsChild>
            <w:div w:id="1982542549">
              <w:marLeft w:val="-2550"/>
              <w:marRight w:val="0"/>
              <w:marTop w:val="0"/>
              <w:marBottom w:val="0"/>
              <w:divBdr>
                <w:top w:val="none" w:sz="0" w:space="0" w:color="auto"/>
                <w:left w:val="none" w:sz="0" w:space="0" w:color="auto"/>
                <w:bottom w:val="none" w:sz="0" w:space="0" w:color="auto"/>
                <w:right w:val="none" w:sz="0" w:space="0" w:color="auto"/>
              </w:divBdr>
            </w:div>
          </w:divsChild>
        </w:div>
      </w:divsChild>
    </w:div>
    <w:div w:id="1278870735">
      <w:bodyDiv w:val="1"/>
      <w:marLeft w:val="0"/>
      <w:marRight w:val="0"/>
      <w:marTop w:val="0"/>
      <w:marBottom w:val="0"/>
      <w:divBdr>
        <w:top w:val="none" w:sz="0" w:space="0" w:color="auto"/>
        <w:left w:val="none" w:sz="0" w:space="0" w:color="auto"/>
        <w:bottom w:val="none" w:sz="0" w:space="0" w:color="auto"/>
        <w:right w:val="none" w:sz="0" w:space="0" w:color="auto"/>
      </w:divBdr>
      <w:divsChild>
        <w:div w:id="1186603232">
          <w:marLeft w:val="0"/>
          <w:marRight w:val="0"/>
          <w:marTop w:val="0"/>
          <w:marBottom w:val="0"/>
          <w:divBdr>
            <w:top w:val="none" w:sz="0" w:space="0" w:color="auto"/>
            <w:left w:val="none" w:sz="0" w:space="0" w:color="auto"/>
            <w:bottom w:val="none" w:sz="0" w:space="0" w:color="auto"/>
            <w:right w:val="none" w:sz="0" w:space="0" w:color="auto"/>
          </w:divBdr>
          <w:divsChild>
            <w:div w:id="2055807957">
              <w:marLeft w:val="0"/>
              <w:marRight w:val="0"/>
              <w:marTop w:val="0"/>
              <w:marBottom w:val="0"/>
              <w:divBdr>
                <w:top w:val="none" w:sz="0" w:space="0" w:color="auto"/>
                <w:left w:val="none" w:sz="0" w:space="0" w:color="auto"/>
                <w:bottom w:val="none" w:sz="0" w:space="0" w:color="auto"/>
                <w:right w:val="none" w:sz="0" w:space="0" w:color="auto"/>
              </w:divBdr>
            </w:div>
          </w:divsChild>
        </w:div>
        <w:div w:id="78792774">
          <w:marLeft w:val="0"/>
          <w:marRight w:val="0"/>
          <w:marTop w:val="0"/>
          <w:marBottom w:val="0"/>
          <w:divBdr>
            <w:top w:val="none" w:sz="0" w:space="0" w:color="auto"/>
            <w:left w:val="none" w:sz="0" w:space="0" w:color="auto"/>
            <w:bottom w:val="none" w:sz="0" w:space="0" w:color="auto"/>
            <w:right w:val="none" w:sz="0" w:space="0" w:color="auto"/>
          </w:divBdr>
          <w:divsChild>
            <w:div w:id="1097559545">
              <w:marLeft w:val="0"/>
              <w:marRight w:val="0"/>
              <w:marTop w:val="0"/>
              <w:marBottom w:val="120"/>
              <w:divBdr>
                <w:top w:val="none" w:sz="0" w:space="0" w:color="auto"/>
                <w:left w:val="none" w:sz="0" w:space="0" w:color="auto"/>
                <w:bottom w:val="none" w:sz="0" w:space="0" w:color="auto"/>
                <w:right w:val="none" w:sz="0" w:space="0" w:color="auto"/>
              </w:divBdr>
            </w:div>
            <w:div w:id="520164210">
              <w:marLeft w:val="0"/>
              <w:marRight w:val="0"/>
              <w:marTop w:val="0"/>
              <w:marBottom w:val="0"/>
              <w:divBdr>
                <w:top w:val="none" w:sz="0" w:space="0" w:color="auto"/>
                <w:left w:val="none" w:sz="0" w:space="0" w:color="auto"/>
                <w:bottom w:val="none" w:sz="0" w:space="0" w:color="auto"/>
                <w:right w:val="none" w:sz="0" w:space="0" w:color="auto"/>
              </w:divBdr>
            </w:div>
          </w:divsChild>
        </w:div>
        <w:div w:id="715280907">
          <w:marLeft w:val="0"/>
          <w:marRight w:val="0"/>
          <w:marTop w:val="0"/>
          <w:marBottom w:val="0"/>
          <w:divBdr>
            <w:top w:val="none" w:sz="0" w:space="0" w:color="auto"/>
            <w:left w:val="none" w:sz="0" w:space="0" w:color="auto"/>
            <w:bottom w:val="none" w:sz="0" w:space="0" w:color="auto"/>
            <w:right w:val="none" w:sz="0" w:space="0" w:color="auto"/>
          </w:divBdr>
          <w:divsChild>
            <w:div w:id="811748940">
              <w:marLeft w:val="0"/>
              <w:marRight w:val="0"/>
              <w:marTop w:val="0"/>
              <w:marBottom w:val="120"/>
              <w:divBdr>
                <w:top w:val="none" w:sz="0" w:space="0" w:color="auto"/>
                <w:left w:val="none" w:sz="0" w:space="0" w:color="auto"/>
                <w:bottom w:val="none" w:sz="0" w:space="0" w:color="auto"/>
                <w:right w:val="none" w:sz="0" w:space="0" w:color="auto"/>
              </w:divBdr>
            </w:div>
            <w:div w:id="1697534195">
              <w:marLeft w:val="0"/>
              <w:marRight w:val="0"/>
              <w:marTop w:val="0"/>
              <w:marBottom w:val="0"/>
              <w:divBdr>
                <w:top w:val="none" w:sz="0" w:space="0" w:color="auto"/>
                <w:left w:val="none" w:sz="0" w:space="0" w:color="auto"/>
                <w:bottom w:val="none" w:sz="0" w:space="0" w:color="auto"/>
                <w:right w:val="none" w:sz="0" w:space="0" w:color="auto"/>
              </w:divBdr>
            </w:div>
          </w:divsChild>
        </w:div>
        <w:div w:id="1010915940">
          <w:marLeft w:val="0"/>
          <w:marRight w:val="0"/>
          <w:marTop w:val="0"/>
          <w:marBottom w:val="0"/>
          <w:divBdr>
            <w:top w:val="none" w:sz="0" w:space="0" w:color="auto"/>
            <w:left w:val="none" w:sz="0" w:space="0" w:color="auto"/>
            <w:bottom w:val="none" w:sz="0" w:space="0" w:color="auto"/>
            <w:right w:val="none" w:sz="0" w:space="0" w:color="auto"/>
          </w:divBdr>
          <w:divsChild>
            <w:div w:id="399913280">
              <w:marLeft w:val="0"/>
              <w:marRight w:val="0"/>
              <w:marTop w:val="0"/>
              <w:marBottom w:val="120"/>
              <w:divBdr>
                <w:top w:val="none" w:sz="0" w:space="0" w:color="auto"/>
                <w:left w:val="none" w:sz="0" w:space="0" w:color="auto"/>
                <w:bottom w:val="none" w:sz="0" w:space="0" w:color="auto"/>
                <w:right w:val="none" w:sz="0" w:space="0" w:color="auto"/>
              </w:divBdr>
            </w:div>
            <w:div w:id="2112511835">
              <w:marLeft w:val="0"/>
              <w:marRight w:val="0"/>
              <w:marTop w:val="0"/>
              <w:marBottom w:val="0"/>
              <w:divBdr>
                <w:top w:val="none" w:sz="0" w:space="0" w:color="auto"/>
                <w:left w:val="none" w:sz="0" w:space="0" w:color="auto"/>
                <w:bottom w:val="none" w:sz="0" w:space="0" w:color="auto"/>
                <w:right w:val="none" w:sz="0" w:space="0" w:color="auto"/>
              </w:divBdr>
            </w:div>
          </w:divsChild>
        </w:div>
        <w:div w:id="1049260165">
          <w:marLeft w:val="0"/>
          <w:marRight w:val="0"/>
          <w:marTop w:val="0"/>
          <w:marBottom w:val="0"/>
          <w:divBdr>
            <w:top w:val="none" w:sz="0" w:space="0" w:color="auto"/>
            <w:left w:val="none" w:sz="0" w:space="0" w:color="auto"/>
            <w:bottom w:val="none" w:sz="0" w:space="0" w:color="auto"/>
            <w:right w:val="none" w:sz="0" w:space="0" w:color="auto"/>
          </w:divBdr>
          <w:divsChild>
            <w:div w:id="1300456484">
              <w:marLeft w:val="0"/>
              <w:marRight w:val="0"/>
              <w:marTop w:val="0"/>
              <w:marBottom w:val="120"/>
              <w:divBdr>
                <w:top w:val="none" w:sz="0" w:space="0" w:color="auto"/>
                <w:left w:val="none" w:sz="0" w:space="0" w:color="auto"/>
                <w:bottom w:val="none" w:sz="0" w:space="0" w:color="auto"/>
                <w:right w:val="none" w:sz="0" w:space="0" w:color="auto"/>
              </w:divBdr>
            </w:div>
            <w:div w:id="1841115244">
              <w:marLeft w:val="0"/>
              <w:marRight w:val="0"/>
              <w:marTop w:val="0"/>
              <w:marBottom w:val="0"/>
              <w:divBdr>
                <w:top w:val="none" w:sz="0" w:space="0" w:color="auto"/>
                <w:left w:val="none" w:sz="0" w:space="0" w:color="auto"/>
                <w:bottom w:val="none" w:sz="0" w:space="0" w:color="auto"/>
                <w:right w:val="none" w:sz="0" w:space="0" w:color="auto"/>
              </w:divBdr>
            </w:div>
          </w:divsChild>
        </w:div>
        <w:div w:id="1392580885">
          <w:marLeft w:val="0"/>
          <w:marRight w:val="0"/>
          <w:marTop w:val="0"/>
          <w:marBottom w:val="0"/>
          <w:divBdr>
            <w:top w:val="none" w:sz="0" w:space="0" w:color="auto"/>
            <w:left w:val="none" w:sz="0" w:space="0" w:color="auto"/>
            <w:bottom w:val="none" w:sz="0" w:space="0" w:color="auto"/>
            <w:right w:val="none" w:sz="0" w:space="0" w:color="auto"/>
          </w:divBdr>
          <w:divsChild>
            <w:div w:id="965086827">
              <w:marLeft w:val="0"/>
              <w:marRight w:val="0"/>
              <w:marTop w:val="0"/>
              <w:marBottom w:val="120"/>
              <w:divBdr>
                <w:top w:val="none" w:sz="0" w:space="0" w:color="auto"/>
                <w:left w:val="none" w:sz="0" w:space="0" w:color="auto"/>
                <w:bottom w:val="none" w:sz="0" w:space="0" w:color="auto"/>
                <w:right w:val="none" w:sz="0" w:space="0" w:color="auto"/>
              </w:divBdr>
            </w:div>
            <w:div w:id="938173856">
              <w:marLeft w:val="0"/>
              <w:marRight w:val="0"/>
              <w:marTop w:val="0"/>
              <w:marBottom w:val="0"/>
              <w:divBdr>
                <w:top w:val="none" w:sz="0" w:space="0" w:color="auto"/>
                <w:left w:val="none" w:sz="0" w:space="0" w:color="auto"/>
                <w:bottom w:val="none" w:sz="0" w:space="0" w:color="auto"/>
                <w:right w:val="none" w:sz="0" w:space="0" w:color="auto"/>
              </w:divBdr>
            </w:div>
          </w:divsChild>
        </w:div>
        <w:div w:id="585458925">
          <w:marLeft w:val="0"/>
          <w:marRight w:val="0"/>
          <w:marTop w:val="0"/>
          <w:marBottom w:val="0"/>
          <w:divBdr>
            <w:top w:val="none" w:sz="0" w:space="0" w:color="auto"/>
            <w:left w:val="none" w:sz="0" w:space="0" w:color="auto"/>
            <w:bottom w:val="none" w:sz="0" w:space="0" w:color="auto"/>
            <w:right w:val="none" w:sz="0" w:space="0" w:color="auto"/>
          </w:divBdr>
          <w:divsChild>
            <w:div w:id="1038237497">
              <w:marLeft w:val="0"/>
              <w:marRight w:val="0"/>
              <w:marTop w:val="0"/>
              <w:marBottom w:val="120"/>
              <w:divBdr>
                <w:top w:val="none" w:sz="0" w:space="0" w:color="auto"/>
                <w:left w:val="none" w:sz="0" w:space="0" w:color="auto"/>
                <w:bottom w:val="none" w:sz="0" w:space="0" w:color="auto"/>
                <w:right w:val="none" w:sz="0" w:space="0" w:color="auto"/>
              </w:divBdr>
            </w:div>
            <w:div w:id="110519367">
              <w:marLeft w:val="0"/>
              <w:marRight w:val="0"/>
              <w:marTop w:val="0"/>
              <w:marBottom w:val="0"/>
              <w:divBdr>
                <w:top w:val="none" w:sz="0" w:space="0" w:color="auto"/>
                <w:left w:val="none" w:sz="0" w:space="0" w:color="auto"/>
                <w:bottom w:val="none" w:sz="0" w:space="0" w:color="auto"/>
                <w:right w:val="none" w:sz="0" w:space="0" w:color="auto"/>
              </w:divBdr>
            </w:div>
          </w:divsChild>
        </w:div>
        <w:div w:id="719865660">
          <w:marLeft w:val="0"/>
          <w:marRight w:val="0"/>
          <w:marTop w:val="0"/>
          <w:marBottom w:val="0"/>
          <w:divBdr>
            <w:top w:val="none" w:sz="0" w:space="0" w:color="auto"/>
            <w:left w:val="none" w:sz="0" w:space="0" w:color="auto"/>
            <w:bottom w:val="none" w:sz="0" w:space="0" w:color="auto"/>
            <w:right w:val="none" w:sz="0" w:space="0" w:color="auto"/>
          </w:divBdr>
          <w:divsChild>
            <w:div w:id="101385446">
              <w:marLeft w:val="0"/>
              <w:marRight w:val="0"/>
              <w:marTop w:val="0"/>
              <w:marBottom w:val="120"/>
              <w:divBdr>
                <w:top w:val="none" w:sz="0" w:space="0" w:color="auto"/>
                <w:left w:val="none" w:sz="0" w:space="0" w:color="auto"/>
                <w:bottom w:val="none" w:sz="0" w:space="0" w:color="auto"/>
                <w:right w:val="none" w:sz="0" w:space="0" w:color="auto"/>
              </w:divBdr>
            </w:div>
            <w:div w:id="1689019003">
              <w:marLeft w:val="0"/>
              <w:marRight w:val="0"/>
              <w:marTop w:val="0"/>
              <w:marBottom w:val="0"/>
              <w:divBdr>
                <w:top w:val="none" w:sz="0" w:space="0" w:color="auto"/>
                <w:left w:val="none" w:sz="0" w:space="0" w:color="auto"/>
                <w:bottom w:val="none" w:sz="0" w:space="0" w:color="auto"/>
                <w:right w:val="none" w:sz="0" w:space="0" w:color="auto"/>
              </w:divBdr>
            </w:div>
          </w:divsChild>
        </w:div>
        <w:div w:id="733436161">
          <w:marLeft w:val="0"/>
          <w:marRight w:val="0"/>
          <w:marTop w:val="0"/>
          <w:marBottom w:val="0"/>
          <w:divBdr>
            <w:top w:val="none" w:sz="0" w:space="0" w:color="auto"/>
            <w:left w:val="none" w:sz="0" w:space="0" w:color="auto"/>
            <w:bottom w:val="none" w:sz="0" w:space="0" w:color="auto"/>
            <w:right w:val="none" w:sz="0" w:space="0" w:color="auto"/>
          </w:divBdr>
          <w:divsChild>
            <w:div w:id="1421095870">
              <w:marLeft w:val="0"/>
              <w:marRight w:val="0"/>
              <w:marTop w:val="0"/>
              <w:marBottom w:val="120"/>
              <w:divBdr>
                <w:top w:val="none" w:sz="0" w:space="0" w:color="auto"/>
                <w:left w:val="none" w:sz="0" w:space="0" w:color="auto"/>
                <w:bottom w:val="none" w:sz="0" w:space="0" w:color="auto"/>
                <w:right w:val="none" w:sz="0" w:space="0" w:color="auto"/>
              </w:divBdr>
            </w:div>
            <w:div w:id="96096039">
              <w:marLeft w:val="0"/>
              <w:marRight w:val="0"/>
              <w:marTop w:val="0"/>
              <w:marBottom w:val="0"/>
              <w:divBdr>
                <w:top w:val="none" w:sz="0" w:space="0" w:color="auto"/>
                <w:left w:val="none" w:sz="0" w:space="0" w:color="auto"/>
                <w:bottom w:val="none" w:sz="0" w:space="0" w:color="auto"/>
                <w:right w:val="none" w:sz="0" w:space="0" w:color="auto"/>
              </w:divBdr>
            </w:div>
          </w:divsChild>
        </w:div>
        <w:div w:id="1870946856">
          <w:marLeft w:val="0"/>
          <w:marRight w:val="0"/>
          <w:marTop w:val="0"/>
          <w:marBottom w:val="0"/>
          <w:divBdr>
            <w:top w:val="none" w:sz="0" w:space="0" w:color="auto"/>
            <w:left w:val="none" w:sz="0" w:space="0" w:color="auto"/>
            <w:bottom w:val="none" w:sz="0" w:space="0" w:color="auto"/>
            <w:right w:val="none" w:sz="0" w:space="0" w:color="auto"/>
          </w:divBdr>
          <w:divsChild>
            <w:div w:id="209804817">
              <w:marLeft w:val="0"/>
              <w:marRight w:val="0"/>
              <w:marTop w:val="0"/>
              <w:marBottom w:val="120"/>
              <w:divBdr>
                <w:top w:val="none" w:sz="0" w:space="0" w:color="auto"/>
                <w:left w:val="none" w:sz="0" w:space="0" w:color="auto"/>
                <w:bottom w:val="none" w:sz="0" w:space="0" w:color="auto"/>
                <w:right w:val="none" w:sz="0" w:space="0" w:color="auto"/>
              </w:divBdr>
            </w:div>
            <w:div w:id="1470170205">
              <w:marLeft w:val="0"/>
              <w:marRight w:val="0"/>
              <w:marTop w:val="0"/>
              <w:marBottom w:val="0"/>
              <w:divBdr>
                <w:top w:val="none" w:sz="0" w:space="0" w:color="auto"/>
                <w:left w:val="none" w:sz="0" w:space="0" w:color="auto"/>
                <w:bottom w:val="none" w:sz="0" w:space="0" w:color="auto"/>
                <w:right w:val="none" w:sz="0" w:space="0" w:color="auto"/>
              </w:divBdr>
            </w:div>
          </w:divsChild>
        </w:div>
        <w:div w:id="523908055">
          <w:marLeft w:val="0"/>
          <w:marRight w:val="0"/>
          <w:marTop w:val="0"/>
          <w:marBottom w:val="0"/>
          <w:divBdr>
            <w:top w:val="none" w:sz="0" w:space="0" w:color="auto"/>
            <w:left w:val="none" w:sz="0" w:space="0" w:color="auto"/>
            <w:bottom w:val="none" w:sz="0" w:space="0" w:color="auto"/>
            <w:right w:val="none" w:sz="0" w:space="0" w:color="auto"/>
          </w:divBdr>
          <w:divsChild>
            <w:div w:id="932975554">
              <w:marLeft w:val="0"/>
              <w:marRight w:val="0"/>
              <w:marTop w:val="0"/>
              <w:marBottom w:val="120"/>
              <w:divBdr>
                <w:top w:val="none" w:sz="0" w:space="0" w:color="auto"/>
                <w:left w:val="none" w:sz="0" w:space="0" w:color="auto"/>
                <w:bottom w:val="none" w:sz="0" w:space="0" w:color="auto"/>
                <w:right w:val="none" w:sz="0" w:space="0" w:color="auto"/>
              </w:divBdr>
            </w:div>
            <w:div w:id="58287252">
              <w:marLeft w:val="0"/>
              <w:marRight w:val="0"/>
              <w:marTop w:val="0"/>
              <w:marBottom w:val="0"/>
              <w:divBdr>
                <w:top w:val="none" w:sz="0" w:space="0" w:color="auto"/>
                <w:left w:val="none" w:sz="0" w:space="0" w:color="auto"/>
                <w:bottom w:val="none" w:sz="0" w:space="0" w:color="auto"/>
                <w:right w:val="none" w:sz="0" w:space="0" w:color="auto"/>
              </w:divBdr>
            </w:div>
          </w:divsChild>
        </w:div>
        <w:div w:id="1375108764">
          <w:marLeft w:val="0"/>
          <w:marRight w:val="0"/>
          <w:marTop w:val="0"/>
          <w:marBottom w:val="0"/>
          <w:divBdr>
            <w:top w:val="none" w:sz="0" w:space="0" w:color="auto"/>
            <w:left w:val="none" w:sz="0" w:space="0" w:color="auto"/>
            <w:bottom w:val="none" w:sz="0" w:space="0" w:color="auto"/>
            <w:right w:val="none" w:sz="0" w:space="0" w:color="auto"/>
          </w:divBdr>
          <w:divsChild>
            <w:div w:id="1687369280">
              <w:marLeft w:val="0"/>
              <w:marRight w:val="0"/>
              <w:marTop w:val="0"/>
              <w:marBottom w:val="120"/>
              <w:divBdr>
                <w:top w:val="none" w:sz="0" w:space="0" w:color="auto"/>
                <w:left w:val="none" w:sz="0" w:space="0" w:color="auto"/>
                <w:bottom w:val="none" w:sz="0" w:space="0" w:color="auto"/>
                <w:right w:val="none" w:sz="0" w:space="0" w:color="auto"/>
              </w:divBdr>
            </w:div>
            <w:div w:id="1033847521">
              <w:marLeft w:val="0"/>
              <w:marRight w:val="0"/>
              <w:marTop w:val="0"/>
              <w:marBottom w:val="0"/>
              <w:divBdr>
                <w:top w:val="none" w:sz="0" w:space="0" w:color="auto"/>
                <w:left w:val="none" w:sz="0" w:space="0" w:color="auto"/>
                <w:bottom w:val="none" w:sz="0" w:space="0" w:color="auto"/>
                <w:right w:val="none" w:sz="0" w:space="0" w:color="auto"/>
              </w:divBdr>
            </w:div>
          </w:divsChild>
        </w:div>
        <w:div w:id="1872645067">
          <w:marLeft w:val="0"/>
          <w:marRight w:val="0"/>
          <w:marTop w:val="0"/>
          <w:marBottom w:val="0"/>
          <w:divBdr>
            <w:top w:val="none" w:sz="0" w:space="0" w:color="auto"/>
            <w:left w:val="none" w:sz="0" w:space="0" w:color="auto"/>
            <w:bottom w:val="none" w:sz="0" w:space="0" w:color="auto"/>
            <w:right w:val="none" w:sz="0" w:space="0" w:color="auto"/>
          </w:divBdr>
          <w:divsChild>
            <w:div w:id="1592740515">
              <w:marLeft w:val="0"/>
              <w:marRight w:val="0"/>
              <w:marTop w:val="0"/>
              <w:marBottom w:val="120"/>
              <w:divBdr>
                <w:top w:val="none" w:sz="0" w:space="0" w:color="auto"/>
                <w:left w:val="none" w:sz="0" w:space="0" w:color="auto"/>
                <w:bottom w:val="none" w:sz="0" w:space="0" w:color="auto"/>
                <w:right w:val="none" w:sz="0" w:space="0" w:color="auto"/>
              </w:divBdr>
            </w:div>
            <w:div w:id="1986426624">
              <w:marLeft w:val="0"/>
              <w:marRight w:val="0"/>
              <w:marTop w:val="0"/>
              <w:marBottom w:val="0"/>
              <w:divBdr>
                <w:top w:val="none" w:sz="0" w:space="0" w:color="auto"/>
                <w:left w:val="none" w:sz="0" w:space="0" w:color="auto"/>
                <w:bottom w:val="none" w:sz="0" w:space="0" w:color="auto"/>
                <w:right w:val="none" w:sz="0" w:space="0" w:color="auto"/>
              </w:divBdr>
            </w:div>
          </w:divsChild>
        </w:div>
        <w:div w:id="860048713">
          <w:marLeft w:val="0"/>
          <w:marRight w:val="0"/>
          <w:marTop w:val="0"/>
          <w:marBottom w:val="0"/>
          <w:divBdr>
            <w:top w:val="none" w:sz="0" w:space="0" w:color="auto"/>
            <w:left w:val="none" w:sz="0" w:space="0" w:color="auto"/>
            <w:bottom w:val="none" w:sz="0" w:space="0" w:color="auto"/>
            <w:right w:val="none" w:sz="0" w:space="0" w:color="auto"/>
          </w:divBdr>
          <w:divsChild>
            <w:div w:id="1041511711">
              <w:marLeft w:val="0"/>
              <w:marRight w:val="0"/>
              <w:marTop w:val="0"/>
              <w:marBottom w:val="120"/>
              <w:divBdr>
                <w:top w:val="none" w:sz="0" w:space="0" w:color="auto"/>
                <w:left w:val="none" w:sz="0" w:space="0" w:color="auto"/>
                <w:bottom w:val="none" w:sz="0" w:space="0" w:color="auto"/>
                <w:right w:val="none" w:sz="0" w:space="0" w:color="auto"/>
              </w:divBdr>
            </w:div>
            <w:div w:id="178810999">
              <w:marLeft w:val="0"/>
              <w:marRight w:val="0"/>
              <w:marTop w:val="0"/>
              <w:marBottom w:val="0"/>
              <w:divBdr>
                <w:top w:val="none" w:sz="0" w:space="0" w:color="auto"/>
                <w:left w:val="none" w:sz="0" w:space="0" w:color="auto"/>
                <w:bottom w:val="none" w:sz="0" w:space="0" w:color="auto"/>
                <w:right w:val="none" w:sz="0" w:space="0" w:color="auto"/>
              </w:divBdr>
            </w:div>
          </w:divsChild>
        </w:div>
        <w:div w:id="2027249252">
          <w:marLeft w:val="0"/>
          <w:marRight w:val="0"/>
          <w:marTop w:val="0"/>
          <w:marBottom w:val="0"/>
          <w:divBdr>
            <w:top w:val="none" w:sz="0" w:space="0" w:color="auto"/>
            <w:left w:val="none" w:sz="0" w:space="0" w:color="auto"/>
            <w:bottom w:val="none" w:sz="0" w:space="0" w:color="auto"/>
            <w:right w:val="none" w:sz="0" w:space="0" w:color="auto"/>
          </w:divBdr>
          <w:divsChild>
            <w:div w:id="90787160">
              <w:marLeft w:val="0"/>
              <w:marRight w:val="0"/>
              <w:marTop w:val="0"/>
              <w:marBottom w:val="120"/>
              <w:divBdr>
                <w:top w:val="none" w:sz="0" w:space="0" w:color="auto"/>
                <w:left w:val="none" w:sz="0" w:space="0" w:color="auto"/>
                <w:bottom w:val="none" w:sz="0" w:space="0" w:color="auto"/>
                <w:right w:val="none" w:sz="0" w:space="0" w:color="auto"/>
              </w:divBdr>
            </w:div>
            <w:div w:id="14484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4620">
      <w:bodyDiv w:val="1"/>
      <w:marLeft w:val="0"/>
      <w:marRight w:val="0"/>
      <w:marTop w:val="0"/>
      <w:marBottom w:val="0"/>
      <w:divBdr>
        <w:top w:val="none" w:sz="0" w:space="0" w:color="auto"/>
        <w:left w:val="none" w:sz="0" w:space="0" w:color="auto"/>
        <w:bottom w:val="none" w:sz="0" w:space="0" w:color="auto"/>
        <w:right w:val="none" w:sz="0" w:space="0" w:color="auto"/>
      </w:divBdr>
    </w:div>
    <w:div w:id="1441486234">
      <w:bodyDiv w:val="1"/>
      <w:marLeft w:val="0"/>
      <w:marRight w:val="0"/>
      <w:marTop w:val="0"/>
      <w:marBottom w:val="0"/>
      <w:divBdr>
        <w:top w:val="none" w:sz="0" w:space="0" w:color="auto"/>
        <w:left w:val="none" w:sz="0" w:space="0" w:color="auto"/>
        <w:bottom w:val="none" w:sz="0" w:space="0" w:color="auto"/>
        <w:right w:val="none" w:sz="0" w:space="0" w:color="auto"/>
      </w:divBdr>
      <w:divsChild>
        <w:div w:id="138351252">
          <w:marLeft w:val="1166"/>
          <w:marRight w:val="0"/>
          <w:marTop w:val="180"/>
          <w:marBottom w:val="0"/>
          <w:divBdr>
            <w:top w:val="none" w:sz="0" w:space="0" w:color="auto"/>
            <w:left w:val="none" w:sz="0" w:space="0" w:color="auto"/>
            <w:bottom w:val="none" w:sz="0" w:space="0" w:color="auto"/>
            <w:right w:val="none" w:sz="0" w:space="0" w:color="auto"/>
          </w:divBdr>
        </w:div>
      </w:divsChild>
    </w:div>
    <w:div w:id="1468862808">
      <w:bodyDiv w:val="1"/>
      <w:marLeft w:val="0"/>
      <w:marRight w:val="0"/>
      <w:marTop w:val="0"/>
      <w:marBottom w:val="0"/>
      <w:divBdr>
        <w:top w:val="none" w:sz="0" w:space="0" w:color="auto"/>
        <w:left w:val="none" w:sz="0" w:space="0" w:color="auto"/>
        <w:bottom w:val="none" w:sz="0" w:space="0" w:color="auto"/>
        <w:right w:val="none" w:sz="0" w:space="0" w:color="auto"/>
      </w:divBdr>
      <w:divsChild>
        <w:div w:id="1884706840">
          <w:marLeft w:val="0"/>
          <w:marRight w:val="0"/>
          <w:marTop w:val="300"/>
          <w:marBottom w:val="300"/>
          <w:divBdr>
            <w:top w:val="single" w:sz="6" w:space="31" w:color="000000"/>
            <w:left w:val="single" w:sz="6" w:space="31" w:color="000000"/>
            <w:bottom w:val="single" w:sz="6" w:space="31" w:color="000000"/>
            <w:right w:val="single" w:sz="6" w:space="31" w:color="000000"/>
          </w:divBdr>
        </w:div>
        <w:div w:id="541285772">
          <w:marLeft w:val="0"/>
          <w:marRight w:val="0"/>
          <w:marTop w:val="300"/>
          <w:marBottom w:val="300"/>
          <w:divBdr>
            <w:top w:val="single" w:sz="6" w:space="31" w:color="000000"/>
            <w:left w:val="single" w:sz="6" w:space="31" w:color="000000"/>
            <w:bottom w:val="single" w:sz="6" w:space="31" w:color="000000"/>
            <w:right w:val="single" w:sz="6" w:space="31" w:color="000000"/>
          </w:divBdr>
        </w:div>
      </w:divsChild>
    </w:div>
    <w:div w:id="1984046712">
      <w:bodyDiv w:val="1"/>
      <w:marLeft w:val="0"/>
      <w:marRight w:val="0"/>
      <w:marTop w:val="0"/>
      <w:marBottom w:val="0"/>
      <w:divBdr>
        <w:top w:val="none" w:sz="0" w:space="0" w:color="auto"/>
        <w:left w:val="none" w:sz="0" w:space="0" w:color="auto"/>
        <w:bottom w:val="none" w:sz="0" w:space="0" w:color="auto"/>
        <w:right w:val="none" w:sz="0" w:space="0" w:color="auto"/>
      </w:divBdr>
      <w:divsChild>
        <w:div w:id="1496191204">
          <w:marLeft w:val="547"/>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1C6D2-D218-47BA-9C97-91D925B5D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2054</Words>
  <Characters>11713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PeterM</dc:creator>
  <cp:lastModifiedBy>Peter Millican</cp:lastModifiedBy>
  <cp:revision>5</cp:revision>
  <cp:lastPrinted>2021-06-16T13:32:00Z</cp:lastPrinted>
  <dcterms:created xsi:type="dcterms:W3CDTF">2023-10-10T07:53:00Z</dcterms:created>
  <dcterms:modified xsi:type="dcterms:W3CDTF">2025-06-08T13:40:00Z</dcterms:modified>
</cp:coreProperties>
</file>