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08B0F" w14:textId="77777777" w:rsidR="00A41327" w:rsidRDefault="00821783">
      <w:bookmarkStart w:id="0" w:name="_Hlk38283572"/>
      <w:r>
        <w:rPr>
          <w:noProof/>
          <w:lang w:val="es-MX"/>
        </w:rPr>
        <mc:AlternateContent>
          <mc:Choice Requires="wps">
            <w:drawing>
              <wp:anchor distT="0" distB="0" distL="114300" distR="114300" simplePos="0" relativeHeight="251658240" behindDoc="0" locked="0" layoutInCell="1" hidden="0" allowOverlap="1" wp14:anchorId="06184939" wp14:editId="6CBDBB50">
                <wp:simplePos x="0" y="0"/>
                <wp:positionH relativeFrom="column">
                  <wp:posOffset>-272415</wp:posOffset>
                </wp:positionH>
                <wp:positionV relativeFrom="paragraph">
                  <wp:posOffset>330200</wp:posOffset>
                </wp:positionV>
                <wp:extent cx="6187099" cy="7153275"/>
                <wp:effectExtent l="0" t="0" r="0" b="0"/>
                <wp:wrapNone/>
                <wp:docPr id="1" name="Rectángulo 1"/>
                <wp:cNvGraphicFramePr/>
                <a:graphic xmlns:a="http://schemas.openxmlformats.org/drawingml/2006/main">
                  <a:graphicData uri="http://schemas.microsoft.com/office/word/2010/wordprocessingShape">
                    <wps:wsp>
                      <wps:cNvSpPr/>
                      <wps:spPr>
                        <a:xfrm>
                          <a:off x="0" y="0"/>
                          <a:ext cx="6187099" cy="7153275"/>
                        </a:xfrm>
                        <a:prstGeom prst="rect">
                          <a:avLst/>
                        </a:prstGeom>
                        <a:noFill/>
                        <a:ln>
                          <a:noFill/>
                        </a:ln>
                      </wps:spPr>
                      <wps:txbx>
                        <w:txbxContent>
                          <w:p w14:paraId="436ECB58" w14:textId="77777777" w:rsidR="00CA2084" w:rsidRDefault="00CA2084">
                            <w:pPr>
                              <w:spacing w:line="258" w:lineRule="auto"/>
                              <w:jc w:val="center"/>
                              <w:textDirection w:val="btLr"/>
                            </w:pPr>
                          </w:p>
                          <w:p w14:paraId="0DC2B9A4" w14:textId="77777777" w:rsidR="00CA2084" w:rsidRDefault="00CA2084">
                            <w:pPr>
                              <w:spacing w:line="258" w:lineRule="auto"/>
                              <w:jc w:val="center"/>
                              <w:textDirection w:val="btLr"/>
                            </w:pPr>
                          </w:p>
                          <w:p w14:paraId="02588161" w14:textId="77777777" w:rsidR="00CA2084" w:rsidRDefault="00CA2084">
                            <w:pPr>
                              <w:spacing w:line="258" w:lineRule="auto"/>
                              <w:jc w:val="center"/>
                              <w:textDirection w:val="btLr"/>
                            </w:pPr>
                          </w:p>
                          <w:p w14:paraId="18680D94" w14:textId="77777777" w:rsidR="00CA2084" w:rsidRDefault="00CA2084">
                            <w:pPr>
                              <w:spacing w:line="258" w:lineRule="auto"/>
                              <w:jc w:val="center"/>
                              <w:textDirection w:val="btLr"/>
                            </w:pPr>
                          </w:p>
                          <w:p w14:paraId="6ADDA81A" w14:textId="77777777" w:rsidR="00CA2084" w:rsidRDefault="00CA2084">
                            <w:pPr>
                              <w:spacing w:line="258" w:lineRule="auto"/>
                              <w:jc w:val="center"/>
                              <w:textDirection w:val="btLr"/>
                            </w:pPr>
                          </w:p>
                          <w:p w14:paraId="5486ED46" w14:textId="77777777" w:rsidR="00CA2084" w:rsidRDefault="00CA2084">
                            <w:pPr>
                              <w:spacing w:line="258" w:lineRule="auto"/>
                              <w:jc w:val="center"/>
                              <w:textDirection w:val="btLr"/>
                            </w:pPr>
                          </w:p>
                          <w:p w14:paraId="0C7BC776" w14:textId="77777777" w:rsidR="00CA2084" w:rsidRDefault="00CA2084">
                            <w:pPr>
                              <w:spacing w:line="258" w:lineRule="auto"/>
                              <w:jc w:val="center"/>
                              <w:textDirection w:val="btLr"/>
                            </w:pPr>
                            <w:r>
                              <w:rPr>
                                <w:b/>
                                <w:color w:val="244061"/>
                                <w:sz w:val="52"/>
                              </w:rPr>
                              <w:t xml:space="preserve">Network-as-a-Service Runbook </w:t>
                            </w:r>
                          </w:p>
                          <w:p w14:paraId="039FC134" w14:textId="77777777" w:rsidR="00CA2084" w:rsidRDefault="00CA2084">
                            <w:pPr>
                              <w:spacing w:line="258" w:lineRule="auto"/>
                              <w:jc w:val="center"/>
                              <w:textDirection w:val="btLr"/>
                            </w:pPr>
                          </w:p>
                          <w:p w14:paraId="1DD539CB" w14:textId="77777777" w:rsidR="00B01E52" w:rsidRDefault="0065583A">
                            <w:pPr>
                              <w:spacing w:line="258" w:lineRule="auto"/>
                              <w:jc w:val="center"/>
                              <w:textDirection w:val="btLr"/>
                              <w:rPr>
                                <w:b/>
                                <w:color w:val="244061"/>
                                <w:sz w:val="52"/>
                              </w:rPr>
                            </w:pPr>
                            <w:r>
                              <w:rPr>
                                <w:b/>
                                <w:color w:val="244061"/>
                                <w:sz w:val="52"/>
                              </w:rPr>
                              <w:t>Primer</w:t>
                            </w:r>
                          </w:p>
                          <w:p w14:paraId="22C3985F" w14:textId="5CD621A2" w:rsidR="00CA2084" w:rsidRDefault="0065583A">
                            <w:pPr>
                              <w:spacing w:line="258" w:lineRule="auto"/>
                              <w:jc w:val="center"/>
                              <w:textDirection w:val="btLr"/>
                            </w:pPr>
                            <w:r>
                              <w:rPr>
                                <w:b/>
                                <w:color w:val="244061"/>
                                <w:sz w:val="52"/>
                              </w:rPr>
                              <w:t xml:space="preserve"> </w:t>
                            </w:r>
                            <w:r w:rsidR="005D6D5B">
                              <w:rPr>
                                <w:b/>
                                <w:color w:val="244061"/>
                                <w:sz w:val="52"/>
                              </w:rPr>
                              <w:t>Critical Path Method &amp; Dimensioning Guidelines</w:t>
                            </w:r>
                          </w:p>
                          <w:p w14:paraId="44B93BFE" w14:textId="77777777" w:rsidR="00CA2084" w:rsidRDefault="00CA2084">
                            <w:pPr>
                              <w:spacing w:line="258" w:lineRule="auto"/>
                              <w:jc w:val="center"/>
                              <w:textDirection w:val="btLr"/>
                            </w:pPr>
                            <w:r>
                              <w:rPr>
                                <w:b/>
                                <w:color w:val="244061"/>
                                <w:sz w:val="52"/>
                              </w:rPr>
                              <w:t>(Draft)</w:t>
                            </w:r>
                          </w:p>
                          <w:p w14:paraId="113F640E" w14:textId="77777777" w:rsidR="00CA2084" w:rsidRDefault="00CA2084">
                            <w:pPr>
                              <w:spacing w:line="258" w:lineRule="auto"/>
                              <w:jc w:val="center"/>
                              <w:textDirection w:val="btLr"/>
                            </w:pPr>
                          </w:p>
                          <w:p w14:paraId="47EE2C53" w14:textId="77777777" w:rsidR="00CA2084" w:rsidRDefault="00CA2084">
                            <w:pPr>
                              <w:spacing w:line="258" w:lineRule="auto"/>
                              <w:jc w:val="center"/>
                              <w:textDirection w:val="btLr"/>
                            </w:pPr>
                          </w:p>
                          <w:p w14:paraId="172751AF" w14:textId="77777777" w:rsidR="00CA2084" w:rsidRDefault="00CA2084">
                            <w:pPr>
                              <w:spacing w:line="258" w:lineRule="auto"/>
                              <w:jc w:val="center"/>
                              <w:textDirection w:val="btLr"/>
                            </w:pPr>
                          </w:p>
                          <w:p w14:paraId="5A755EC5" w14:textId="77777777" w:rsidR="00CA2084" w:rsidRDefault="00CA2084">
                            <w:pPr>
                              <w:spacing w:line="258" w:lineRule="auto"/>
                              <w:jc w:val="center"/>
                              <w:textDirection w:val="btLr"/>
                            </w:pPr>
                            <w:r>
                              <w:rPr>
                                <w:rFonts w:ascii="Tahoma" w:eastAsia="Tahoma" w:hAnsi="Tahoma" w:cs="Tahoma"/>
                                <w:b/>
                                <w:color w:val="000000"/>
                                <w:sz w:val="32"/>
                              </w:rPr>
                              <w:t>Facebook NaaS Runbook</w:t>
                            </w:r>
                          </w:p>
                          <w:p w14:paraId="63C18E3F" w14:textId="77777777" w:rsidR="00CA2084" w:rsidRDefault="00CA2084">
                            <w:pPr>
                              <w:spacing w:line="258" w:lineRule="auto"/>
                              <w:jc w:val="center"/>
                              <w:textDirection w:val="btLr"/>
                            </w:pPr>
                          </w:p>
                          <w:p w14:paraId="137AE932" w14:textId="5B8AA4CC" w:rsidR="00CA2084" w:rsidRDefault="00CA2084">
                            <w:pPr>
                              <w:spacing w:line="258" w:lineRule="auto"/>
                              <w:jc w:val="center"/>
                              <w:textDirection w:val="btLr"/>
                            </w:pPr>
                            <w:proofErr w:type="gramStart"/>
                            <w:r>
                              <w:rPr>
                                <w:i/>
                                <w:color w:val="000000"/>
                                <w:sz w:val="28"/>
                              </w:rPr>
                              <w:t>April,</w:t>
                            </w:r>
                            <w:proofErr w:type="gramEnd"/>
                            <w:r>
                              <w:rPr>
                                <w:i/>
                                <w:color w:val="000000"/>
                                <w:sz w:val="28"/>
                              </w:rPr>
                              <w:t xml:space="preserve"> 2020</w:t>
                            </w:r>
                          </w:p>
                          <w:p w14:paraId="6D50E2A0" w14:textId="77777777" w:rsidR="00CA2084" w:rsidRDefault="00CA2084">
                            <w:pPr>
                              <w:spacing w:line="258" w:lineRule="auto"/>
                              <w:jc w:val="right"/>
                              <w:textDirection w:val="btLr"/>
                            </w:pPr>
                          </w:p>
                          <w:p w14:paraId="53130E8F" w14:textId="77777777" w:rsidR="00CA2084" w:rsidRDefault="00CA2084">
                            <w:pPr>
                              <w:spacing w:line="258" w:lineRule="auto"/>
                              <w:jc w:val="right"/>
                              <w:textDirection w:val="btLr"/>
                            </w:pPr>
                          </w:p>
                          <w:p w14:paraId="1D22564C" w14:textId="77777777" w:rsidR="00CA2084" w:rsidRDefault="00CA2084">
                            <w:pPr>
                              <w:spacing w:line="258" w:lineRule="auto"/>
                              <w:jc w:val="center"/>
                              <w:textDirection w:val="btLr"/>
                            </w:pPr>
                          </w:p>
                          <w:p w14:paraId="49556CFD" w14:textId="77777777" w:rsidR="00CA2084" w:rsidRDefault="00CA2084">
                            <w:pPr>
                              <w:spacing w:line="258" w:lineRule="auto"/>
                              <w:jc w:val="center"/>
                              <w:textDirection w:val="btLr"/>
                            </w:pPr>
                          </w:p>
                          <w:p w14:paraId="6D42F568" w14:textId="77777777" w:rsidR="00CA2084" w:rsidRDefault="00CA2084">
                            <w:pPr>
                              <w:spacing w:line="258" w:lineRule="auto"/>
                              <w:jc w:val="center"/>
                              <w:textDirection w:val="btLr"/>
                            </w:pPr>
                          </w:p>
                        </w:txbxContent>
                      </wps:txbx>
                      <wps:bodyPr spcFirstLastPara="1" wrap="square" lIns="12700" tIns="12700" rIns="12700" bIns="12700" anchor="t" anchorCtr="0">
                        <a:noAutofit/>
                      </wps:bodyPr>
                    </wps:wsp>
                  </a:graphicData>
                </a:graphic>
              </wp:anchor>
            </w:drawing>
          </mc:Choice>
          <mc:Fallback>
            <w:pict>
              <v:rect w14:anchorId="06184939" id="Rectángulo 1" o:spid="_x0000_s1026" style="position:absolute;margin-left:-21.45pt;margin-top:26pt;width:487.15pt;height:563.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" filled="f" stroked="f">
                <v:textbox inset="1pt,1pt,1pt,1pt">
                  <w:txbxContent>
                    <w:p w14:paraId="436ECB58" w14:textId="77777777" w:rsidR="00CA2084" w:rsidRDefault="00CA2084">
                      <w:pPr>
                        <w:spacing w:line="258" w:lineRule="auto"/>
                        <w:jc w:val="center"/>
                        <w:textDirection w:val="btLr"/>
                      </w:pPr>
                    </w:p>
                    <w:p w14:paraId="0DC2B9A4" w14:textId="77777777" w:rsidR="00CA2084" w:rsidRDefault="00CA2084">
                      <w:pPr>
                        <w:spacing w:line="258" w:lineRule="auto"/>
                        <w:jc w:val="center"/>
                        <w:textDirection w:val="btLr"/>
                      </w:pPr>
                    </w:p>
                    <w:p w14:paraId="02588161" w14:textId="77777777" w:rsidR="00CA2084" w:rsidRDefault="00CA2084">
                      <w:pPr>
                        <w:spacing w:line="258" w:lineRule="auto"/>
                        <w:jc w:val="center"/>
                        <w:textDirection w:val="btLr"/>
                      </w:pPr>
                    </w:p>
                    <w:p w14:paraId="18680D94" w14:textId="77777777" w:rsidR="00CA2084" w:rsidRDefault="00CA2084">
                      <w:pPr>
                        <w:spacing w:line="258" w:lineRule="auto"/>
                        <w:jc w:val="center"/>
                        <w:textDirection w:val="btLr"/>
                      </w:pPr>
                    </w:p>
                    <w:p w14:paraId="6ADDA81A" w14:textId="77777777" w:rsidR="00CA2084" w:rsidRDefault="00CA2084">
                      <w:pPr>
                        <w:spacing w:line="258" w:lineRule="auto"/>
                        <w:jc w:val="center"/>
                        <w:textDirection w:val="btLr"/>
                      </w:pPr>
                    </w:p>
                    <w:p w14:paraId="5486ED46" w14:textId="77777777" w:rsidR="00CA2084" w:rsidRDefault="00CA2084">
                      <w:pPr>
                        <w:spacing w:line="258" w:lineRule="auto"/>
                        <w:jc w:val="center"/>
                        <w:textDirection w:val="btLr"/>
                      </w:pPr>
                    </w:p>
                    <w:p w14:paraId="0C7BC776" w14:textId="77777777" w:rsidR="00CA2084" w:rsidRDefault="00CA2084">
                      <w:pPr>
                        <w:spacing w:line="258" w:lineRule="auto"/>
                        <w:jc w:val="center"/>
                        <w:textDirection w:val="btLr"/>
                      </w:pPr>
                      <w:r>
                        <w:rPr>
                          <w:b/>
                          <w:color w:val="244061"/>
                          <w:sz w:val="52"/>
                        </w:rPr>
                        <w:t xml:space="preserve">Network-as-a-Service Runbook </w:t>
                      </w:r>
                    </w:p>
                    <w:p w14:paraId="039FC134" w14:textId="77777777" w:rsidR="00CA2084" w:rsidRDefault="00CA2084">
                      <w:pPr>
                        <w:spacing w:line="258" w:lineRule="auto"/>
                        <w:jc w:val="center"/>
                        <w:textDirection w:val="btLr"/>
                      </w:pPr>
                    </w:p>
                    <w:p w14:paraId="1DD539CB" w14:textId="77777777" w:rsidR="00B01E52" w:rsidRDefault="0065583A">
                      <w:pPr>
                        <w:spacing w:line="258" w:lineRule="auto"/>
                        <w:jc w:val="center"/>
                        <w:textDirection w:val="btLr"/>
                        <w:rPr>
                          <w:b/>
                          <w:color w:val="244061"/>
                          <w:sz w:val="52"/>
                        </w:rPr>
                      </w:pPr>
                      <w:r>
                        <w:rPr>
                          <w:b/>
                          <w:color w:val="244061"/>
                          <w:sz w:val="52"/>
                        </w:rPr>
                        <w:t>Primer</w:t>
                      </w:r>
                    </w:p>
                    <w:p w14:paraId="22C3985F" w14:textId="5CD621A2" w:rsidR="00CA2084" w:rsidRDefault="0065583A">
                      <w:pPr>
                        <w:spacing w:line="258" w:lineRule="auto"/>
                        <w:jc w:val="center"/>
                        <w:textDirection w:val="btLr"/>
                      </w:pPr>
                      <w:r>
                        <w:rPr>
                          <w:b/>
                          <w:color w:val="244061"/>
                          <w:sz w:val="52"/>
                        </w:rPr>
                        <w:t xml:space="preserve"> </w:t>
                      </w:r>
                      <w:r w:rsidR="005D6D5B">
                        <w:rPr>
                          <w:b/>
                          <w:color w:val="244061"/>
                          <w:sz w:val="52"/>
                        </w:rPr>
                        <w:t>Critical Path Method &amp; Dimensioning Guidelines</w:t>
                      </w:r>
                    </w:p>
                    <w:p w14:paraId="44B93BFE" w14:textId="77777777" w:rsidR="00CA2084" w:rsidRDefault="00CA2084">
                      <w:pPr>
                        <w:spacing w:line="258" w:lineRule="auto"/>
                        <w:jc w:val="center"/>
                        <w:textDirection w:val="btLr"/>
                      </w:pPr>
                      <w:r>
                        <w:rPr>
                          <w:b/>
                          <w:color w:val="244061"/>
                          <w:sz w:val="52"/>
                        </w:rPr>
                        <w:t>(Draft)</w:t>
                      </w:r>
                    </w:p>
                    <w:p w14:paraId="113F640E" w14:textId="77777777" w:rsidR="00CA2084" w:rsidRDefault="00CA2084">
                      <w:pPr>
                        <w:spacing w:line="258" w:lineRule="auto"/>
                        <w:jc w:val="center"/>
                        <w:textDirection w:val="btLr"/>
                      </w:pPr>
                    </w:p>
                    <w:p w14:paraId="47EE2C53" w14:textId="77777777" w:rsidR="00CA2084" w:rsidRDefault="00CA2084">
                      <w:pPr>
                        <w:spacing w:line="258" w:lineRule="auto"/>
                        <w:jc w:val="center"/>
                        <w:textDirection w:val="btLr"/>
                      </w:pPr>
                    </w:p>
                    <w:p w14:paraId="172751AF" w14:textId="77777777" w:rsidR="00CA2084" w:rsidRDefault="00CA2084">
                      <w:pPr>
                        <w:spacing w:line="258" w:lineRule="auto"/>
                        <w:jc w:val="center"/>
                        <w:textDirection w:val="btLr"/>
                      </w:pPr>
                    </w:p>
                    <w:p w14:paraId="5A755EC5" w14:textId="77777777" w:rsidR="00CA2084" w:rsidRDefault="00CA2084">
                      <w:pPr>
                        <w:spacing w:line="258" w:lineRule="auto"/>
                        <w:jc w:val="center"/>
                        <w:textDirection w:val="btLr"/>
                      </w:pPr>
                      <w:r>
                        <w:rPr>
                          <w:rFonts w:ascii="Tahoma" w:eastAsia="Tahoma" w:hAnsi="Tahoma" w:cs="Tahoma"/>
                          <w:b/>
                          <w:color w:val="000000"/>
                          <w:sz w:val="32"/>
                        </w:rPr>
                        <w:t>Facebook NaaS Runbook</w:t>
                      </w:r>
                    </w:p>
                    <w:p w14:paraId="63C18E3F" w14:textId="77777777" w:rsidR="00CA2084" w:rsidRDefault="00CA2084">
                      <w:pPr>
                        <w:spacing w:line="258" w:lineRule="auto"/>
                        <w:jc w:val="center"/>
                        <w:textDirection w:val="btLr"/>
                      </w:pPr>
                    </w:p>
                    <w:p w14:paraId="137AE932" w14:textId="5B8AA4CC" w:rsidR="00CA2084" w:rsidRDefault="00CA2084">
                      <w:pPr>
                        <w:spacing w:line="258" w:lineRule="auto"/>
                        <w:jc w:val="center"/>
                        <w:textDirection w:val="btLr"/>
                      </w:pPr>
                      <w:proofErr w:type="gramStart"/>
                      <w:r>
                        <w:rPr>
                          <w:i/>
                          <w:color w:val="000000"/>
                          <w:sz w:val="28"/>
                        </w:rPr>
                        <w:t>April,</w:t>
                      </w:r>
                      <w:proofErr w:type="gramEnd"/>
                      <w:r>
                        <w:rPr>
                          <w:i/>
                          <w:color w:val="000000"/>
                          <w:sz w:val="28"/>
                        </w:rPr>
                        <w:t xml:space="preserve"> 2020</w:t>
                      </w:r>
                    </w:p>
                    <w:p w14:paraId="6D50E2A0" w14:textId="77777777" w:rsidR="00CA2084" w:rsidRDefault="00CA2084">
                      <w:pPr>
                        <w:spacing w:line="258" w:lineRule="auto"/>
                        <w:jc w:val="right"/>
                        <w:textDirection w:val="btLr"/>
                      </w:pPr>
                    </w:p>
                    <w:p w14:paraId="53130E8F" w14:textId="77777777" w:rsidR="00CA2084" w:rsidRDefault="00CA2084">
                      <w:pPr>
                        <w:spacing w:line="258" w:lineRule="auto"/>
                        <w:jc w:val="right"/>
                        <w:textDirection w:val="btLr"/>
                      </w:pPr>
                    </w:p>
                    <w:p w14:paraId="1D22564C" w14:textId="77777777" w:rsidR="00CA2084" w:rsidRDefault="00CA2084">
                      <w:pPr>
                        <w:spacing w:line="258" w:lineRule="auto"/>
                        <w:jc w:val="center"/>
                        <w:textDirection w:val="btLr"/>
                      </w:pPr>
                    </w:p>
                    <w:p w14:paraId="49556CFD" w14:textId="77777777" w:rsidR="00CA2084" w:rsidRDefault="00CA2084">
                      <w:pPr>
                        <w:spacing w:line="258" w:lineRule="auto"/>
                        <w:jc w:val="center"/>
                        <w:textDirection w:val="btLr"/>
                      </w:pPr>
                    </w:p>
                    <w:p w14:paraId="6D42F568" w14:textId="77777777" w:rsidR="00CA2084" w:rsidRDefault="00CA2084">
                      <w:pPr>
                        <w:spacing w:line="258" w:lineRule="auto"/>
                        <w:jc w:val="center"/>
                        <w:textDirection w:val="btLr"/>
                      </w:pPr>
                    </w:p>
                  </w:txbxContent>
                </v:textbox>
              </v:rect>
            </w:pict>
          </mc:Fallback>
        </mc:AlternateContent>
      </w:r>
    </w:p>
    <w:p w14:paraId="02E345B1" w14:textId="3BFCCA20" w:rsidR="00A41327" w:rsidRDefault="009C1163" w:rsidP="00B01E52">
      <w:pPr>
        <w:pStyle w:val="Heading1"/>
        <w:numPr>
          <w:ilvl w:val="0"/>
          <w:numId w:val="0"/>
        </w:numPr>
        <w:ind w:left="432" w:hanging="432"/>
        <w:rPr>
          <w:color w:val="000000"/>
        </w:rPr>
      </w:pPr>
      <w:r>
        <w:br w:type="page"/>
      </w:r>
    </w:p>
    <w:p w14:paraId="56678D44" w14:textId="77777777" w:rsidR="00A41327" w:rsidRDefault="00A41327">
      <w:pPr>
        <w:tabs>
          <w:tab w:val="left" w:pos="2775"/>
        </w:tabs>
      </w:pPr>
    </w:p>
    <w:p w14:paraId="5DA3463D" w14:textId="77777777" w:rsidR="00A41327" w:rsidRDefault="00A41327">
      <w:pPr>
        <w:tabs>
          <w:tab w:val="left" w:pos="2775"/>
        </w:tabs>
      </w:pPr>
    </w:p>
    <w:p w14:paraId="5BCA7883" w14:textId="77777777" w:rsidR="00A41327" w:rsidRDefault="009C1163">
      <w:r>
        <w:br w:type="page"/>
      </w:r>
    </w:p>
    <w:p w14:paraId="38D42DAA" w14:textId="77777777" w:rsidR="001A5E6C" w:rsidRDefault="001A5E6C" w:rsidP="0003734F">
      <w:pPr>
        <w:tabs>
          <w:tab w:val="left" w:pos="1190"/>
        </w:tabs>
        <w:jc w:val="both"/>
      </w:pPr>
    </w:p>
    <w:p w14:paraId="06D99C3F" w14:textId="42F12165" w:rsidR="00D46120" w:rsidRPr="007B74C2" w:rsidRDefault="00D46120" w:rsidP="001E02D8">
      <w:pPr>
        <w:pStyle w:val="Heading1"/>
        <w:numPr>
          <w:ilvl w:val="0"/>
          <w:numId w:val="0"/>
        </w:numPr>
        <w:ind w:left="432" w:hanging="432"/>
      </w:pPr>
      <w:bookmarkStart w:id="1" w:name="_Toc39509516"/>
      <w:r w:rsidRPr="007B74C2">
        <w:t>Critical Path Method</w:t>
      </w:r>
      <w:bookmarkEnd w:id="1"/>
    </w:p>
    <w:p w14:paraId="26B0C68A" w14:textId="77777777" w:rsidR="00D46120" w:rsidRDefault="00D46120" w:rsidP="00D46120">
      <w:pPr>
        <w:jc w:val="both"/>
      </w:pPr>
      <w:r>
        <w:t>The critical path method is used to estimate the minimum project duration and determine the amount of schedule flexibility on the logical network paths within the schedule mode. The critical path is the sequence of activities that represents the longest path through a project, which determines the shortest possible project duration.</w:t>
      </w:r>
    </w:p>
    <w:p w14:paraId="66BD62B7" w14:textId="76B52230" w:rsidR="00D46120" w:rsidRDefault="00D46120" w:rsidP="00D46120">
      <w:pPr>
        <w:jc w:val="both"/>
      </w:pPr>
      <w:r>
        <w:t>The longest path has the least total float, usually zero. Float is the amount of time an activity or chain of activities may be delayed without affecting the project duration. Scheduling tools often include functionality to detect and graphically display critical paths</w:t>
      </w:r>
      <w:r w:rsidR="00552124">
        <w:tab/>
      </w:r>
      <w:r>
        <w:t xml:space="preserve">, to allow NaaS Operator to increase their focus in these chains of activities or reallocate more resources to them to reduce total project duration. Below is the Gantt Chart of </w:t>
      </w:r>
      <w:r w:rsidR="004869AD">
        <w:t xml:space="preserve">the </w:t>
      </w:r>
      <w:r>
        <w:t>Planning phase</w:t>
      </w:r>
      <w:r w:rsidR="00FD21C8">
        <w:t xml:space="preserve"> presented in </w:t>
      </w:r>
      <w:r w:rsidR="00FD21C8" w:rsidRPr="001E02D8">
        <w:rPr>
          <w:color w:val="FF0000"/>
        </w:rPr>
        <w:t xml:space="preserve">section </w:t>
      </w:r>
      <w:r w:rsidR="004869AD" w:rsidRPr="001E02D8">
        <w:rPr>
          <w:color w:val="FF0000"/>
        </w:rPr>
        <w:fldChar w:fldCharType="begin"/>
      </w:r>
      <w:r w:rsidR="004869AD" w:rsidRPr="001E02D8">
        <w:rPr>
          <w:color w:val="FF0000"/>
        </w:rPr>
        <w:instrText xml:space="preserve"> REF _Ref38353877 \n \h </w:instrText>
      </w:r>
      <w:r w:rsidR="004869AD" w:rsidRPr="001E02D8">
        <w:rPr>
          <w:color w:val="FF0000"/>
        </w:rPr>
      </w:r>
      <w:r w:rsidR="004869AD" w:rsidRPr="001E02D8">
        <w:rPr>
          <w:color w:val="FF0000"/>
        </w:rPr>
        <w:fldChar w:fldCharType="separate"/>
      </w:r>
      <w:r w:rsidR="004869AD" w:rsidRPr="001E02D8">
        <w:rPr>
          <w:color w:val="FF0000"/>
        </w:rPr>
        <w:t>3.1.1</w:t>
      </w:r>
      <w:r w:rsidR="004869AD" w:rsidRPr="001E02D8">
        <w:rPr>
          <w:color w:val="FF0000"/>
        </w:rPr>
        <w:fldChar w:fldCharType="end"/>
      </w:r>
      <w:r w:rsidRPr="001E02D8">
        <w:rPr>
          <w:color w:val="FF0000"/>
        </w:rPr>
        <w:t xml:space="preserve">, </w:t>
      </w:r>
      <w:r w:rsidR="001E02D8" w:rsidRPr="001E02D8">
        <w:rPr>
          <w:color w:val="FF0000"/>
        </w:rPr>
        <w:t>of Deployment Management Module</w:t>
      </w:r>
      <w:r w:rsidR="001E02D8">
        <w:t xml:space="preserve"> </w:t>
      </w:r>
      <w:r w:rsidR="004869AD">
        <w:t xml:space="preserve">showing </w:t>
      </w:r>
      <w:r>
        <w:t>the critical path highlighted in red:</w:t>
      </w:r>
    </w:p>
    <w:p w14:paraId="0A80E45F" w14:textId="77777777" w:rsidR="00D46120" w:rsidRDefault="00D46120" w:rsidP="00D46120">
      <w:pPr>
        <w:rPr>
          <w:b/>
          <w:bCs/>
        </w:rPr>
      </w:pPr>
      <w:r>
        <w:rPr>
          <w:noProof/>
          <w:lang w:val="es-MX"/>
        </w:rPr>
        <w:drawing>
          <wp:inline distT="0" distB="0" distL="0" distR="0" wp14:anchorId="43003CC3" wp14:editId="7B27EB6A">
            <wp:extent cx="5612130" cy="3044825"/>
            <wp:effectExtent l="19050" t="19050" r="26670" b="222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44825"/>
                    </a:xfrm>
                    <a:prstGeom prst="rect">
                      <a:avLst/>
                    </a:prstGeom>
                    <a:ln>
                      <a:solidFill>
                        <a:schemeClr val="tx1">
                          <a:lumMod val="50000"/>
                          <a:lumOff val="50000"/>
                        </a:schemeClr>
                      </a:solidFill>
                    </a:ln>
                  </pic:spPr>
                </pic:pic>
              </a:graphicData>
            </a:graphic>
          </wp:inline>
        </w:drawing>
      </w:r>
    </w:p>
    <w:p w14:paraId="0DC5B47B" w14:textId="5EEF4220" w:rsidR="00D46120" w:rsidRPr="0013433B" w:rsidRDefault="00D46120" w:rsidP="00D46120">
      <w:pPr>
        <w:pStyle w:val="Caption"/>
        <w:jc w:val="center"/>
        <w:rPr>
          <w:b/>
          <w:bCs/>
          <w:lang w:val="en-US"/>
        </w:rPr>
      </w:pPr>
      <w:bookmarkStart w:id="2" w:name="_Toc35971002"/>
      <w:r w:rsidRPr="0013433B">
        <w:rPr>
          <w:lang w:val="en-US"/>
        </w:rPr>
        <w:t xml:space="preserve">Figure </w:t>
      </w:r>
      <w:r>
        <w:fldChar w:fldCharType="begin"/>
      </w:r>
      <w:r w:rsidRPr="0013433B">
        <w:rPr>
          <w:lang w:val="en-US"/>
        </w:rPr>
        <w:instrText xml:space="preserve"> SEQ Figure \* ARABIC </w:instrText>
      </w:r>
      <w:r>
        <w:fldChar w:fldCharType="separate"/>
      </w:r>
      <w:r w:rsidR="001E02D8">
        <w:rPr>
          <w:noProof/>
          <w:lang w:val="en-US"/>
        </w:rPr>
        <w:t>1</w:t>
      </w:r>
      <w:r>
        <w:rPr>
          <w:noProof/>
        </w:rPr>
        <w:fldChar w:fldCharType="end"/>
      </w:r>
      <w:r w:rsidRPr="0013433B">
        <w:rPr>
          <w:lang w:val="en-US"/>
        </w:rPr>
        <w:t>. Critical Path highlighted in Planning</w:t>
      </w:r>
      <w:bookmarkEnd w:id="2"/>
    </w:p>
    <w:p w14:paraId="74A98D59" w14:textId="6A713BCA" w:rsidR="00D46120" w:rsidRDefault="00D46120" w:rsidP="00D46120">
      <w:pPr>
        <w:jc w:val="both"/>
      </w:pPr>
      <w:r>
        <w:t xml:space="preserve">From the activities highlighted in the above diagram, </w:t>
      </w:r>
      <w:r w:rsidR="006E27E4">
        <w:t xml:space="preserve">it </w:t>
      </w:r>
      <w:r>
        <w:t xml:space="preserve">can </w:t>
      </w:r>
      <w:r w:rsidR="006E27E4">
        <w:t xml:space="preserve">be </w:t>
      </w:r>
      <w:r>
        <w:t>see</w:t>
      </w:r>
      <w:r w:rsidR="006E27E4">
        <w:t>n</w:t>
      </w:r>
      <w:r>
        <w:t xml:space="preserve"> that:</w:t>
      </w:r>
    </w:p>
    <w:p w14:paraId="27A09827" w14:textId="77777777" w:rsidR="00D46120" w:rsidRDefault="00D46120" w:rsidP="00363B86">
      <w:pPr>
        <w:pStyle w:val="ListParagraph"/>
        <w:numPr>
          <w:ilvl w:val="0"/>
          <w:numId w:val="2"/>
        </w:numPr>
        <w:jc w:val="both"/>
      </w:pPr>
      <w:r>
        <w:t xml:space="preserve">If any of the activities highlighted in red incur in a delay, the delivery date of the Deployment Plan will be affected (ID 24). </w:t>
      </w:r>
    </w:p>
    <w:p w14:paraId="56F9DDB8" w14:textId="77777777" w:rsidR="00D46120" w:rsidRDefault="00D46120" w:rsidP="00363B86">
      <w:pPr>
        <w:pStyle w:val="ListParagraph"/>
        <w:numPr>
          <w:ilvl w:val="0"/>
          <w:numId w:val="2"/>
        </w:numPr>
        <w:jc w:val="both"/>
      </w:pPr>
      <w:r>
        <w:t xml:space="preserve">The activities under Plan Risk Management have more leeway (or float) for </w:t>
      </w:r>
      <w:proofErr w:type="gramStart"/>
      <w:r>
        <w:t>delays, because</w:t>
      </w:r>
      <w:proofErr w:type="gramEnd"/>
      <w:r>
        <w:t xml:space="preserve"> these do not directly depend on the HLD preparation being finished. </w:t>
      </w:r>
    </w:p>
    <w:p w14:paraId="4ABBB59C" w14:textId="77777777" w:rsidR="00D46120" w:rsidRDefault="00D46120" w:rsidP="00363B86">
      <w:pPr>
        <w:pStyle w:val="ListParagraph"/>
        <w:numPr>
          <w:ilvl w:val="0"/>
          <w:numId w:val="2"/>
        </w:numPr>
        <w:jc w:val="both"/>
      </w:pPr>
      <w:r>
        <w:t>If the Risk Planning is not completed before the Plan v1 review starts, it will become another critical path, and thus affect the end date for this Planning phase.</w:t>
      </w:r>
    </w:p>
    <w:p w14:paraId="1E32EC61" w14:textId="77777777" w:rsidR="00D46120" w:rsidRDefault="00D46120" w:rsidP="00D46120">
      <w:pPr>
        <w:jc w:val="both"/>
      </w:pPr>
      <w:r>
        <w:t>This analysis allows the NaaS Operator to focus efforts and resources where they are most critical, and to shorten project duration. Nevertheless, resources are always finite, and not always available for a single project. Therefore, Planning and Managing Resources becomes crucial.</w:t>
      </w:r>
    </w:p>
    <w:p w14:paraId="22A2FC63" w14:textId="77777777" w:rsidR="00D46120" w:rsidRPr="006D26FB" w:rsidRDefault="00D46120" w:rsidP="00B13218">
      <w:pPr>
        <w:pStyle w:val="Heading2"/>
      </w:pPr>
      <w:bookmarkStart w:id="3" w:name="_Toc39509517"/>
      <w:r>
        <w:lastRenderedPageBreak/>
        <w:t>Dimensioning Guidelines</w:t>
      </w:r>
      <w:bookmarkEnd w:id="3"/>
      <w:r>
        <w:t xml:space="preserve"> </w:t>
      </w:r>
    </w:p>
    <w:p w14:paraId="61B92FD0" w14:textId="77777777" w:rsidR="00D46120" w:rsidRDefault="00D46120" w:rsidP="00D46120">
      <w:pPr>
        <w:jc w:val="both"/>
      </w:pPr>
      <w:r>
        <w:t>To determine activities duration, the Deployment Manager needs a clear understanding of the Scope of Work and Milestones for the project, as well as resources availability for activities. Estimation is an iterative process.</w:t>
      </w:r>
    </w:p>
    <w:p w14:paraId="186C3434" w14:textId="634BC9B2" w:rsidR="00D46120" w:rsidRDefault="00D46120" w:rsidP="00D46120">
      <w:pPr>
        <w:jc w:val="both"/>
      </w:pPr>
      <w:r>
        <w:t xml:space="preserve">Initial estimates allow the Deployment Manager to build the Schedule Baseline (Gantt Chart), a Cost Baseline (Budget), and Resource Requirements (team, materials and tools). Best practices introduce several estimation techniques, each with their own advantages, disadvantages, methods and accuracy. </w:t>
      </w:r>
    </w:p>
    <w:p w14:paraId="0A1B691D" w14:textId="134C1AC4" w:rsidR="00D46120" w:rsidRDefault="00D46120" w:rsidP="00D46120">
      <w:pPr>
        <w:ind w:left="360"/>
        <w:jc w:val="both"/>
      </w:pPr>
      <w:r>
        <w:t xml:space="preserve">For example, the following considerations were applied to the Gantt chart </w:t>
      </w:r>
      <w:r w:rsidR="001E02D8">
        <w:t>described in</w:t>
      </w:r>
      <w:r w:rsidR="001E02D8" w:rsidRPr="001E02D8">
        <w:rPr>
          <w:color w:val="FF0000"/>
        </w:rPr>
        <w:t xml:space="preserve"> </w:t>
      </w:r>
      <w:r w:rsidR="001E02D8" w:rsidRPr="001E02D8">
        <w:rPr>
          <w:color w:val="FF0000"/>
        </w:rPr>
        <w:fldChar w:fldCharType="begin"/>
      </w:r>
      <w:r w:rsidR="001E02D8" w:rsidRPr="001E02D8">
        <w:rPr>
          <w:color w:val="FF0000"/>
        </w:rPr>
        <w:instrText xml:space="preserve"> REF _Ref38353877 \n \h </w:instrText>
      </w:r>
      <w:r w:rsidR="001E02D8" w:rsidRPr="001E02D8">
        <w:rPr>
          <w:color w:val="FF0000"/>
        </w:rPr>
      </w:r>
      <w:r w:rsidR="001E02D8" w:rsidRPr="001E02D8">
        <w:rPr>
          <w:color w:val="FF0000"/>
        </w:rPr>
        <w:fldChar w:fldCharType="separate"/>
      </w:r>
      <w:r w:rsidR="001E02D8" w:rsidRPr="001E02D8">
        <w:rPr>
          <w:color w:val="FF0000"/>
        </w:rPr>
        <w:t>3.1.1</w:t>
      </w:r>
      <w:r w:rsidR="001E02D8" w:rsidRPr="001E02D8">
        <w:rPr>
          <w:color w:val="FF0000"/>
        </w:rPr>
        <w:fldChar w:fldCharType="end"/>
      </w:r>
      <w:r w:rsidR="001E02D8" w:rsidRPr="001E02D8">
        <w:rPr>
          <w:color w:val="FF0000"/>
        </w:rPr>
        <w:t xml:space="preserve"> of Deployment Management Module</w:t>
      </w:r>
      <w:r>
        <w:t>:</w:t>
      </w:r>
    </w:p>
    <w:p w14:paraId="589C362E" w14:textId="68B652FF" w:rsidR="00D46120" w:rsidRDefault="00D46120" w:rsidP="00363B86">
      <w:pPr>
        <w:pStyle w:val="ListParagraph"/>
        <w:numPr>
          <w:ilvl w:val="0"/>
          <w:numId w:val="2"/>
        </w:numPr>
        <w:jc w:val="both"/>
      </w:pPr>
      <w:r>
        <w:t xml:space="preserve">For initial activities such as Establishing Roles &amp; Responsibilities, a direct Analogous Estimating </w:t>
      </w:r>
      <w:r w:rsidR="006E27E4">
        <w:t xml:space="preserve">is applied </w:t>
      </w:r>
      <w:r>
        <w:t xml:space="preserve">based on past projects experiences. </w:t>
      </w:r>
      <w:r w:rsidR="006E27E4">
        <w:t>A</w:t>
      </w:r>
      <w:r>
        <w:t xml:space="preserve"> single full workday is enough to gather the NaaS Operator to make agreements and establish responsibilities for activities. The duration of activities that involve organizational agreements is related to the number of stakeholders in the project. Small teams may only need a single day to establish roles and responsibilities to start working right away, while larger and complex organizations may have more elaborate processes to authorize engagement of crucial resources and balancing the commitment of team members among several projects.</w:t>
      </w:r>
    </w:p>
    <w:p w14:paraId="7BD768D6" w14:textId="102F8C0A" w:rsidR="00D46120" w:rsidRDefault="00D46120" w:rsidP="00363B86">
      <w:pPr>
        <w:pStyle w:val="ListParagraph"/>
        <w:numPr>
          <w:ilvl w:val="0"/>
          <w:numId w:val="2"/>
        </w:numPr>
        <w:jc w:val="both"/>
      </w:pPr>
      <w:r>
        <w:t>To estimate the time needed for the HLD preparation</w:t>
      </w:r>
      <w:r w:rsidR="006E27E4">
        <w:t xml:space="preserve">, </w:t>
      </w:r>
      <w:r>
        <w:t xml:space="preserve">use Parametric Estimating by multiplying a set time needed to produce the HLD per site, then multiply per the number of sites. E.g. if a single engineer needs 1 </w:t>
      </w:r>
      <w:proofErr w:type="spellStart"/>
      <w:r>
        <w:t>hr</w:t>
      </w:r>
      <w:proofErr w:type="spellEnd"/>
      <w:r>
        <w:t xml:space="preserve"> to prepare the HL design for a single site, and </w:t>
      </w:r>
      <w:r w:rsidR="006E27E4">
        <w:t>the total is</w:t>
      </w:r>
      <w:r>
        <w:t xml:space="preserve"> 100 sites, then 100 hours are needed for this activity. Considering 40hr workweeks, it will take a single engineer 2.5 weeks to prepare the HLD for 100 sites. If </w:t>
      </w:r>
      <w:r w:rsidR="006E27E4">
        <w:t>this</w:t>
      </w:r>
      <w:r w:rsidR="00552124">
        <w:t xml:space="preserve"> activity</w:t>
      </w:r>
      <w:r w:rsidR="006E27E4">
        <w:t xml:space="preserve"> needs to be </w:t>
      </w:r>
      <w:r w:rsidR="00552124">
        <w:t>completed</w:t>
      </w:r>
      <w:r>
        <w:t xml:space="preserve"> faster, two engineers</w:t>
      </w:r>
      <w:r w:rsidR="00552124">
        <w:t xml:space="preserve"> may</w:t>
      </w:r>
      <w:r>
        <w:t xml:space="preserve"> share the workload</w:t>
      </w:r>
      <w:r w:rsidR="00552124">
        <w:t>. T</w:t>
      </w:r>
      <w:r>
        <w:t>he right thing to do is to have a standard Design Process that several team members in parallel can follow to produce consistent results, splitting the workload.</w:t>
      </w:r>
    </w:p>
    <w:p w14:paraId="11DDC9B0" w14:textId="500A2B95" w:rsidR="00D46120" w:rsidRDefault="00D46120" w:rsidP="00363B86">
      <w:pPr>
        <w:pStyle w:val="ListParagraph"/>
        <w:numPr>
          <w:ilvl w:val="0"/>
          <w:numId w:val="2"/>
        </w:numPr>
        <w:jc w:val="both"/>
      </w:pPr>
      <w:r>
        <w:t xml:space="preserve">For activities that depend on external stakeholders and vendors, such as hardware manufacture and shipment, </w:t>
      </w:r>
      <w:proofErr w:type="gramStart"/>
      <w:r w:rsidR="006E27E4">
        <w:t>it’s</w:t>
      </w:r>
      <w:proofErr w:type="gramEnd"/>
      <w:r w:rsidR="006E27E4">
        <w:t xml:space="preserve"> possible to </w:t>
      </w:r>
      <w:r>
        <w:t>apply a combination of Parametric Estimating and PERT Estimating. Normally, the manufacture and shipment of X number of units varies little even if the number of units</w:t>
      </w:r>
      <w:r w:rsidR="006E27E4">
        <w:t xml:space="preserve"> is doubled</w:t>
      </w:r>
      <w:r>
        <w:t>, because manufacturers often have very streamlined processes. Thus, the bulk of the delay is consumed in shipping, handling and customs clearing. A very simplified example follows:</w:t>
      </w:r>
    </w:p>
    <w:p w14:paraId="048F26CE" w14:textId="77777777" w:rsidR="00D46120" w:rsidRDefault="00D46120" w:rsidP="00D46120">
      <w:pPr>
        <w:pStyle w:val="ListParagraph"/>
        <w:jc w:val="both"/>
      </w:pPr>
    </w:p>
    <w:p w14:paraId="02D0535A" w14:textId="77777777" w:rsidR="00D46120" w:rsidRDefault="00D46120" w:rsidP="00363B86">
      <w:pPr>
        <w:pStyle w:val="ListParagraph"/>
        <w:numPr>
          <w:ilvl w:val="1"/>
          <w:numId w:val="2"/>
        </w:numPr>
        <w:jc w:val="both"/>
      </w:pPr>
      <w:r>
        <w:t>Case A: Order of 500 units</w:t>
      </w:r>
    </w:p>
    <w:p w14:paraId="0D1A651C" w14:textId="77777777" w:rsidR="00D46120" w:rsidRDefault="00D46120" w:rsidP="00363B86">
      <w:pPr>
        <w:pStyle w:val="ListParagraph"/>
        <w:numPr>
          <w:ilvl w:val="2"/>
          <w:numId w:val="2"/>
        </w:numPr>
        <w:jc w:val="both"/>
      </w:pPr>
      <w:r>
        <w:t>Manufacture: 24 days</w:t>
      </w:r>
    </w:p>
    <w:p w14:paraId="48A5AC9B" w14:textId="77777777" w:rsidR="00D46120" w:rsidRDefault="00D46120" w:rsidP="00363B86">
      <w:pPr>
        <w:pStyle w:val="ListParagraph"/>
        <w:numPr>
          <w:ilvl w:val="3"/>
          <w:numId w:val="3"/>
        </w:numPr>
        <w:jc w:val="both"/>
      </w:pPr>
      <w:r>
        <w:t>Setup time: 14 days</w:t>
      </w:r>
    </w:p>
    <w:p w14:paraId="16DB8115" w14:textId="77777777" w:rsidR="00D46120" w:rsidRDefault="00D46120" w:rsidP="00363B86">
      <w:pPr>
        <w:pStyle w:val="ListParagraph"/>
        <w:numPr>
          <w:ilvl w:val="3"/>
          <w:numId w:val="3"/>
        </w:numPr>
        <w:jc w:val="both"/>
      </w:pPr>
      <w:r>
        <w:t>Production capacity: 50 units/day</w:t>
      </w:r>
    </w:p>
    <w:p w14:paraId="7DF3B175" w14:textId="77777777" w:rsidR="00D46120" w:rsidRDefault="00D46120" w:rsidP="00363B86">
      <w:pPr>
        <w:pStyle w:val="ListParagraph"/>
        <w:numPr>
          <w:ilvl w:val="3"/>
          <w:numId w:val="3"/>
        </w:numPr>
        <w:jc w:val="both"/>
      </w:pPr>
      <w:r>
        <w:t>Production time: 500 units / (50 units/day) = 10 days</w:t>
      </w:r>
    </w:p>
    <w:p w14:paraId="08EBC381" w14:textId="77777777" w:rsidR="00D46120" w:rsidRDefault="00D46120" w:rsidP="00363B86">
      <w:pPr>
        <w:pStyle w:val="ListParagraph"/>
        <w:numPr>
          <w:ilvl w:val="2"/>
          <w:numId w:val="2"/>
        </w:numPr>
        <w:jc w:val="both"/>
      </w:pPr>
      <w:r>
        <w:t>Maritime shipping and handling + customs: 30.83 days</w:t>
      </w:r>
    </w:p>
    <w:p w14:paraId="57B7D1DA" w14:textId="77777777" w:rsidR="00D46120" w:rsidRDefault="00D46120" w:rsidP="00363B86">
      <w:pPr>
        <w:pStyle w:val="ListParagraph"/>
        <w:numPr>
          <w:ilvl w:val="3"/>
          <w:numId w:val="4"/>
        </w:numPr>
        <w:jc w:val="both"/>
      </w:pPr>
      <w:r>
        <w:t>Optimistic estimate: 20 days; Most Likely: 30 days; Pessimistic: 45 days</w:t>
      </w:r>
    </w:p>
    <w:p w14:paraId="41FA758E" w14:textId="77777777" w:rsidR="00D46120" w:rsidRDefault="00D46120" w:rsidP="00363B86">
      <w:pPr>
        <w:pStyle w:val="ListParagraph"/>
        <w:numPr>
          <w:ilvl w:val="3"/>
          <w:numId w:val="4"/>
        </w:numPr>
        <w:jc w:val="both"/>
      </w:pPr>
      <w:r>
        <w:t>T</w:t>
      </w:r>
      <w:r>
        <w:rPr>
          <w:vertAlign w:val="subscript"/>
        </w:rPr>
        <w:t>B</w:t>
      </w:r>
      <w:r>
        <w:t>=(T</w:t>
      </w:r>
      <w:r>
        <w:rPr>
          <w:vertAlign w:val="subscript"/>
        </w:rPr>
        <w:t>O</w:t>
      </w:r>
      <w:r>
        <w:t>+4*T</w:t>
      </w:r>
      <w:r>
        <w:rPr>
          <w:vertAlign w:val="subscript"/>
        </w:rPr>
        <w:t>ML</w:t>
      </w:r>
      <w:r>
        <w:t>+T</w:t>
      </w:r>
      <w:r>
        <w:rPr>
          <w:vertAlign w:val="subscript"/>
        </w:rPr>
        <w:t>P</w:t>
      </w:r>
      <w:r>
        <w:t>)/6 = (20+4*30+45)/6</w:t>
      </w:r>
    </w:p>
    <w:p w14:paraId="407CAEDD" w14:textId="77777777" w:rsidR="00D46120" w:rsidRDefault="00D46120" w:rsidP="00363B86">
      <w:pPr>
        <w:pStyle w:val="ListParagraph"/>
        <w:numPr>
          <w:ilvl w:val="3"/>
          <w:numId w:val="4"/>
        </w:numPr>
        <w:jc w:val="both"/>
      </w:pPr>
      <w:r>
        <w:lastRenderedPageBreak/>
        <w:t>PERT estimate: 30.83 days</w:t>
      </w:r>
    </w:p>
    <w:p w14:paraId="0A4D2BCE" w14:textId="77777777" w:rsidR="00D46120" w:rsidRDefault="00D46120" w:rsidP="00363B86">
      <w:pPr>
        <w:pStyle w:val="ListParagraph"/>
        <w:numPr>
          <w:ilvl w:val="2"/>
          <w:numId w:val="2"/>
        </w:numPr>
        <w:jc w:val="both"/>
      </w:pPr>
      <w:r>
        <w:t>Total duration: 24 days + 30.83 days = 54.83 days</w:t>
      </w:r>
    </w:p>
    <w:p w14:paraId="4D96374E" w14:textId="77777777" w:rsidR="00D46120" w:rsidRDefault="00D46120" w:rsidP="00363B86">
      <w:pPr>
        <w:pStyle w:val="ListParagraph"/>
        <w:numPr>
          <w:ilvl w:val="2"/>
          <w:numId w:val="2"/>
        </w:numPr>
        <w:jc w:val="both"/>
      </w:pPr>
      <w:r>
        <w:t>Average delay per unit: 0.109 days/unit</w:t>
      </w:r>
    </w:p>
    <w:p w14:paraId="16D49164" w14:textId="77777777" w:rsidR="00D46120" w:rsidRDefault="00D46120" w:rsidP="00D46120">
      <w:pPr>
        <w:pStyle w:val="ListParagraph"/>
        <w:ind w:left="1440"/>
        <w:jc w:val="both"/>
      </w:pPr>
    </w:p>
    <w:p w14:paraId="73DA6BF0" w14:textId="77777777" w:rsidR="00D46120" w:rsidRDefault="00D46120" w:rsidP="00363B86">
      <w:pPr>
        <w:pStyle w:val="ListParagraph"/>
        <w:numPr>
          <w:ilvl w:val="1"/>
          <w:numId w:val="2"/>
        </w:numPr>
        <w:jc w:val="both"/>
      </w:pPr>
      <w:r>
        <w:t>Case B: Order of 1000 units</w:t>
      </w:r>
    </w:p>
    <w:p w14:paraId="1D6BC263" w14:textId="77777777" w:rsidR="00D46120" w:rsidRDefault="00D46120" w:rsidP="00363B86">
      <w:pPr>
        <w:pStyle w:val="ListParagraph"/>
        <w:numPr>
          <w:ilvl w:val="2"/>
          <w:numId w:val="2"/>
        </w:numPr>
        <w:jc w:val="both"/>
      </w:pPr>
      <w:r>
        <w:t>Manufacture: 34 days</w:t>
      </w:r>
    </w:p>
    <w:p w14:paraId="4A0D0E88" w14:textId="77777777" w:rsidR="00D46120" w:rsidRDefault="00D46120" w:rsidP="00363B86">
      <w:pPr>
        <w:pStyle w:val="ListParagraph"/>
        <w:numPr>
          <w:ilvl w:val="3"/>
          <w:numId w:val="6"/>
        </w:numPr>
        <w:jc w:val="both"/>
      </w:pPr>
      <w:r>
        <w:t>Setup time: 14 days</w:t>
      </w:r>
    </w:p>
    <w:p w14:paraId="71F34494" w14:textId="77777777" w:rsidR="00D46120" w:rsidRDefault="00D46120" w:rsidP="00363B86">
      <w:pPr>
        <w:pStyle w:val="ListParagraph"/>
        <w:numPr>
          <w:ilvl w:val="3"/>
          <w:numId w:val="6"/>
        </w:numPr>
        <w:jc w:val="both"/>
      </w:pPr>
      <w:r>
        <w:t>Production capacity: 50 units/day</w:t>
      </w:r>
    </w:p>
    <w:p w14:paraId="1C9AE56B" w14:textId="77777777" w:rsidR="00D46120" w:rsidRDefault="00D46120" w:rsidP="00363B86">
      <w:pPr>
        <w:pStyle w:val="ListParagraph"/>
        <w:numPr>
          <w:ilvl w:val="3"/>
          <w:numId w:val="6"/>
        </w:numPr>
        <w:jc w:val="both"/>
      </w:pPr>
      <w:r>
        <w:t>Production time: 1000 units / (50 units/day) = 20 days</w:t>
      </w:r>
    </w:p>
    <w:p w14:paraId="7D5FF2E3" w14:textId="77777777" w:rsidR="00D46120" w:rsidRDefault="00D46120" w:rsidP="00363B86">
      <w:pPr>
        <w:pStyle w:val="ListParagraph"/>
        <w:numPr>
          <w:ilvl w:val="2"/>
          <w:numId w:val="2"/>
        </w:numPr>
        <w:jc w:val="both"/>
      </w:pPr>
      <w:r>
        <w:t>Maritime shipping and handling + customs: 30.83 days</w:t>
      </w:r>
    </w:p>
    <w:p w14:paraId="64F5F76F" w14:textId="77777777" w:rsidR="00D46120" w:rsidRDefault="00D46120" w:rsidP="00363B86">
      <w:pPr>
        <w:pStyle w:val="ListParagraph"/>
        <w:numPr>
          <w:ilvl w:val="3"/>
          <w:numId w:val="2"/>
        </w:numPr>
        <w:jc w:val="both"/>
      </w:pPr>
      <w:r>
        <w:t>Optimistic estimate: 20 days; Most Likely: 30 days; Pessimistic: 45 days</w:t>
      </w:r>
    </w:p>
    <w:p w14:paraId="4B2238A9" w14:textId="77777777" w:rsidR="00D46120" w:rsidRDefault="00D46120" w:rsidP="00363B86">
      <w:pPr>
        <w:pStyle w:val="ListParagraph"/>
        <w:numPr>
          <w:ilvl w:val="3"/>
          <w:numId w:val="5"/>
        </w:numPr>
        <w:jc w:val="both"/>
      </w:pPr>
      <w:r>
        <w:t>T</w:t>
      </w:r>
      <w:r>
        <w:rPr>
          <w:vertAlign w:val="subscript"/>
        </w:rPr>
        <w:t>B</w:t>
      </w:r>
      <w:r>
        <w:t>=(T</w:t>
      </w:r>
      <w:r>
        <w:rPr>
          <w:vertAlign w:val="subscript"/>
        </w:rPr>
        <w:t>O</w:t>
      </w:r>
      <w:r>
        <w:t>+4*T</w:t>
      </w:r>
      <w:r>
        <w:rPr>
          <w:vertAlign w:val="subscript"/>
        </w:rPr>
        <w:t>ML</w:t>
      </w:r>
      <w:r>
        <w:t>+T</w:t>
      </w:r>
      <w:r>
        <w:rPr>
          <w:vertAlign w:val="subscript"/>
        </w:rPr>
        <w:t>P</w:t>
      </w:r>
      <w:r>
        <w:t>)/6 = (20+4*30+45)/6</w:t>
      </w:r>
    </w:p>
    <w:p w14:paraId="7AE49557" w14:textId="77777777" w:rsidR="00D46120" w:rsidRDefault="00D46120" w:rsidP="00363B86">
      <w:pPr>
        <w:pStyle w:val="ListParagraph"/>
        <w:numPr>
          <w:ilvl w:val="3"/>
          <w:numId w:val="5"/>
        </w:numPr>
        <w:jc w:val="both"/>
      </w:pPr>
      <w:r>
        <w:t>PERT estimate: 30.83 days</w:t>
      </w:r>
    </w:p>
    <w:p w14:paraId="2E4224AA" w14:textId="77777777" w:rsidR="00D46120" w:rsidRDefault="00D46120" w:rsidP="00363B86">
      <w:pPr>
        <w:pStyle w:val="ListParagraph"/>
        <w:numPr>
          <w:ilvl w:val="2"/>
          <w:numId w:val="2"/>
        </w:numPr>
        <w:jc w:val="both"/>
      </w:pPr>
      <w:r>
        <w:t>Total duration: 34 days + 30.83 days = 64.83 days</w:t>
      </w:r>
    </w:p>
    <w:p w14:paraId="3A85638D" w14:textId="77777777" w:rsidR="00D46120" w:rsidRDefault="00D46120" w:rsidP="00363B86">
      <w:pPr>
        <w:pStyle w:val="ListParagraph"/>
        <w:numPr>
          <w:ilvl w:val="2"/>
          <w:numId w:val="2"/>
        </w:numPr>
        <w:jc w:val="both"/>
      </w:pPr>
      <w:r>
        <w:t>Average delay per unit: 0.064 days/unit</w:t>
      </w:r>
    </w:p>
    <w:p w14:paraId="2A48F13D" w14:textId="77777777" w:rsidR="00D46120" w:rsidRDefault="00D46120" w:rsidP="00D46120">
      <w:pPr>
        <w:pStyle w:val="ListParagraph"/>
        <w:ind w:left="1440"/>
        <w:jc w:val="both"/>
      </w:pPr>
    </w:p>
    <w:p w14:paraId="4B5B82E8" w14:textId="77777777" w:rsidR="00D46120" w:rsidRDefault="00D46120" w:rsidP="00363B86">
      <w:pPr>
        <w:pStyle w:val="ListParagraph"/>
        <w:numPr>
          <w:ilvl w:val="1"/>
          <w:numId w:val="2"/>
        </w:numPr>
        <w:jc w:val="both"/>
      </w:pPr>
      <w:r>
        <w:t>By doubling the order size, the delivery time is only extended 10 more days. Notice the average delay per unit is not linear, therefore parametric estimation may not be enough by itself to come up with the activity duration without breaking it down to its subsidiary activities.</w:t>
      </w:r>
    </w:p>
    <w:p w14:paraId="10B9DEA4" w14:textId="77777777" w:rsidR="00D46120" w:rsidRDefault="00D46120" w:rsidP="00D46120">
      <w:pPr>
        <w:pStyle w:val="ListParagraph"/>
        <w:ind w:left="1440"/>
        <w:jc w:val="both"/>
      </w:pPr>
    </w:p>
    <w:p w14:paraId="459F03AF" w14:textId="1012B513" w:rsidR="00D46120" w:rsidRDefault="00D46120" w:rsidP="00363B86">
      <w:pPr>
        <w:pStyle w:val="ListParagraph"/>
        <w:numPr>
          <w:ilvl w:val="0"/>
          <w:numId w:val="2"/>
        </w:numPr>
        <w:jc w:val="both"/>
      </w:pPr>
      <w:r>
        <w:t xml:space="preserve">Now, to plan for activities to be carried out during Deployment Execution, </w:t>
      </w:r>
      <w:proofErr w:type="gramStart"/>
      <w:r w:rsidR="006E27E4">
        <w:t>it’s</w:t>
      </w:r>
      <w:proofErr w:type="gramEnd"/>
      <w:r w:rsidR="006E27E4">
        <w:t xml:space="preserve"> also possible to</w:t>
      </w:r>
      <w:r>
        <w:t xml:space="preserve"> apply Three-Point Estimating. For example. A given site installation may take 2 days as optimistic estimate (T</w:t>
      </w:r>
      <w:r w:rsidRPr="00192950">
        <w:rPr>
          <w:vertAlign w:val="subscript"/>
        </w:rPr>
        <w:t>O</w:t>
      </w:r>
      <w:r>
        <w:t>), 3 days most likely (T</w:t>
      </w:r>
      <w:r w:rsidRPr="00192950">
        <w:rPr>
          <w:vertAlign w:val="subscript"/>
        </w:rPr>
        <w:t>ML</w:t>
      </w:r>
      <w:r>
        <w:t>), and 6 days as pessimistic estimate (T</w:t>
      </w:r>
      <w:r w:rsidRPr="00192950">
        <w:rPr>
          <w:vertAlign w:val="subscript"/>
        </w:rPr>
        <w:t>P</w:t>
      </w:r>
      <w:r>
        <w:t>). By using a beta distribution, the estimated duration is:</w:t>
      </w:r>
    </w:p>
    <w:p w14:paraId="005D1CB5" w14:textId="77777777" w:rsidR="00D46120" w:rsidRDefault="00D46120" w:rsidP="00D46120">
      <w:pPr>
        <w:pStyle w:val="ListParagraph"/>
        <w:jc w:val="both"/>
      </w:pPr>
    </w:p>
    <w:p w14:paraId="0F22EDD9" w14:textId="77777777" w:rsidR="00D46120" w:rsidRDefault="00D46120" w:rsidP="00D46120">
      <w:pPr>
        <w:pStyle w:val="ListParagraph"/>
        <w:jc w:val="both"/>
        <w:rPr>
          <w:b/>
          <w:bCs/>
        </w:rPr>
      </w:pPr>
      <w:r>
        <w:t>T</w:t>
      </w:r>
      <w:r>
        <w:rPr>
          <w:vertAlign w:val="subscript"/>
        </w:rPr>
        <w:t>B</w:t>
      </w:r>
      <w:r>
        <w:t>=(T</w:t>
      </w:r>
      <w:r>
        <w:rPr>
          <w:vertAlign w:val="subscript"/>
        </w:rPr>
        <w:t>O</w:t>
      </w:r>
      <w:r>
        <w:t>+4*T</w:t>
      </w:r>
      <w:r>
        <w:rPr>
          <w:vertAlign w:val="subscript"/>
        </w:rPr>
        <w:t>ML</w:t>
      </w:r>
      <w:r>
        <w:t>+T</w:t>
      </w:r>
      <w:r>
        <w:rPr>
          <w:vertAlign w:val="subscript"/>
        </w:rPr>
        <w:t>P</w:t>
      </w:r>
      <w:r>
        <w:t xml:space="preserve">)/6 = (2+4*3+6)/6 = </w:t>
      </w:r>
      <w:r w:rsidRPr="002A20BB">
        <w:rPr>
          <w:b/>
          <w:bCs/>
        </w:rPr>
        <w:t>3.33 days</w:t>
      </w:r>
    </w:p>
    <w:p w14:paraId="4A0B6A1C" w14:textId="201415BB" w:rsidR="00D46120" w:rsidRPr="0083393A" w:rsidRDefault="00D46120" w:rsidP="00D46120">
      <w:pPr>
        <w:jc w:val="both"/>
      </w:pPr>
      <w:r>
        <w:t xml:space="preserve">Now, applying Three-Point Estimating for actual activity durations at the site-level, </w:t>
      </w:r>
      <w:r w:rsidR="006E27E4">
        <w:t>results in</w:t>
      </w:r>
      <w:r>
        <w:t xml:space="preserve"> the following:</w:t>
      </w:r>
    </w:p>
    <w:tbl>
      <w:tblPr>
        <w:tblStyle w:val="TableGrid"/>
        <w:tblW w:w="7851"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65"/>
        <w:gridCol w:w="1134"/>
        <w:gridCol w:w="1134"/>
        <w:gridCol w:w="1134"/>
        <w:gridCol w:w="1652"/>
        <w:gridCol w:w="1132"/>
      </w:tblGrid>
      <w:tr w:rsidR="00D46120" w:rsidRPr="0083393A" w14:paraId="1FE1CFEF" w14:textId="77777777" w:rsidTr="00D46120">
        <w:trPr>
          <w:trHeight w:val="315"/>
          <w:jc w:val="center"/>
        </w:trPr>
        <w:tc>
          <w:tcPr>
            <w:tcW w:w="7851" w:type="dxa"/>
            <w:gridSpan w:val="6"/>
            <w:shd w:val="clear" w:color="auto" w:fill="0070C0"/>
            <w:noWrap/>
            <w:hideMark/>
          </w:tcPr>
          <w:p w14:paraId="32F298EF" w14:textId="77777777" w:rsidR="00D46120" w:rsidRPr="0083393A" w:rsidRDefault="00D46120" w:rsidP="00D46120">
            <w:pPr>
              <w:jc w:val="center"/>
              <w:rPr>
                <w:b/>
                <w:bCs/>
                <w:color w:val="FFFFFF" w:themeColor="background1"/>
                <w:sz w:val="18"/>
                <w:szCs w:val="18"/>
              </w:rPr>
            </w:pPr>
            <w:r w:rsidRPr="0083393A">
              <w:rPr>
                <w:b/>
                <w:bCs/>
                <w:color w:val="FFFFFF" w:themeColor="background1"/>
                <w:sz w:val="18"/>
                <w:szCs w:val="18"/>
              </w:rPr>
              <w:t>Three-Point Estimates</w:t>
            </w:r>
          </w:p>
        </w:tc>
      </w:tr>
      <w:tr w:rsidR="00D46120" w:rsidRPr="00232A6B" w14:paraId="704343BE" w14:textId="77777777" w:rsidTr="00D46120">
        <w:trPr>
          <w:trHeight w:val="300"/>
          <w:jc w:val="center"/>
        </w:trPr>
        <w:tc>
          <w:tcPr>
            <w:tcW w:w="1665" w:type="dxa"/>
            <w:shd w:val="clear" w:color="auto" w:fill="0070C0"/>
            <w:noWrap/>
            <w:vAlign w:val="center"/>
            <w:hideMark/>
          </w:tcPr>
          <w:p w14:paraId="34F2C5C3" w14:textId="77777777" w:rsidR="00D46120" w:rsidRPr="00232A6B" w:rsidRDefault="00D46120" w:rsidP="00D46120">
            <w:pPr>
              <w:jc w:val="center"/>
              <w:rPr>
                <w:b/>
                <w:bCs/>
                <w:color w:val="FFFFFF" w:themeColor="background1"/>
                <w:sz w:val="16"/>
                <w:szCs w:val="16"/>
              </w:rPr>
            </w:pPr>
            <w:r w:rsidRPr="00232A6B">
              <w:rPr>
                <w:b/>
                <w:bCs/>
                <w:color w:val="FFFFFF" w:themeColor="background1"/>
                <w:sz w:val="16"/>
                <w:szCs w:val="16"/>
              </w:rPr>
              <w:t>ID</w:t>
            </w:r>
          </w:p>
        </w:tc>
        <w:tc>
          <w:tcPr>
            <w:tcW w:w="1134" w:type="dxa"/>
            <w:shd w:val="clear" w:color="auto" w:fill="0070C0"/>
            <w:noWrap/>
            <w:vAlign w:val="center"/>
            <w:hideMark/>
          </w:tcPr>
          <w:p w14:paraId="60999DAF" w14:textId="77777777" w:rsidR="00D46120" w:rsidRPr="00232A6B" w:rsidRDefault="00D46120" w:rsidP="00D46120">
            <w:pPr>
              <w:jc w:val="center"/>
              <w:rPr>
                <w:b/>
                <w:bCs/>
                <w:color w:val="FFFFFF" w:themeColor="background1"/>
                <w:sz w:val="16"/>
                <w:szCs w:val="16"/>
              </w:rPr>
            </w:pPr>
            <w:r w:rsidRPr="00232A6B">
              <w:rPr>
                <w:b/>
                <w:bCs/>
                <w:color w:val="FFFFFF" w:themeColor="background1"/>
                <w:sz w:val="16"/>
                <w:szCs w:val="16"/>
              </w:rPr>
              <w:t>Optimistic Duration</w:t>
            </w:r>
          </w:p>
        </w:tc>
        <w:tc>
          <w:tcPr>
            <w:tcW w:w="1134" w:type="dxa"/>
            <w:shd w:val="clear" w:color="auto" w:fill="0070C0"/>
            <w:noWrap/>
            <w:vAlign w:val="center"/>
            <w:hideMark/>
          </w:tcPr>
          <w:p w14:paraId="0043263C" w14:textId="77777777" w:rsidR="00D46120" w:rsidRPr="00232A6B" w:rsidRDefault="00D46120" w:rsidP="00D46120">
            <w:pPr>
              <w:jc w:val="center"/>
              <w:rPr>
                <w:b/>
                <w:bCs/>
                <w:color w:val="FFFFFF" w:themeColor="background1"/>
                <w:sz w:val="16"/>
                <w:szCs w:val="16"/>
              </w:rPr>
            </w:pPr>
            <w:r w:rsidRPr="00232A6B">
              <w:rPr>
                <w:b/>
                <w:bCs/>
                <w:color w:val="FFFFFF" w:themeColor="background1"/>
                <w:sz w:val="16"/>
                <w:szCs w:val="16"/>
              </w:rPr>
              <w:t>Most Likely Duration</w:t>
            </w:r>
          </w:p>
        </w:tc>
        <w:tc>
          <w:tcPr>
            <w:tcW w:w="1134" w:type="dxa"/>
            <w:shd w:val="clear" w:color="auto" w:fill="0070C0"/>
            <w:noWrap/>
            <w:vAlign w:val="center"/>
            <w:hideMark/>
          </w:tcPr>
          <w:p w14:paraId="2B1E6F3D" w14:textId="77777777" w:rsidR="00D46120" w:rsidRPr="00232A6B" w:rsidRDefault="00D46120" w:rsidP="00D46120">
            <w:pPr>
              <w:jc w:val="center"/>
              <w:rPr>
                <w:b/>
                <w:bCs/>
                <w:color w:val="FFFFFF" w:themeColor="background1"/>
                <w:sz w:val="16"/>
                <w:szCs w:val="16"/>
              </w:rPr>
            </w:pPr>
            <w:r w:rsidRPr="00232A6B">
              <w:rPr>
                <w:b/>
                <w:bCs/>
                <w:color w:val="FFFFFF" w:themeColor="background1"/>
                <w:sz w:val="16"/>
                <w:szCs w:val="16"/>
              </w:rPr>
              <w:t>Pessimistic Duration</w:t>
            </w:r>
          </w:p>
        </w:tc>
        <w:tc>
          <w:tcPr>
            <w:tcW w:w="1652" w:type="dxa"/>
            <w:shd w:val="clear" w:color="auto" w:fill="0070C0"/>
            <w:noWrap/>
            <w:vAlign w:val="center"/>
            <w:hideMark/>
          </w:tcPr>
          <w:p w14:paraId="499E4DC7" w14:textId="77777777" w:rsidR="00D46120" w:rsidRPr="00232A6B" w:rsidRDefault="00D46120" w:rsidP="00D46120">
            <w:pPr>
              <w:jc w:val="center"/>
              <w:rPr>
                <w:b/>
                <w:bCs/>
                <w:color w:val="FFFFFF" w:themeColor="background1"/>
                <w:sz w:val="16"/>
                <w:szCs w:val="16"/>
              </w:rPr>
            </w:pPr>
            <w:r w:rsidRPr="00232A6B">
              <w:rPr>
                <w:b/>
                <w:bCs/>
                <w:color w:val="FFFFFF" w:themeColor="background1"/>
                <w:sz w:val="16"/>
                <w:szCs w:val="16"/>
              </w:rPr>
              <w:t>Weighting Equation</w:t>
            </w:r>
          </w:p>
        </w:tc>
        <w:tc>
          <w:tcPr>
            <w:tcW w:w="982" w:type="dxa"/>
            <w:shd w:val="clear" w:color="auto" w:fill="0070C0"/>
            <w:noWrap/>
            <w:vAlign w:val="center"/>
            <w:hideMark/>
          </w:tcPr>
          <w:p w14:paraId="591AB29E" w14:textId="77777777" w:rsidR="00D46120" w:rsidRPr="00232A6B" w:rsidRDefault="00D46120" w:rsidP="00D46120">
            <w:pPr>
              <w:jc w:val="center"/>
              <w:rPr>
                <w:b/>
                <w:bCs/>
                <w:color w:val="FFFFFF" w:themeColor="background1"/>
                <w:sz w:val="16"/>
                <w:szCs w:val="16"/>
              </w:rPr>
            </w:pPr>
            <w:r w:rsidRPr="00232A6B">
              <w:rPr>
                <w:b/>
                <w:bCs/>
                <w:color w:val="FFFFFF" w:themeColor="background1"/>
                <w:sz w:val="16"/>
                <w:szCs w:val="16"/>
              </w:rPr>
              <w:t>Expected Duration Estimate</w:t>
            </w:r>
          </w:p>
        </w:tc>
      </w:tr>
      <w:tr w:rsidR="00D46120" w:rsidRPr="0083393A" w14:paraId="63AB2565" w14:textId="77777777" w:rsidTr="00D46120">
        <w:trPr>
          <w:trHeight w:val="360"/>
          <w:jc w:val="center"/>
        </w:trPr>
        <w:tc>
          <w:tcPr>
            <w:tcW w:w="1665" w:type="dxa"/>
            <w:noWrap/>
            <w:hideMark/>
          </w:tcPr>
          <w:p w14:paraId="5F8AC2E3" w14:textId="77777777" w:rsidR="00D46120" w:rsidRPr="0083393A" w:rsidRDefault="00D46120" w:rsidP="00D46120">
            <w:pPr>
              <w:rPr>
                <w:b/>
                <w:bCs/>
                <w:sz w:val="16"/>
                <w:szCs w:val="16"/>
              </w:rPr>
            </w:pPr>
            <w:r w:rsidRPr="0083393A">
              <w:rPr>
                <w:b/>
                <w:bCs/>
                <w:sz w:val="16"/>
                <w:szCs w:val="16"/>
              </w:rPr>
              <w:t>t1_SiteSurveyBL</w:t>
            </w:r>
          </w:p>
        </w:tc>
        <w:tc>
          <w:tcPr>
            <w:tcW w:w="1134" w:type="dxa"/>
            <w:noWrap/>
            <w:hideMark/>
          </w:tcPr>
          <w:p w14:paraId="696369D6" w14:textId="77777777" w:rsidR="00D46120" w:rsidRPr="0083393A" w:rsidRDefault="00D46120" w:rsidP="00D46120">
            <w:pPr>
              <w:jc w:val="center"/>
              <w:rPr>
                <w:b/>
                <w:bCs/>
                <w:sz w:val="16"/>
                <w:szCs w:val="16"/>
              </w:rPr>
            </w:pPr>
            <w:r w:rsidRPr="0083393A">
              <w:rPr>
                <w:b/>
                <w:bCs/>
                <w:sz w:val="16"/>
                <w:szCs w:val="16"/>
              </w:rPr>
              <w:t>1</w:t>
            </w:r>
          </w:p>
        </w:tc>
        <w:tc>
          <w:tcPr>
            <w:tcW w:w="1134" w:type="dxa"/>
            <w:noWrap/>
            <w:hideMark/>
          </w:tcPr>
          <w:p w14:paraId="25E01BBF" w14:textId="77777777" w:rsidR="00D46120" w:rsidRPr="0083393A" w:rsidRDefault="00D46120" w:rsidP="00D46120">
            <w:pPr>
              <w:jc w:val="center"/>
              <w:rPr>
                <w:b/>
                <w:bCs/>
                <w:sz w:val="16"/>
                <w:szCs w:val="16"/>
              </w:rPr>
            </w:pPr>
            <w:r w:rsidRPr="0083393A">
              <w:rPr>
                <w:b/>
                <w:bCs/>
                <w:sz w:val="16"/>
                <w:szCs w:val="16"/>
              </w:rPr>
              <w:t>2</w:t>
            </w:r>
          </w:p>
        </w:tc>
        <w:tc>
          <w:tcPr>
            <w:tcW w:w="1134" w:type="dxa"/>
            <w:noWrap/>
            <w:hideMark/>
          </w:tcPr>
          <w:p w14:paraId="21954289" w14:textId="77777777" w:rsidR="00D46120" w:rsidRPr="0083393A" w:rsidRDefault="00D46120" w:rsidP="00D46120">
            <w:pPr>
              <w:jc w:val="center"/>
              <w:rPr>
                <w:b/>
                <w:bCs/>
                <w:sz w:val="16"/>
                <w:szCs w:val="16"/>
              </w:rPr>
            </w:pPr>
            <w:r w:rsidRPr="0083393A">
              <w:rPr>
                <w:b/>
                <w:bCs/>
                <w:sz w:val="16"/>
                <w:szCs w:val="16"/>
              </w:rPr>
              <w:t>3</w:t>
            </w:r>
          </w:p>
        </w:tc>
        <w:tc>
          <w:tcPr>
            <w:tcW w:w="1652" w:type="dxa"/>
            <w:noWrap/>
            <w:hideMark/>
          </w:tcPr>
          <w:p w14:paraId="76263491" w14:textId="77777777" w:rsidR="00D46120" w:rsidRPr="0083393A" w:rsidRDefault="00D46120" w:rsidP="00D46120">
            <w:pPr>
              <w:jc w:val="center"/>
              <w:rPr>
                <w:b/>
                <w:bCs/>
                <w:sz w:val="16"/>
                <w:szCs w:val="16"/>
              </w:rPr>
            </w:pPr>
            <w:r w:rsidRPr="0083393A">
              <w:rPr>
                <w:b/>
                <w:bCs/>
                <w:sz w:val="16"/>
                <w:szCs w:val="16"/>
              </w:rPr>
              <w:t>T</w:t>
            </w:r>
            <w:r w:rsidRPr="0083393A">
              <w:rPr>
                <w:b/>
                <w:bCs/>
                <w:sz w:val="16"/>
                <w:szCs w:val="16"/>
                <w:vertAlign w:val="subscript"/>
              </w:rPr>
              <w:t>TP</w:t>
            </w:r>
            <w:r w:rsidRPr="0083393A">
              <w:rPr>
                <w:b/>
                <w:bCs/>
                <w:sz w:val="16"/>
                <w:szCs w:val="16"/>
              </w:rPr>
              <w:t>= (T</w:t>
            </w:r>
            <w:r w:rsidRPr="0083393A">
              <w:rPr>
                <w:b/>
                <w:bCs/>
                <w:sz w:val="16"/>
                <w:szCs w:val="16"/>
                <w:vertAlign w:val="subscript"/>
              </w:rPr>
              <w:t>O</w:t>
            </w:r>
            <w:r w:rsidRPr="0083393A">
              <w:rPr>
                <w:b/>
                <w:bCs/>
                <w:sz w:val="16"/>
                <w:szCs w:val="16"/>
              </w:rPr>
              <w:t>+4*T</w:t>
            </w:r>
            <w:r w:rsidRPr="0083393A">
              <w:rPr>
                <w:b/>
                <w:bCs/>
                <w:sz w:val="16"/>
                <w:szCs w:val="16"/>
                <w:vertAlign w:val="subscript"/>
              </w:rPr>
              <w:t>ML</w:t>
            </w:r>
            <w:r w:rsidRPr="0083393A">
              <w:rPr>
                <w:b/>
                <w:bCs/>
                <w:sz w:val="16"/>
                <w:szCs w:val="16"/>
              </w:rPr>
              <w:t>+T</w:t>
            </w:r>
            <w:r w:rsidRPr="0083393A">
              <w:rPr>
                <w:b/>
                <w:bCs/>
                <w:sz w:val="16"/>
                <w:szCs w:val="16"/>
                <w:vertAlign w:val="subscript"/>
              </w:rPr>
              <w:t>P</w:t>
            </w:r>
            <w:r w:rsidRPr="0083393A">
              <w:rPr>
                <w:b/>
                <w:bCs/>
                <w:sz w:val="16"/>
                <w:szCs w:val="16"/>
              </w:rPr>
              <w:t>)/6</w:t>
            </w:r>
          </w:p>
        </w:tc>
        <w:tc>
          <w:tcPr>
            <w:tcW w:w="982" w:type="dxa"/>
            <w:noWrap/>
            <w:hideMark/>
          </w:tcPr>
          <w:p w14:paraId="32BBA4B9" w14:textId="77777777" w:rsidR="00D46120" w:rsidRPr="0083393A" w:rsidRDefault="00D46120" w:rsidP="00D46120">
            <w:pPr>
              <w:jc w:val="center"/>
              <w:rPr>
                <w:b/>
                <w:bCs/>
                <w:sz w:val="16"/>
                <w:szCs w:val="16"/>
              </w:rPr>
            </w:pPr>
            <w:bookmarkStart w:id="4" w:name="RANGE!G29"/>
            <w:r w:rsidRPr="0083393A">
              <w:rPr>
                <w:b/>
                <w:bCs/>
                <w:sz w:val="16"/>
                <w:szCs w:val="16"/>
              </w:rPr>
              <w:t>2.0</w:t>
            </w:r>
            <w:bookmarkEnd w:id="4"/>
          </w:p>
        </w:tc>
      </w:tr>
      <w:tr w:rsidR="00D46120" w:rsidRPr="0083393A" w14:paraId="44F4A2F9" w14:textId="77777777" w:rsidTr="00D46120">
        <w:trPr>
          <w:trHeight w:val="360"/>
          <w:jc w:val="center"/>
        </w:trPr>
        <w:tc>
          <w:tcPr>
            <w:tcW w:w="1665" w:type="dxa"/>
            <w:noWrap/>
            <w:hideMark/>
          </w:tcPr>
          <w:p w14:paraId="37C68BE1" w14:textId="77777777" w:rsidR="00D46120" w:rsidRPr="0083393A" w:rsidRDefault="00D46120" w:rsidP="00D46120">
            <w:pPr>
              <w:rPr>
                <w:b/>
                <w:bCs/>
                <w:sz w:val="16"/>
                <w:szCs w:val="16"/>
              </w:rPr>
            </w:pPr>
            <w:r w:rsidRPr="0083393A">
              <w:rPr>
                <w:b/>
                <w:bCs/>
                <w:sz w:val="16"/>
                <w:szCs w:val="16"/>
              </w:rPr>
              <w:t>t2_SiteAcquisitionBL</w:t>
            </w:r>
          </w:p>
        </w:tc>
        <w:tc>
          <w:tcPr>
            <w:tcW w:w="1134" w:type="dxa"/>
            <w:noWrap/>
            <w:hideMark/>
          </w:tcPr>
          <w:p w14:paraId="56F0F7B3" w14:textId="77777777" w:rsidR="00D46120" w:rsidRPr="0083393A" w:rsidRDefault="00D46120" w:rsidP="00D46120">
            <w:pPr>
              <w:jc w:val="center"/>
              <w:rPr>
                <w:b/>
                <w:bCs/>
                <w:sz w:val="16"/>
                <w:szCs w:val="16"/>
              </w:rPr>
            </w:pPr>
            <w:r w:rsidRPr="0083393A">
              <w:rPr>
                <w:b/>
                <w:bCs/>
                <w:sz w:val="16"/>
                <w:szCs w:val="16"/>
              </w:rPr>
              <w:t>7</w:t>
            </w:r>
          </w:p>
        </w:tc>
        <w:tc>
          <w:tcPr>
            <w:tcW w:w="1134" w:type="dxa"/>
            <w:noWrap/>
            <w:hideMark/>
          </w:tcPr>
          <w:p w14:paraId="755B7A5F" w14:textId="77777777" w:rsidR="00D46120" w:rsidRPr="0083393A" w:rsidRDefault="00D46120" w:rsidP="00D46120">
            <w:pPr>
              <w:jc w:val="center"/>
              <w:rPr>
                <w:b/>
                <w:bCs/>
                <w:sz w:val="16"/>
                <w:szCs w:val="16"/>
              </w:rPr>
            </w:pPr>
            <w:r w:rsidRPr="0083393A">
              <w:rPr>
                <w:b/>
                <w:bCs/>
                <w:sz w:val="16"/>
                <w:szCs w:val="16"/>
              </w:rPr>
              <w:t>10</w:t>
            </w:r>
          </w:p>
        </w:tc>
        <w:tc>
          <w:tcPr>
            <w:tcW w:w="1134" w:type="dxa"/>
            <w:noWrap/>
            <w:hideMark/>
          </w:tcPr>
          <w:p w14:paraId="51728160" w14:textId="77777777" w:rsidR="00D46120" w:rsidRPr="0083393A" w:rsidRDefault="00D46120" w:rsidP="00D46120">
            <w:pPr>
              <w:jc w:val="center"/>
              <w:rPr>
                <w:b/>
                <w:bCs/>
                <w:sz w:val="16"/>
                <w:szCs w:val="16"/>
              </w:rPr>
            </w:pPr>
            <w:r w:rsidRPr="0083393A">
              <w:rPr>
                <w:b/>
                <w:bCs/>
                <w:sz w:val="16"/>
                <w:szCs w:val="16"/>
              </w:rPr>
              <w:t>14</w:t>
            </w:r>
          </w:p>
        </w:tc>
        <w:tc>
          <w:tcPr>
            <w:tcW w:w="1652" w:type="dxa"/>
            <w:noWrap/>
            <w:hideMark/>
          </w:tcPr>
          <w:p w14:paraId="30DA2B40" w14:textId="77777777" w:rsidR="00D46120" w:rsidRPr="0083393A" w:rsidRDefault="00D46120" w:rsidP="00D46120">
            <w:pPr>
              <w:jc w:val="center"/>
              <w:rPr>
                <w:b/>
                <w:bCs/>
                <w:sz w:val="16"/>
                <w:szCs w:val="16"/>
              </w:rPr>
            </w:pPr>
            <w:r w:rsidRPr="0083393A">
              <w:rPr>
                <w:b/>
                <w:bCs/>
                <w:sz w:val="16"/>
                <w:szCs w:val="16"/>
              </w:rPr>
              <w:t>T</w:t>
            </w:r>
            <w:r w:rsidRPr="0083393A">
              <w:rPr>
                <w:b/>
                <w:bCs/>
                <w:sz w:val="16"/>
                <w:szCs w:val="16"/>
                <w:vertAlign w:val="subscript"/>
              </w:rPr>
              <w:t>TP</w:t>
            </w:r>
            <w:r w:rsidRPr="0083393A">
              <w:rPr>
                <w:b/>
                <w:bCs/>
                <w:sz w:val="16"/>
                <w:szCs w:val="16"/>
              </w:rPr>
              <w:t>= (T</w:t>
            </w:r>
            <w:r w:rsidRPr="0083393A">
              <w:rPr>
                <w:b/>
                <w:bCs/>
                <w:sz w:val="16"/>
                <w:szCs w:val="16"/>
                <w:vertAlign w:val="subscript"/>
              </w:rPr>
              <w:t>O</w:t>
            </w:r>
            <w:r w:rsidRPr="0083393A">
              <w:rPr>
                <w:b/>
                <w:bCs/>
                <w:sz w:val="16"/>
                <w:szCs w:val="16"/>
              </w:rPr>
              <w:t>+4*T</w:t>
            </w:r>
            <w:r w:rsidRPr="0083393A">
              <w:rPr>
                <w:b/>
                <w:bCs/>
                <w:sz w:val="16"/>
                <w:szCs w:val="16"/>
                <w:vertAlign w:val="subscript"/>
              </w:rPr>
              <w:t>ML</w:t>
            </w:r>
            <w:r w:rsidRPr="0083393A">
              <w:rPr>
                <w:b/>
                <w:bCs/>
                <w:sz w:val="16"/>
                <w:szCs w:val="16"/>
              </w:rPr>
              <w:t>+T</w:t>
            </w:r>
            <w:r w:rsidRPr="0083393A">
              <w:rPr>
                <w:b/>
                <w:bCs/>
                <w:sz w:val="16"/>
                <w:szCs w:val="16"/>
                <w:vertAlign w:val="subscript"/>
              </w:rPr>
              <w:t>P</w:t>
            </w:r>
            <w:r w:rsidRPr="0083393A">
              <w:rPr>
                <w:b/>
                <w:bCs/>
                <w:sz w:val="16"/>
                <w:szCs w:val="16"/>
              </w:rPr>
              <w:t>)/6</w:t>
            </w:r>
          </w:p>
        </w:tc>
        <w:tc>
          <w:tcPr>
            <w:tcW w:w="982" w:type="dxa"/>
            <w:noWrap/>
            <w:hideMark/>
          </w:tcPr>
          <w:p w14:paraId="3CB9F4E4" w14:textId="77777777" w:rsidR="00D46120" w:rsidRPr="0083393A" w:rsidRDefault="00D46120" w:rsidP="00D46120">
            <w:pPr>
              <w:jc w:val="center"/>
              <w:rPr>
                <w:b/>
                <w:bCs/>
                <w:sz w:val="16"/>
                <w:szCs w:val="16"/>
              </w:rPr>
            </w:pPr>
            <w:bookmarkStart w:id="5" w:name="RANGE!G30"/>
            <w:r w:rsidRPr="0083393A">
              <w:rPr>
                <w:b/>
                <w:bCs/>
                <w:sz w:val="16"/>
                <w:szCs w:val="16"/>
              </w:rPr>
              <w:t>10.2</w:t>
            </w:r>
            <w:bookmarkEnd w:id="5"/>
          </w:p>
        </w:tc>
      </w:tr>
      <w:tr w:rsidR="00D46120" w:rsidRPr="0083393A" w14:paraId="788849A5" w14:textId="77777777" w:rsidTr="00D46120">
        <w:trPr>
          <w:trHeight w:val="360"/>
          <w:jc w:val="center"/>
        </w:trPr>
        <w:tc>
          <w:tcPr>
            <w:tcW w:w="1665" w:type="dxa"/>
            <w:noWrap/>
            <w:hideMark/>
          </w:tcPr>
          <w:p w14:paraId="781D039E" w14:textId="77777777" w:rsidR="00D46120" w:rsidRPr="0083393A" w:rsidRDefault="00D46120" w:rsidP="00D46120">
            <w:pPr>
              <w:rPr>
                <w:b/>
                <w:bCs/>
                <w:sz w:val="16"/>
                <w:szCs w:val="16"/>
              </w:rPr>
            </w:pPr>
            <w:r w:rsidRPr="0083393A">
              <w:rPr>
                <w:b/>
                <w:bCs/>
                <w:sz w:val="16"/>
                <w:szCs w:val="16"/>
              </w:rPr>
              <w:t>t3_CivilWorksBL</w:t>
            </w:r>
          </w:p>
        </w:tc>
        <w:tc>
          <w:tcPr>
            <w:tcW w:w="1134" w:type="dxa"/>
            <w:noWrap/>
            <w:hideMark/>
          </w:tcPr>
          <w:p w14:paraId="0C20CA73" w14:textId="77777777" w:rsidR="00D46120" w:rsidRPr="0083393A" w:rsidRDefault="00D46120" w:rsidP="00D46120">
            <w:pPr>
              <w:jc w:val="center"/>
              <w:rPr>
                <w:b/>
                <w:bCs/>
                <w:sz w:val="16"/>
                <w:szCs w:val="16"/>
              </w:rPr>
            </w:pPr>
            <w:r w:rsidRPr="0083393A">
              <w:rPr>
                <w:b/>
                <w:bCs/>
                <w:sz w:val="16"/>
                <w:szCs w:val="16"/>
              </w:rPr>
              <w:t>7</w:t>
            </w:r>
          </w:p>
        </w:tc>
        <w:tc>
          <w:tcPr>
            <w:tcW w:w="1134" w:type="dxa"/>
            <w:noWrap/>
            <w:hideMark/>
          </w:tcPr>
          <w:p w14:paraId="61034F9A" w14:textId="77777777" w:rsidR="00D46120" w:rsidRPr="0083393A" w:rsidRDefault="00D46120" w:rsidP="00D46120">
            <w:pPr>
              <w:jc w:val="center"/>
              <w:rPr>
                <w:b/>
                <w:bCs/>
                <w:sz w:val="16"/>
                <w:szCs w:val="16"/>
              </w:rPr>
            </w:pPr>
            <w:r w:rsidRPr="0083393A">
              <w:rPr>
                <w:b/>
                <w:bCs/>
                <w:sz w:val="16"/>
                <w:szCs w:val="16"/>
              </w:rPr>
              <w:t>7</w:t>
            </w:r>
          </w:p>
        </w:tc>
        <w:tc>
          <w:tcPr>
            <w:tcW w:w="1134" w:type="dxa"/>
            <w:noWrap/>
            <w:hideMark/>
          </w:tcPr>
          <w:p w14:paraId="5711BF21" w14:textId="77777777" w:rsidR="00D46120" w:rsidRPr="0083393A" w:rsidRDefault="00D46120" w:rsidP="00D46120">
            <w:pPr>
              <w:jc w:val="center"/>
              <w:rPr>
                <w:b/>
                <w:bCs/>
                <w:sz w:val="16"/>
                <w:szCs w:val="16"/>
              </w:rPr>
            </w:pPr>
            <w:r w:rsidRPr="0083393A">
              <w:rPr>
                <w:b/>
                <w:bCs/>
                <w:sz w:val="16"/>
                <w:szCs w:val="16"/>
              </w:rPr>
              <w:t>10</w:t>
            </w:r>
          </w:p>
        </w:tc>
        <w:tc>
          <w:tcPr>
            <w:tcW w:w="1652" w:type="dxa"/>
            <w:noWrap/>
            <w:hideMark/>
          </w:tcPr>
          <w:p w14:paraId="5EDE3C50" w14:textId="77777777" w:rsidR="00D46120" w:rsidRPr="0083393A" w:rsidRDefault="00D46120" w:rsidP="00D46120">
            <w:pPr>
              <w:jc w:val="center"/>
              <w:rPr>
                <w:b/>
                <w:bCs/>
                <w:sz w:val="16"/>
                <w:szCs w:val="16"/>
              </w:rPr>
            </w:pPr>
            <w:r w:rsidRPr="0083393A">
              <w:rPr>
                <w:b/>
                <w:bCs/>
                <w:sz w:val="16"/>
                <w:szCs w:val="16"/>
              </w:rPr>
              <w:t>T</w:t>
            </w:r>
            <w:r w:rsidRPr="0083393A">
              <w:rPr>
                <w:b/>
                <w:bCs/>
                <w:sz w:val="16"/>
                <w:szCs w:val="16"/>
                <w:vertAlign w:val="subscript"/>
              </w:rPr>
              <w:t>TP</w:t>
            </w:r>
            <w:r w:rsidRPr="0083393A">
              <w:rPr>
                <w:b/>
                <w:bCs/>
                <w:sz w:val="16"/>
                <w:szCs w:val="16"/>
              </w:rPr>
              <w:t>= (T</w:t>
            </w:r>
            <w:r w:rsidRPr="0083393A">
              <w:rPr>
                <w:b/>
                <w:bCs/>
                <w:sz w:val="16"/>
                <w:szCs w:val="16"/>
                <w:vertAlign w:val="subscript"/>
              </w:rPr>
              <w:t>O</w:t>
            </w:r>
            <w:r w:rsidRPr="0083393A">
              <w:rPr>
                <w:b/>
                <w:bCs/>
                <w:sz w:val="16"/>
                <w:szCs w:val="16"/>
              </w:rPr>
              <w:t>+4*T</w:t>
            </w:r>
            <w:r w:rsidRPr="0083393A">
              <w:rPr>
                <w:b/>
                <w:bCs/>
                <w:sz w:val="16"/>
                <w:szCs w:val="16"/>
                <w:vertAlign w:val="subscript"/>
              </w:rPr>
              <w:t>ML</w:t>
            </w:r>
            <w:r w:rsidRPr="0083393A">
              <w:rPr>
                <w:b/>
                <w:bCs/>
                <w:sz w:val="16"/>
                <w:szCs w:val="16"/>
              </w:rPr>
              <w:t>+T</w:t>
            </w:r>
            <w:r w:rsidRPr="0083393A">
              <w:rPr>
                <w:b/>
                <w:bCs/>
                <w:sz w:val="16"/>
                <w:szCs w:val="16"/>
                <w:vertAlign w:val="subscript"/>
              </w:rPr>
              <w:t>P</w:t>
            </w:r>
            <w:r w:rsidRPr="0083393A">
              <w:rPr>
                <w:b/>
                <w:bCs/>
                <w:sz w:val="16"/>
                <w:szCs w:val="16"/>
              </w:rPr>
              <w:t>)/6</w:t>
            </w:r>
          </w:p>
        </w:tc>
        <w:tc>
          <w:tcPr>
            <w:tcW w:w="982" w:type="dxa"/>
            <w:noWrap/>
            <w:hideMark/>
          </w:tcPr>
          <w:p w14:paraId="0EBCB56A" w14:textId="77777777" w:rsidR="00D46120" w:rsidRPr="0083393A" w:rsidRDefault="00D46120" w:rsidP="00D46120">
            <w:pPr>
              <w:jc w:val="center"/>
              <w:rPr>
                <w:b/>
                <w:bCs/>
                <w:sz w:val="16"/>
                <w:szCs w:val="16"/>
              </w:rPr>
            </w:pPr>
            <w:bookmarkStart w:id="6" w:name="RANGE!G31"/>
            <w:r w:rsidRPr="0083393A">
              <w:rPr>
                <w:b/>
                <w:bCs/>
                <w:sz w:val="16"/>
                <w:szCs w:val="16"/>
              </w:rPr>
              <w:t>7.5</w:t>
            </w:r>
            <w:bookmarkEnd w:id="6"/>
          </w:p>
        </w:tc>
      </w:tr>
      <w:tr w:rsidR="00D46120" w:rsidRPr="0083393A" w14:paraId="675741A7" w14:textId="77777777" w:rsidTr="00D46120">
        <w:trPr>
          <w:trHeight w:val="360"/>
          <w:jc w:val="center"/>
        </w:trPr>
        <w:tc>
          <w:tcPr>
            <w:tcW w:w="1665" w:type="dxa"/>
            <w:noWrap/>
            <w:hideMark/>
          </w:tcPr>
          <w:p w14:paraId="1F7E2A3E" w14:textId="77777777" w:rsidR="00D46120" w:rsidRPr="0083393A" w:rsidRDefault="00D46120" w:rsidP="00D46120">
            <w:pPr>
              <w:rPr>
                <w:b/>
                <w:bCs/>
                <w:sz w:val="16"/>
                <w:szCs w:val="16"/>
              </w:rPr>
            </w:pPr>
            <w:r w:rsidRPr="0083393A">
              <w:rPr>
                <w:b/>
                <w:bCs/>
                <w:sz w:val="16"/>
                <w:szCs w:val="16"/>
              </w:rPr>
              <w:t>t4_PowerInstallBL</w:t>
            </w:r>
          </w:p>
        </w:tc>
        <w:tc>
          <w:tcPr>
            <w:tcW w:w="1134" w:type="dxa"/>
            <w:noWrap/>
            <w:hideMark/>
          </w:tcPr>
          <w:p w14:paraId="46274432" w14:textId="77777777" w:rsidR="00D46120" w:rsidRPr="0083393A" w:rsidRDefault="00D46120" w:rsidP="00D46120">
            <w:pPr>
              <w:jc w:val="center"/>
              <w:rPr>
                <w:b/>
                <w:bCs/>
                <w:sz w:val="16"/>
                <w:szCs w:val="16"/>
              </w:rPr>
            </w:pPr>
            <w:r w:rsidRPr="0083393A">
              <w:rPr>
                <w:b/>
                <w:bCs/>
                <w:sz w:val="16"/>
                <w:szCs w:val="16"/>
              </w:rPr>
              <w:t>3</w:t>
            </w:r>
          </w:p>
        </w:tc>
        <w:tc>
          <w:tcPr>
            <w:tcW w:w="1134" w:type="dxa"/>
            <w:noWrap/>
            <w:hideMark/>
          </w:tcPr>
          <w:p w14:paraId="6B700A6D" w14:textId="77777777" w:rsidR="00D46120" w:rsidRPr="0083393A" w:rsidRDefault="00D46120" w:rsidP="00D46120">
            <w:pPr>
              <w:jc w:val="center"/>
              <w:rPr>
                <w:b/>
                <w:bCs/>
                <w:sz w:val="16"/>
                <w:szCs w:val="16"/>
              </w:rPr>
            </w:pPr>
            <w:r w:rsidRPr="0083393A">
              <w:rPr>
                <w:b/>
                <w:bCs/>
                <w:sz w:val="16"/>
                <w:szCs w:val="16"/>
              </w:rPr>
              <w:t>5</w:t>
            </w:r>
          </w:p>
        </w:tc>
        <w:tc>
          <w:tcPr>
            <w:tcW w:w="1134" w:type="dxa"/>
            <w:noWrap/>
            <w:hideMark/>
          </w:tcPr>
          <w:p w14:paraId="444CF6C0" w14:textId="77777777" w:rsidR="00D46120" w:rsidRPr="0083393A" w:rsidRDefault="00D46120" w:rsidP="00D46120">
            <w:pPr>
              <w:jc w:val="center"/>
              <w:rPr>
                <w:b/>
                <w:bCs/>
                <w:sz w:val="16"/>
                <w:szCs w:val="16"/>
              </w:rPr>
            </w:pPr>
            <w:r w:rsidRPr="0083393A">
              <w:rPr>
                <w:b/>
                <w:bCs/>
                <w:sz w:val="16"/>
                <w:szCs w:val="16"/>
              </w:rPr>
              <w:t>7</w:t>
            </w:r>
          </w:p>
        </w:tc>
        <w:tc>
          <w:tcPr>
            <w:tcW w:w="1652" w:type="dxa"/>
            <w:noWrap/>
            <w:hideMark/>
          </w:tcPr>
          <w:p w14:paraId="57A30707" w14:textId="77777777" w:rsidR="00D46120" w:rsidRPr="0083393A" w:rsidRDefault="00D46120" w:rsidP="00D46120">
            <w:pPr>
              <w:jc w:val="center"/>
              <w:rPr>
                <w:b/>
                <w:bCs/>
                <w:sz w:val="16"/>
                <w:szCs w:val="16"/>
              </w:rPr>
            </w:pPr>
            <w:r w:rsidRPr="0083393A">
              <w:rPr>
                <w:b/>
                <w:bCs/>
                <w:sz w:val="16"/>
                <w:szCs w:val="16"/>
              </w:rPr>
              <w:t>T</w:t>
            </w:r>
            <w:r w:rsidRPr="0083393A">
              <w:rPr>
                <w:b/>
                <w:bCs/>
                <w:sz w:val="16"/>
                <w:szCs w:val="16"/>
                <w:vertAlign w:val="subscript"/>
              </w:rPr>
              <w:t>TP</w:t>
            </w:r>
            <w:r w:rsidRPr="0083393A">
              <w:rPr>
                <w:b/>
                <w:bCs/>
                <w:sz w:val="16"/>
                <w:szCs w:val="16"/>
              </w:rPr>
              <w:t>= (T</w:t>
            </w:r>
            <w:r w:rsidRPr="0083393A">
              <w:rPr>
                <w:b/>
                <w:bCs/>
                <w:sz w:val="16"/>
                <w:szCs w:val="16"/>
                <w:vertAlign w:val="subscript"/>
              </w:rPr>
              <w:t>O</w:t>
            </w:r>
            <w:r w:rsidRPr="0083393A">
              <w:rPr>
                <w:b/>
                <w:bCs/>
                <w:sz w:val="16"/>
                <w:szCs w:val="16"/>
              </w:rPr>
              <w:t>+4*T</w:t>
            </w:r>
            <w:r w:rsidRPr="0083393A">
              <w:rPr>
                <w:b/>
                <w:bCs/>
                <w:sz w:val="16"/>
                <w:szCs w:val="16"/>
                <w:vertAlign w:val="subscript"/>
              </w:rPr>
              <w:t>ML</w:t>
            </w:r>
            <w:r w:rsidRPr="0083393A">
              <w:rPr>
                <w:b/>
                <w:bCs/>
                <w:sz w:val="16"/>
                <w:szCs w:val="16"/>
              </w:rPr>
              <w:t>+T</w:t>
            </w:r>
            <w:r w:rsidRPr="0083393A">
              <w:rPr>
                <w:b/>
                <w:bCs/>
                <w:sz w:val="16"/>
                <w:szCs w:val="16"/>
                <w:vertAlign w:val="subscript"/>
              </w:rPr>
              <w:t>P</w:t>
            </w:r>
            <w:r w:rsidRPr="0083393A">
              <w:rPr>
                <w:b/>
                <w:bCs/>
                <w:sz w:val="16"/>
                <w:szCs w:val="16"/>
              </w:rPr>
              <w:t>)/6</w:t>
            </w:r>
          </w:p>
        </w:tc>
        <w:tc>
          <w:tcPr>
            <w:tcW w:w="982" w:type="dxa"/>
            <w:noWrap/>
            <w:hideMark/>
          </w:tcPr>
          <w:p w14:paraId="24518B3C" w14:textId="77777777" w:rsidR="00D46120" w:rsidRPr="0083393A" w:rsidRDefault="00D46120" w:rsidP="00D46120">
            <w:pPr>
              <w:jc w:val="center"/>
              <w:rPr>
                <w:b/>
                <w:bCs/>
                <w:sz w:val="16"/>
                <w:szCs w:val="16"/>
              </w:rPr>
            </w:pPr>
            <w:bookmarkStart w:id="7" w:name="RANGE!G32"/>
            <w:r w:rsidRPr="0083393A">
              <w:rPr>
                <w:b/>
                <w:bCs/>
                <w:sz w:val="16"/>
                <w:szCs w:val="16"/>
              </w:rPr>
              <w:t>5.0</w:t>
            </w:r>
            <w:bookmarkEnd w:id="7"/>
          </w:p>
        </w:tc>
      </w:tr>
      <w:tr w:rsidR="00D46120" w:rsidRPr="0083393A" w14:paraId="1B317350" w14:textId="77777777" w:rsidTr="00D46120">
        <w:trPr>
          <w:trHeight w:val="360"/>
          <w:jc w:val="center"/>
        </w:trPr>
        <w:tc>
          <w:tcPr>
            <w:tcW w:w="1665" w:type="dxa"/>
            <w:noWrap/>
            <w:hideMark/>
          </w:tcPr>
          <w:p w14:paraId="197EA11A" w14:textId="77777777" w:rsidR="00D46120" w:rsidRPr="0083393A" w:rsidRDefault="00D46120" w:rsidP="00D46120">
            <w:pPr>
              <w:rPr>
                <w:b/>
                <w:bCs/>
                <w:sz w:val="16"/>
                <w:szCs w:val="16"/>
              </w:rPr>
            </w:pPr>
            <w:r w:rsidRPr="0083393A">
              <w:rPr>
                <w:b/>
                <w:bCs/>
                <w:sz w:val="16"/>
                <w:szCs w:val="16"/>
              </w:rPr>
              <w:t>t5_TxintegrationBL</w:t>
            </w:r>
          </w:p>
        </w:tc>
        <w:tc>
          <w:tcPr>
            <w:tcW w:w="1134" w:type="dxa"/>
            <w:noWrap/>
            <w:hideMark/>
          </w:tcPr>
          <w:p w14:paraId="29F71878" w14:textId="77777777" w:rsidR="00D46120" w:rsidRPr="0083393A" w:rsidRDefault="00D46120" w:rsidP="00D46120">
            <w:pPr>
              <w:jc w:val="center"/>
              <w:rPr>
                <w:b/>
                <w:bCs/>
                <w:sz w:val="16"/>
                <w:szCs w:val="16"/>
              </w:rPr>
            </w:pPr>
            <w:r w:rsidRPr="0083393A">
              <w:rPr>
                <w:b/>
                <w:bCs/>
                <w:sz w:val="16"/>
                <w:szCs w:val="16"/>
              </w:rPr>
              <w:t>4</w:t>
            </w:r>
          </w:p>
        </w:tc>
        <w:tc>
          <w:tcPr>
            <w:tcW w:w="1134" w:type="dxa"/>
            <w:noWrap/>
            <w:hideMark/>
          </w:tcPr>
          <w:p w14:paraId="07728C03" w14:textId="77777777" w:rsidR="00D46120" w:rsidRPr="0083393A" w:rsidRDefault="00D46120" w:rsidP="00D46120">
            <w:pPr>
              <w:jc w:val="center"/>
              <w:rPr>
                <w:b/>
                <w:bCs/>
                <w:sz w:val="16"/>
                <w:szCs w:val="16"/>
              </w:rPr>
            </w:pPr>
            <w:r w:rsidRPr="0083393A">
              <w:rPr>
                <w:b/>
                <w:bCs/>
                <w:sz w:val="16"/>
                <w:szCs w:val="16"/>
              </w:rPr>
              <w:t>6</w:t>
            </w:r>
          </w:p>
        </w:tc>
        <w:tc>
          <w:tcPr>
            <w:tcW w:w="1134" w:type="dxa"/>
            <w:noWrap/>
            <w:hideMark/>
          </w:tcPr>
          <w:p w14:paraId="50720F74" w14:textId="77777777" w:rsidR="00D46120" w:rsidRPr="0083393A" w:rsidRDefault="00D46120" w:rsidP="00D46120">
            <w:pPr>
              <w:jc w:val="center"/>
              <w:rPr>
                <w:b/>
                <w:bCs/>
                <w:sz w:val="16"/>
                <w:szCs w:val="16"/>
              </w:rPr>
            </w:pPr>
            <w:r w:rsidRPr="0083393A">
              <w:rPr>
                <w:b/>
                <w:bCs/>
                <w:sz w:val="16"/>
                <w:szCs w:val="16"/>
              </w:rPr>
              <w:t>9</w:t>
            </w:r>
          </w:p>
        </w:tc>
        <w:tc>
          <w:tcPr>
            <w:tcW w:w="1652" w:type="dxa"/>
            <w:noWrap/>
            <w:hideMark/>
          </w:tcPr>
          <w:p w14:paraId="42C7B01B" w14:textId="77777777" w:rsidR="00D46120" w:rsidRPr="0083393A" w:rsidRDefault="00D46120" w:rsidP="00D46120">
            <w:pPr>
              <w:jc w:val="center"/>
              <w:rPr>
                <w:b/>
                <w:bCs/>
                <w:sz w:val="16"/>
                <w:szCs w:val="16"/>
              </w:rPr>
            </w:pPr>
            <w:r w:rsidRPr="0083393A">
              <w:rPr>
                <w:b/>
                <w:bCs/>
                <w:sz w:val="16"/>
                <w:szCs w:val="16"/>
              </w:rPr>
              <w:t>T</w:t>
            </w:r>
            <w:r w:rsidRPr="0083393A">
              <w:rPr>
                <w:b/>
                <w:bCs/>
                <w:sz w:val="16"/>
                <w:szCs w:val="16"/>
                <w:vertAlign w:val="subscript"/>
              </w:rPr>
              <w:t>TP</w:t>
            </w:r>
            <w:r w:rsidRPr="0083393A">
              <w:rPr>
                <w:b/>
                <w:bCs/>
                <w:sz w:val="16"/>
                <w:szCs w:val="16"/>
              </w:rPr>
              <w:t>= (T</w:t>
            </w:r>
            <w:r w:rsidRPr="0083393A">
              <w:rPr>
                <w:b/>
                <w:bCs/>
                <w:sz w:val="16"/>
                <w:szCs w:val="16"/>
                <w:vertAlign w:val="subscript"/>
              </w:rPr>
              <w:t>O</w:t>
            </w:r>
            <w:r w:rsidRPr="0083393A">
              <w:rPr>
                <w:b/>
                <w:bCs/>
                <w:sz w:val="16"/>
                <w:szCs w:val="16"/>
              </w:rPr>
              <w:t>+4*T</w:t>
            </w:r>
            <w:r w:rsidRPr="0083393A">
              <w:rPr>
                <w:b/>
                <w:bCs/>
                <w:sz w:val="16"/>
                <w:szCs w:val="16"/>
                <w:vertAlign w:val="subscript"/>
              </w:rPr>
              <w:t>ML</w:t>
            </w:r>
            <w:r w:rsidRPr="0083393A">
              <w:rPr>
                <w:b/>
                <w:bCs/>
                <w:sz w:val="16"/>
                <w:szCs w:val="16"/>
              </w:rPr>
              <w:t>+T</w:t>
            </w:r>
            <w:r w:rsidRPr="0083393A">
              <w:rPr>
                <w:b/>
                <w:bCs/>
                <w:sz w:val="16"/>
                <w:szCs w:val="16"/>
                <w:vertAlign w:val="subscript"/>
              </w:rPr>
              <w:t>P</w:t>
            </w:r>
            <w:r w:rsidRPr="0083393A">
              <w:rPr>
                <w:b/>
                <w:bCs/>
                <w:sz w:val="16"/>
                <w:szCs w:val="16"/>
              </w:rPr>
              <w:t>)/6</w:t>
            </w:r>
          </w:p>
        </w:tc>
        <w:tc>
          <w:tcPr>
            <w:tcW w:w="982" w:type="dxa"/>
            <w:noWrap/>
            <w:hideMark/>
          </w:tcPr>
          <w:p w14:paraId="01BBC2EB" w14:textId="77777777" w:rsidR="00D46120" w:rsidRPr="0083393A" w:rsidRDefault="00D46120" w:rsidP="00D46120">
            <w:pPr>
              <w:jc w:val="center"/>
              <w:rPr>
                <w:b/>
                <w:bCs/>
                <w:sz w:val="16"/>
                <w:szCs w:val="16"/>
              </w:rPr>
            </w:pPr>
            <w:bookmarkStart w:id="8" w:name="RANGE!G33"/>
            <w:r w:rsidRPr="0083393A">
              <w:rPr>
                <w:b/>
                <w:bCs/>
                <w:sz w:val="16"/>
                <w:szCs w:val="16"/>
              </w:rPr>
              <w:t>6.2</w:t>
            </w:r>
            <w:bookmarkEnd w:id="8"/>
          </w:p>
        </w:tc>
      </w:tr>
      <w:tr w:rsidR="00D46120" w:rsidRPr="0083393A" w14:paraId="6A1004B7" w14:textId="77777777" w:rsidTr="00D46120">
        <w:trPr>
          <w:trHeight w:val="360"/>
          <w:jc w:val="center"/>
        </w:trPr>
        <w:tc>
          <w:tcPr>
            <w:tcW w:w="1665" w:type="dxa"/>
            <w:noWrap/>
            <w:hideMark/>
          </w:tcPr>
          <w:p w14:paraId="5321718C" w14:textId="77777777" w:rsidR="00D46120" w:rsidRPr="0083393A" w:rsidRDefault="00D46120" w:rsidP="00D46120">
            <w:pPr>
              <w:rPr>
                <w:b/>
                <w:bCs/>
                <w:sz w:val="16"/>
                <w:szCs w:val="16"/>
              </w:rPr>
            </w:pPr>
            <w:r w:rsidRPr="0083393A">
              <w:rPr>
                <w:b/>
                <w:bCs/>
                <w:sz w:val="16"/>
                <w:szCs w:val="16"/>
              </w:rPr>
              <w:t>t6_InstallationBL</w:t>
            </w:r>
          </w:p>
        </w:tc>
        <w:tc>
          <w:tcPr>
            <w:tcW w:w="1134" w:type="dxa"/>
            <w:noWrap/>
            <w:hideMark/>
          </w:tcPr>
          <w:p w14:paraId="450DDC27" w14:textId="77777777" w:rsidR="00D46120" w:rsidRPr="0083393A" w:rsidRDefault="00D46120" w:rsidP="00D46120">
            <w:pPr>
              <w:jc w:val="center"/>
              <w:rPr>
                <w:b/>
                <w:bCs/>
                <w:sz w:val="16"/>
                <w:szCs w:val="16"/>
              </w:rPr>
            </w:pPr>
            <w:r w:rsidRPr="0083393A">
              <w:rPr>
                <w:b/>
                <w:bCs/>
                <w:sz w:val="16"/>
                <w:szCs w:val="16"/>
              </w:rPr>
              <w:t>2</w:t>
            </w:r>
          </w:p>
        </w:tc>
        <w:tc>
          <w:tcPr>
            <w:tcW w:w="1134" w:type="dxa"/>
            <w:noWrap/>
            <w:hideMark/>
          </w:tcPr>
          <w:p w14:paraId="3FC3AB45" w14:textId="77777777" w:rsidR="00D46120" w:rsidRPr="0083393A" w:rsidRDefault="00D46120" w:rsidP="00D46120">
            <w:pPr>
              <w:jc w:val="center"/>
              <w:rPr>
                <w:b/>
                <w:bCs/>
                <w:sz w:val="16"/>
                <w:szCs w:val="16"/>
              </w:rPr>
            </w:pPr>
            <w:r w:rsidRPr="0083393A">
              <w:rPr>
                <w:b/>
                <w:bCs/>
                <w:sz w:val="16"/>
                <w:szCs w:val="16"/>
              </w:rPr>
              <w:t>3</w:t>
            </w:r>
          </w:p>
        </w:tc>
        <w:tc>
          <w:tcPr>
            <w:tcW w:w="1134" w:type="dxa"/>
            <w:noWrap/>
            <w:hideMark/>
          </w:tcPr>
          <w:p w14:paraId="508E4D82" w14:textId="77777777" w:rsidR="00D46120" w:rsidRPr="0083393A" w:rsidRDefault="00D46120" w:rsidP="00D46120">
            <w:pPr>
              <w:jc w:val="center"/>
              <w:rPr>
                <w:b/>
                <w:bCs/>
                <w:sz w:val="16"/>
                <w:szCs w:val="16"/>
              </w:rPr>
            </w:pPr>
            <w:r w:rsidRPr="0083393A">
              <w:rPr>
                <w:b/>
                <w:bCs/>
                <w:sz w:val="16"/>
                <w:szCs w:val="16"/>
              </w:rPr>
              <w:t>10</w:t>
            </w:r>
          </w:p>
        </w:tc>
        <w:tc>
          <w:tcPr>
            <w:tcW w:w="1652" w:type="dxa"/>
            <w:noWrap/>
            <w:hideMark/>
          </w:tcPr>
          <w:p w14:paraId="7E404D17" w14:textId="77777777" w:rsidR="00D46120" w:rsidRPr="0083393A" w:rsidRDefault="00D46120" w:rsidP="00D46120">
            <w:pPr>
              <w:jc w:val="center"/>
              <w:rPr>
                <w:b/>
                <w:bCs/>
                <w:sz w:val="16"/>
                <w:szCs w:val="16"/>
              </w:rPr>
            </w:pPr>
            <w:r w:rsidRPr="0083393A">
              <w:rPr>
                <w:b/>
                <w:bCs/>
                <w:sz w:val="16"/>
                <w:szCs w:val="16"/>
              </w:rPr>
              <w:t>T</w:t>
            </w:r>
            <w:r w:rsidRPr="0083393A">
              <w:rPr>
                <w:b/>
                <w:bCs/>
                <w:sz w:val="16"/>
                <w:szCs w:val="16"/>
                <w:vertAlign w:val="subscript"/>
              </w:rPr>
              <w:t>TP</w:t>
            </w:r>
            <w:r w:rsidRPr="0083393A">
              <w:rPr>
                <w:b/>
                <w:bCs/>
                <w:sz w:val="16"/>
                <w:szCs w:val="16"/>
              </w:rPr>
              <w:t>= (T</w:t>
            </w:r>
            <w:r w:rsidRPr="0083393A">
              <w:rPr>
                <w:b/>
                <w:bCs/>
                <w:sz w:val="16"/>
                <w:szCs w:val="16"/>
                <w:vertAlign w:val="subscript"/>
              </w:rPr>
              <w:t>O</w:t>
            </w:r>
            <w:r w:rsidRPr="0083393A">
              <w:rPr>
                <w:b/>
                <w:bCs/>
                <w:sz w:val="16"/>
                <w:szCs w:val="16"/>
              </w:rPr>
              <w:t>+4*T</w:t>
            </w:r>
            <w:r w:rsidRPr="0083393A">
              <w:rPr>
                <w:b/>
                <w:bCs/>
                <w:sz w:val="16"/>
                <w:szCs w:val="16"/>
                <w:vertAlign w:val="subscript"/>
              </w:rPr>
              <w:t>ML</w:t>
            </w:r>
            <w:r w:rsidRPr="0083393A">
              <w:rPr>
                <w:b/>
                <w:bCs/>
                <w:sz w:val="16"/>
                <w:szCs w:val="16"/>
              </w:rPr>
              <w:t>+T</w:t>
            </w:r>
            <w:r w:rsidRPr="0083393A">
              <w:rPr>
                <w:b/>
                <w:bCs/>
                <w:sz w:val="16"/>
                <w:szCs w:val="16"/>
                <w:vertAlign w:val="subscript"/>
              </w:rPr>
              <w:t>P</w:t>
            </w:r>
            <w:r w:rsidRPr="0083393A">
              <w:rPr>
                <w:b/>
                <w:bCs/>
                <w:sz w:val="16"/>
                <w:szCs w:val="16"/>
              </w:rPr>
              <w:t>)/6</w:t>
            </w:r>
          </w:p>
        </w:tc>
        <w:tc>
          <w:tcPr>
            <w:tcW w:w="982" w:type="dxa"/>
            <w:noWrap/>
            <w:hideMark/>
          </w:tcPr>
          <w:p w14:paraId="03DA5588" w14:textId="77777777" w:rsidR="00D46120" w:rsidRPr="0083393A" w:rsidRDefault="00D46120" w:rsidP="00D46120">
            <w:pPr>
              <w:jc w:val="center"/>
              <w:rPr>
                <w:b/>
                <w:bCs/>
                <w:sz w:val="16"/>
                <w:szCs w:val="16"/>
              </w:rPr>
            </w:pPr>
            <w:bookmarkStart w:id="9" w:name="RANGE!G34"/>
            <w:r w:rsidRPr="0083393A">
              <w:rPr>
                <w:b/>
                <w:bCs/>
                <w:sz w:val="16"/>
                <w:szCs w:val="16"/>
              </w:rPr>
              <w:t>4.0</w:t>
            </w:r>
            <w:bookmarkEnd w:id="9"/>
          </w:p>
        </w:tc>
      </w:tr>
      <w:tr w:rsidR="00D46120" w:rsidRPr="0083393A" w14:paraId="2B3FD5B9" w14:textId="77777777" w:rsidTr="00D46120">
        <w:trPr>
          <w:trHeight w:val="360"/>
          <w:jc w:val="center"/>
        </w:trPr>
        <w:tc>
          <w:tcPr>
            <w:tcW w:w="1665" w:type="dxa"/>
            <w:noWrap/>
            <w:hideMark/>
          </w:tcPr>
          <w:p w14:paraId="0391D72C" w14:textId="77777777" w:rsidR="00D46120" w:rsidRPr="0083393A" w:rsidRDefault="00D46120" w:rsidP="00D46120">
            <w:pPr>
              <w:rPr>
                <w:b/>
                <w:bCs/>
                <w:sz w:val="16"/>
                <w:szCs w:val="16"/>
              </w:rPr>
            </w:pPr>
            <w:r w:rsidRPr="0083393A">
              <w:rPr>
                <w:b/>
                <w:bCs/>
                <w:sz w:val="16"/>
                <w:szCs w:val="16"/>
              </w:rPr>
              <w:t>t7_IntegrationBL</w:t>
            </w:r>
          </w:p>
        </w:tc>
        <w:tc>
          <w:tcPr>
            <w:tcW w:w="1134" w:type="dxa"/>
            <w:noWrap/>
            <w:hideMark/>
          </w:tcPr>
          <w:p w14:paraId="0CF85BAD" w14:textId="77777777" w:rsidR="00D46120" w:rsidRPr="0083393A" w:rsidRDefault="00D46120" w:rsidP="00D46120">
            <w:pPr>
              <w:jc w:val="center"/>
              <w:rPr>
                <w:b/>
                <w:bCs/>
                <w:sz w:val="16"/>
                <w:szCs w:val="16"/>
              </w:rPr>
            </w:pPr>
            <w:r w:rsidRPr="0083393A">
              <w:rPr>
                <w:b/>
                <w:bCs/>
                <w:sz w:val="16"/>
                <w:szCs w:val="16"/>
              </w:rPr>
              <w:t>2</w:t>
            </w:r>
          </w:p>
        </w:tc>
        <w:tc>
          <w:tcPr>
            <w:tcW w:w="1134" w:type="dxa"/>
            <w:noWrap/>
            <w:hideMark/>
          </w:tcPr>
          <w:p w14:paraId="2EE1A12A" w14:textId="77777777" w:rsidR="00D46120" w:rsidRPr="0083393A" w:rsidRDefault="00D46120" w:rsidP="00D46120">
            <w:pPr>
              <w:jc w:val="center"/>
              <w:rPr>
                <w:b/>
                <w:bCs/>
                <w:sz w:val="16"/>
                <w:szCs w:val="16"/>
              </w:rPr>
            </w:pPr>
            <w:r w:rsidRPr="0083393A">
              <w:rPr>
                <w:b/>
                <w:bCs/>
                <w:sz w:val="16"/>
                <w:szCs w:val="16"/>
              </w:rPr>
              <w:t>3</w:t>
            </w:r>
          </w:p>
        </w:tc>
        <w:tc>
          <w:tcPr>
            <w:tcW w:w="1134" w:type="dxa"/>
            <w:noWrap/>
            <w:hideMark/>
          </w:tcPr>
          <w:p w14:paraId="20F08D45" w14:textId="77777777" w:rsidR="00D46120" w:rsidRPr="0083393A" w:rsidRDefault="00D46120" w:rsidP="00D46120">
            <w:pPr>
              <w:jc w:val="center"/>
              <w:rPr>
                <w:b/>
                <w:bCs/>
                <w:sz w:val="16"/>
                <w:szCs w:val="16"/>
              </w:rPr>
            </w:pPr>
            <w:r w:rsidRPr="0083393A">
              <w:rPr>
                <w:b/>
                <w:bCs/>
                <w:sz w:val="16"/>
                <w:szCs w:val="16"/>
              </w:rPr>
              <w:t>7</w:t>
            </w:r>
          </w:p>
        </w:tc>
        <w:tc>
          <w:tcPr>
            <w:tcW w:w="1652" w:type="dxa"/>
            <w:noWrap/>
            <w:hideMark/>
          </w:tcPr>
          <w:p w14:paraId="47684EB5" w14:textId="77777777" w:rsidR="00D46120" w:rsidRPr="0083393A" w:rsidRDefault="00D46120" w:rsidP="00D46120">
            <w:pPr>
              <w:jc w:val="center"/>
              <w:rPr>
                <w:b/>
                <w:bCs/>
                <w:sz w:val="16"/>
                <w:szCs w:val="16"/>
              </w:rPr>
            </w:pPr>
            <w:r w:rsidRPr="0083393A">
              <w:rPr>
                <w:b/>
                <w:bCs/>
                <w:sz w:val="16"/>
                <w:szCs w:val="16"/>
              </w:rPr>
              <w:t>T</w:t>
            </w:r>
            <w:r w:rsidRPr="0083393A">
              <w:rPr>
                <w:b/>
                <w:bCs/>
                <w:sz w:val="16"/>
                <w:szCs w:val="16"/>
                <w:vertAlign w:val="subscript"/>
              </w:rPr>
              <w:t>TP</w:t>
            </w:r>
            <w:r w:rsidRPr="0083393A">
              <w:rPr>
                <w:b/>
                <w:bCs/>
                <w:sz w:val="16"/>
                <w:szCs w:val="16"/>
              </w:rPr>
              <w:t>= (T</w:t>
            </w:r>
            <w:r w:rsidRPr="0083393A">
              <w:rPr>
                <w:b/>
                <w:bCs/>
                <w:sz w:val="16"/>
                <w:szCs w:val="16"/>
                <w:vertAlign w:val="subscript"/>
              </w:rPr>
              <w:t>O</w:t>
            </w:r>
            <w:r w:rsidRPr="0083393A">
              <w:rPr>
                <w:b/>
                <w:bCs/>
                <w:sz w:val="16"/>
                <w:szCs w:val="16"/>
              </w:rPr>
              <w:t>+4*T</w:t>
            </w:r>
            <w:r w:rsidRPr="0083393A">
              <w:rPr>
                <w:b/>
                <w:bCs/>
                <w:sz w:val="16"/>
                <w:szCs w:val="16"/>
                <w:vertAlign w:val="subscript"/>
              </w:rPr>
              <w:t>ML</w:t>
            </w:r>
            <w:r w:rsidRPr="0083393A">
              <w:rPr>
                <w:b/>
                <w:bCs/>
                <w:sz w:val="16"/>
                <w:szCs w:val="16"/>
              </w:rPr>
              <w:t>+T</w:t>
            </w:r>
            <w:r w:rsidRPr="0083393A">
              <w:rPr>
                <w:b/>
                <w:bCs/>
                <w:sz w:val="16"/>
                <w:szCs w:val="16"/>
                <w:vertAlign w:val="subscript"/>
              </w:rPr>
              <w:t>P</w:t>
            </w:r>
            <w:r w:rsidRPr="0083393A">
              <w:rPr>
                <w:b/>
                <w:bCs/>
                <w:sz w:val="16"/>
                <w:szCs w:val="16"/>
              </w:rPr>
              <w:t>)/6</w:t>
            </w:r>
          </w:p>
        </w:tc>
        <w:tc>
          <w:tcPr>
            <w:tcW w:w="982" w:type="dxa"/>
            <w:noWrap/>
            <w:hideMark/>
          </w:tcPr>
          <w:p w14:paraId="07A049E7" w14:textId="77777777" w:rsidR="00D46120" w:rsidRPr="0083393A" w:rsidRDefault="00D46120" w:rsidP="00D46120">
            <w:pPr>
              <w:jc w:val="center"/>
              <w:rPr>
                <w:b/>
                <w:bCs/>
                <w:sz w:val="16"/>
                <w:szCs w:val="16"/>
              </w:rPr>
            </w:pPr>
            <w:bookmarkStart w:id="10" w:name="RANGE!G35"/>
            <w:r w:rsidRPr="0083393A">
              <w:rPr>
                <w:b/>
                <w:bCs/>
                <w:sz w:val="16"/>
                <w:szCs w:val="16"/>
              </w:rPr>
              <w:t>3.5</w:t>
            </w:r>
            <w:bookmarkEnd w:id="10"/>
          </w:p>
        </w:tc>
      </w:tr>
      <w:tr w:rsidR="00D46120" w:rsidRPr="0083393A" w14:paraId="58952A96" w14:textId="77777777" w:rsidTr="00D46120">
        <w:trPr>
          <w:trHeight w:val="360"/>
          <w:jc w:val="center"/>
        </w:trPr>
        <w:tc>
          <w:tcPr>
            <w:tcW w:w="1665" w:type="dxa"/>
            <w:noWrap/>
            <w:hideMark/>
          </w:tcPr>
          <w:p w14:paraId="4AF6D387" w14:textId="77777777" w:rsidR="00D46120" w:rsidRPr="0083393A" w:rsidRDefault="00D46120" w:rsidP="00D46120">
            <w:pPr>
              <w:rPr>
                <w:b/>
                <w:bCs/>
                <w:sz w:val="16"/>
                <w:szCs w:val="16"/>
              </w:rPr>
            </w:pPr>
            <w:r w:rsidRPr="0083393A">
              <w:rPr>
                <w:b/>
                <w:bCs/>
                <w:sz w:val="16"/>
                <w:szCs w:val="16"/>
              </w:rPr>
              <w:t>t8_AcceptanceBL</w:t>
            </w:r>
          </w:p>
        </w:tc>
        <w:tc>
          <w:tcPr>
            <w:tcW w:w="1134" w:type="dxa"/>
            <w:noWrap/>
            <w:hideMark/>
          </w:tcPr>
          <w:p w14:paraId="7A1DBA28" w14:textId="77777777" w:rsidR="00D46120" w:rsidRPr="0083393A" w:rsidRDefault="00D46120" w:rsidP="00D46120">
            <w:pPr>
              <w:jc w:val="center"/>
              <w:rPr>
                <w:b/>
                <w:bCs/>
                <w:sz w:val="16"/>
                <w:szCs w:val="16"/>
              </w:rPr>
            </w:pPr>
            <w:r w:rsidRPr="0083393A">
              <w:rPr>
                <w:b/>
                <w:bCs/>
                <w:sz w:val="16"/>
                <w:szCs w:val="16"/>
              </w:rPr>
              <w:t>2</w:t>
            </w:r>
          </w:p>
        </w:tc>
        <w:tc>
          <w:tcPr>
            <w:tcW w:w="1134" w:type="dxa"/>
            <w:noWrap/>
            <w:hideMark/>
          </w:tcPr>
          <w:p w14:paraId="617B81BF" w14:textId="77777777" w:rsidR="00D46120" w:rsidRPr="0083393A" w:rsidRDefault="00D46120" w:rsidP="00D46120">
            <w:pPr>
              <w:jc w:val="center"/>
              <w:rPr>
                <w:b/>
                <w:bCs/>
                <w:sz w:val="16"/>
                <w:szCs w:val="16"/>
              </w:rPr>
            </w:pPr>
            <w:r w:rsidRPr="0083393A">
              <w:rPr>
                <w:b/>
                <w:bCs/>
                <w:sz w:val="16"/>
                <w:szCs w:val="16"/>
              </w:rPr>
              <w:t>3</w:t>
            </w:r>
          </w:p>
        </w:tc>
        <w:tc>
          <w:tcPr>
            <w:tcW w:w="1134" w:type="dxa"/>
            <w:noWrap/>
            <w:hideMark/>
          </w:tcPr>
          <w:p w14:paraId="5A2D67E8" w14:textId="77777777" w:rsidR="00D46120" w:rsidRPr="0083393A" w:rsidRDefault="00D46120" w:rsidP="00D46120">
            <w:pPr>
              <w:jc w:val="center"/>
              <w:rPr>
                <w:b/>
                <w:bCs/>
                <w:sz w:val="16"/>
                <w:szCs w:val="16"/>
              </w:rPr>
            </w:pPr>
            <w:r w:rsidRPr="0083393A">
              <w:rPr>
                <w:b/>
                <w:bCs/>
                <w:sz w:val="16"/>
                <w:szCs w:val="16"/>
              </w:rPr>
              <w:t>7</w:t>
            </w:r>
          </w:p>
        </w:tc>
        <w:tc>
          <w:tcPr>
            <w:tcW w:w="1652" w:type="dxa"/>
            <w:noWrap/>
            <w:hideMark/>
          </w:tcPr>
          <w:p w14:paraId="1AF82239" w14:textId="77777777" w:rsidR="00D46120" w:rsidRPr="0083393A" w:rsidRDefault="00D46120" w:rsidP="00D46120">
            <w:pPr>
              <w:jc w:val="center"/>
              <w:rPr>
                <w:b/>
                <w:bCs/>
                <w:sz w:val="16"/>
                <w:szCs w:val="16"/>
              </w:rPr>
            </w:pPr>
            <w:r w:rsidRPr="0083393A">
              <w:rPr>
                <w:b/>
                <w:bCs/>
                <w:sz w:val="16"/>
                <w:szCs w:val="16"/>
              </w:rPr>
              <w:t>T</w:t>
            </w:r>
            <w:r w:rsidRPr="0083393A">
              <w:rPr>
                <w:b/>
                <w:bCs/>
                <w:sz w:val="16"/>
                <w:szCs w:val="16"/>
                <w:vertAlign w:val="subscript"/>
              </w:rPr>
              <w:t>TP</w:t>
            </w:r>
            <w:r w:rsidRPr="0083393A">
              <w:rPr>
                <w:b/>
                <w:bCs/>
                <w:sz w:val="16"/>
                <w:szCs w:val="16"/>
              </w:rPr>
              <w:t>= (T</w:t>
            </w:r>
            <w:r w:rsidRPr="0083393A">
              <w:rPr>
                <w:b/>
                <w:bCs/>
                <w:sz w:val="16"/>
                <w:szCs w:val="16"/>
                <w:vertAlign w:val="subscript"/>
              </w:rPr>
              <w:t>O</w:t>
            </w:r>
            <w:r w:rsidRPr="0083393A">
              <w:rPr>
                <w:b/>
                <w:bCs/>
                <w:sz w:val="16"/>
                <w:szCs w:val="16"/>
              </w:rPr>
              <w:t>+4*T</w:t>
            </w:r>
            <w:r w:rsidRPr="0083393A">
              <w:rPr>
                <w:b/>
                <w:bCs/>
                <w:sz w:val="16"/>
                <w:szCs w:val="16"/>
                <w:vertAlign w:val="subscript"/>
              </w:rPr>
              <w:t>ML</w:t>
            </w:r>
            <w:r w:rsidRPr="0083393A">
              <w:rPr>
                <w:b/>
                <w:bCs/>
                <w:sz w:val="16"/>
                <w:szCs w:val="16"/>
              </w:rPr>
              <w:t>+T</w:t>
            </w:r>
            <w:r w:rsidRPr="0083393A">
              <w:rPr>
                <w:b/>
                <w:bCs/>
                <w:sz w:val="16"/>
                <w:szCs w:val="16"/>
                <w:vertAlign w:val="subscript"/>
              </w:rPr>
              <w:t>P</w:t>
            </w:r>
            <w:r w:rsidRPr="0083393A">
              <w:rPr>
                <w:b/>
                <w:bCs/>
                <w:sz w:val="16"/>
                <w:szCs w:val="16"/>
              </w:rPr>
              <w:t>)/6</w:t>
            </w:r>
          </w:p>
        </w:tc>
        <w:tc>
          <w:tcPr>
            <w:tcW w:w="982" w:type="dxa"/>
            <w:noWrap/>
            <w:hideMark/>
          </w:tcPr>
          <w:p w14:paraId="3C45B09C" w14:textId="77777777" w:rsidR="00D46120" w:rsidRPr="0083393A" w:rsidRDefault="00D46120" w:rsidP="00D46120">
            <w:pPr>
              <w:jc w:val="center"/>
              <w:rPr>
                <w:b/>
                <w:bCs/>
                <w:sz w:val="16"/>
                <w:szCs w:val="16"/>
              </w:rPr>
            </w:pPr>
            <w:bookmarkStart w:id="11" w:name="RANGE!G36"/>
            <w:r w:rsidRPr="0083393A">
              <w:rPr>
                <w:b/>
                <w:bCs/>
                <w:sz w:val="16"/>
                <w:szCs w:val="16"/>
              </w:rPr>
              <w:t>3.5</w:t>
            </w:r>
            <w:bookmarkEnd w:id="11"/>
          </w:p>
        </w:tc>
      </w:tr>
      <w:tr w:rsidR="00D46120" w:rsidRPr="0083393A" w14:paraId="3B1C72D0" w14:textId="77777777" w:rsidTr="00D46120">
        <w:trPr>
          <w:trHeight w:val="375"/>
          <w:jc w:val="center"/>
        </w:trPr>
        <w:tc>
          <w:tcPr>
            <w:tcW w:w="1665" w:type="dxa"/>
            <w:noWrap/>
            <w:hideMark/>
          </w:tcPr>
          <w:p w14:paraId="6D8F9521" w14:textId="77777777" w:rsidR="00D46120" w:rsidRPr="0083393A" w:rsidRDefault="00D46120" w:rsidP="00D46120">
            <w:pPr>
              <w:rPr>
                <w:b/>
                <w:bCs/>
                <w:sz w:val="16"/>
                <w:szCs w:val="16"/>
              </w:rPr>
            </w:pPr>
            <w:r w:rsidRPr="0083393A">
              <w:rPr>
                <w:b/>
                <w:bCs/>
                <w:sz w:val="16"/>
                <w:szCs w:val="16"/>
              </w:rPr>
              <w:lastRenderedPageBreak/>
              <w:t>t9_HandoverBL</w:t>
            </w:r>
          </w:p>
        </w:tc>
        <w:tc>
          <w:tcPr>
            <w:tcW w:w="1134" w:type="dxa"/>
            <w:noWrap/>
            <w:hideMark/>
          </w:tcPr>
          <w:p w14:paraId="38590E9F" w14:textId="77777777" w:rsidR="00D46120" w:rsidRPr="0083393A" w:rsidRDefault="00D46120" w:rsidP="00D46120">
            <w:pPr>
              <w:jc w:val="center"/>
              <w:rPr>
                <w:b/>
                <w:bCs/>
                <w:sz w:val="16"/>
                <w:szCs w:val="16"/>
              </w:rPr>
            </w:pPr>
            <w:r w:rsidRPr="0083393A">
              <w:rPr>
                <w:b/>
                <w:bCs/>
                <w:sz w:val="16"/>
                <w:szCs w:val="16"/>
              </w:rPr>
              <w:t>6</w:t>
            </w:r>
          </w:p>
        </w:tc>
        <w:tc>
          <w:tcPr>
            <w:tcW w:w="1134" w:type="dxa"/>
            <w:noWrap/>
            <w:hideMark/>
          </w:tcPr>
          <w:p w14:paraId="4B92B883" w14:textId="77777777" w:rsidR="00D46120" w:rsidRPr="0083393A" w:rsidRDefault="00D46120" w:rsidP="00D46120">
            <w:pPr>
              <w:jc w:val="center"/>
              <w:rPr>
                <w:b/>
                <w:bCs/>
                <w:sz w:val="16"/>
                <w:szCs w:val="16"/>
              </w:rPr>
            </w:pPr>
            <w:r w:rsidRPr="0083393A">
              <w:rPr>
                <w:b/>
                <w:bCs/>
                <w:sz w:val="16"/>
                <w:szCs w:val="16"/>
              </w:rPr>
              <w:t>8</w:t>
            </w:r>
          </w:p>
        </w:tc>
        <w:tc>
          <w:tcPr>
            <w:tcW w:w="1134" w:type="dxa"/>
            <w:noWrap/>
            <w:hideMark/>
          </w:tcPr>
          <w:p w14:paraId="56BD4FC2" w14:textId="77777777" w:rsidR="00D46120" w:rsidRPr="0083393A" w:rsidRDefault="00D46120" w:rsidP="00D46120">
            <w:pPr>
              <w:jc w:val="center"/>
              <w:rPr>
                <w:b/>
                <w:bCs/>
                <w:sz w:val="16"/>
                <w:szCs w:val="16"/>
              </w:rPr>
            </w:pPr>
            <w:r w:rsidRPr="0083393A">
              <w:rPr>
                <w:b/>
                <w:bCs/>
                <w:sz w:val="16"/>
                <w:szCs w:val="16"/>
              </w:rPr>
              <w:t>10</w:t>
            </w:r>
          </w:p>
        </w:tc>
        <w:tc>
          <w:tcPr>
            <w:tcW w:w="1652" w:type="dxa"/>
            <w:noWrap/>
            <w:hideMark/>
          </w:tcPr>
          <w:p w14:paraId="37A99AF8" w14:textId="77777777" w:rsidR="00D46120" w:rsidRPr="0083393A" w:rsidRDefault="00D46120" w:rsidP="00D46120">
            <w:pPr>
              <w:jc w:val="center"/>
              <w:rPr>
                <w:b/>
                <w:bCs/>
                <w:sz w:val="16"/>
                <w:szCs w:val="16"/>
              </w:rPr>
            </w:pPr>
            <w:r w:rsidRPr="0083393A">
              <w:rPr>
                <w:b/>
                <w:bCs/>
                <w:sz w:val="16"/>
                <w:szCs w:val="16"/>
              </w:rPr>
              <w:t>T</w:t>
            </w:r>
            <w:r w:rsidRPr="0083393A">
              <w:rPr>
                <w:b/>
                <w:bCs/>
                <w:sz w:val="16"/>
                <w:szCs w:val="16"/>
                <w:vertAlign w:val="subscript"/>
              </w:rPr>
              <w:t>TP</w:t>
            </w:r>
            <w:r w:rsidRPr="0083393A">
              <w:rPr>
                <w:b/>
                <w:bCs/>
                <w:sz w:val="16"/>
                <w:szCs w:val="16"/>
              </w:rPr>
              <w:t>= (T</w:t>
            </w:r>
            <w:r w:rsidRPr="0083393A">
              <w:rPr>
                <w:b/>
                <w:bCs/>
                <w:sz w:val="16"/>
                <w:szCs w:val="16"/>
                <w:vertAlign w:val="subscript"/>
              </w:rPr>
              <w:t>O</w:t>
            </w:r>
            <w:r w:rsidRPr="0083393A">
              <w:rPr>
                <w:b/>
                <w:bCs/>
                <w:sz w:val="16"/>
                <w:szCs w:val="16"/>
              </w:rPr>
              <w:t>+4*T</w:t>
            </w:r>
            <w:r w:rsidRPr="0083393A">
              <w:rPr>
                <w:b/>
                <w:bCs/>
                <w:sz w:val="16"/>
                <w:szCs w:val="16"/>
                <w:vertAlign w:val="subscript"/>
              </w:rPr>
              <w:t>ML</w:t>
            </w:r>
            <w:r w:rsidRPr="0083393A">
              <w:rPr>
                <w:b/>
                <w:bCs/>
                <w:sz w:val="16"/>
                <w:szCs w:val="16"/>
              </w:rPr>
              <w:t>+T</w:t>
            </w:r>
            <w:r w:rsidRPr="0083393A">
              <w:rPr>
                <w:b/>
                <w:bCs/>
                <w:sz w:val="16"/>
                <w:szCs w:val="16"/>
                <w:vertAlign w:val="subscript"/>
              </w:rPr>
              <w:t>P</w:t>
            </w:r>
            <w:r w:rsidRPr="0083393A">
              <w:rPr>
                <w:b/>
                <w:bCs/>
                <w:sz w:val="16"/>
                <w:szCs w:val="16"/>
              </w:rPr>
              <w:t>)/6</w:t>
            </w:r>
          </w:p>
        </w:tc>
        <w:tc>
          <w:tcPr>
            <w:tcW w:w="982" w:type="dxa"/>
            <w:noWrap/>
            <w:hideMark/>
          </w:tcPr>
          <w:p w14:paraId="00AAFF9A" w14:textId="77777777" w:rsidR="00D46120" w:rsidRPr="0083393A" w:rsidRDefault="00D46120" w:rsidP="00D46120">
            <w:pPr>
              <w:jc w:val="center"/>
              <w:rPr>
                <w:b/>
                <w:bCs/>
                <w:sz w:val="16"/>
                <w:szCs w:val="16"/>
              </w:rPr>
            </w:pPr>
            <w:bookmarkStart w:id="12" w:name="RANGE!G37"/>
            <w:r w:rsidRPr="0083393A">
              <w:rPr>
                <w:b/>
                <w:bCs/>
                <w:sz w:val="16"/>
                <w:szCs w:val="16"/>
              </w:rPr>
              <w:t>8.0</w:t>
            </w:r>
            <w:bookmarkEnd w:id="12"/>
          </w:p>
        </w:tc>
      </w:tr>
    </w:tbl>
    <w:p w14:paraId="4D6D746C" w14:textId="385BC2EF" w:rsidR="00D46120" w:rsidRPr="0013433B" w:rsidRDefault="00D46120" w:rsidP="00D46120">
      <w:pPr>
        <w:pStyle w:val="Caption"/>
        <w:jc w:val="center"/>
        <w:rPr>
          <w:b/>
          <w:bCs/>
          <w:lang w:val="en-US"/>
        </w:rPr>
      </w:pPr>
      <w:bookmarkStart w:id="13" w:name="_Ref35793773"/>
      <w:bookmarkStart w:id="14" w:name="_Toc35971022"/>
      <w:r w:rsidRPr="0013433B">
        <w:rPr>
          <w:lang w:val="en-US"/>
        </w:rPr>
        <w:t xml:space="preserve">Table </w:t>
      </w:r>
      <w:r w:rsidR="0079113A">
        <w:rPr>
          <w:lang w:val="en-US"/>
        </w:rPr>
        <w:fldChar w:fldCharType="begin"/>
      </w:r>
      <w:r w:rsidR="0079113A">
        <w:rPr>
          <w:lang w:val="en-US"/>
        </w:rPr>
        <w:instrText xml:space="preserve"> SEQ Table \* ARABIC </w:instrText>
      </w:r>
      <w:r w:rsidR="0079113A">
        <w:rPr>
          <w:lang w:val="en-US"/>
        </w:rPr>
        <w:fldChar w:fldCharType="separate"/>
      </w:r>
      <w:r w:rsidR="0079113A">
        <w:rPr>
          <w:noProof/>
          <w:lang w:val="en-US"/>
        </w:rPr>
        <w:t>1</w:t>
      </w:r>
      <w:r w:rsidR="0079113A">
        <w:rPr>
          <w:lang w:val="en-US"/>
        </w:rPr>
        <w:fldChar w:fldCharType="end"/>
      </w:r>
      <w:bookmarkEnd w:id="13"/>
      <w:r w:rsidRPr="0013433B">
        <w:rPr>
          <w:lang w:val="en-US"/>
        </w:rPr>
        <w:t>. Three-Point Estimates for Deployment Execution activities</w:t>
      </w:r>
      <w:bookmarkEnd w:id="14"/>
    </w:p>
    <w:p w14:paraId="7B1836E3" w14:textId="77777777" w:rsidR="00D46120" w:rsidRDefault="00D46120" w:rsidP="00D46120">
      <w:pPr>
        <w:jc w:val="both"/>
      </w:pPr>
      <w:r>
        <w:t>From the above table:</w:t>
      </w:r>
    </w:p>
    <w:p w14:paraId="6AFE92A1" w14:textId="74E14A05" w:rsidR="00D46120" w:rsidRDefault="00D46120" w:rsidP="00363B86">
      <w:pPr>
        <w:pStyle w:val="ListParagraph"/>
        <w:numPr>
          <w:ilvl w:val="0"/>
          <w:numId w:val="2"/>
        </w:numPr>
        <w:jc w:val="both"/>
      </w:pPr>
      <w:r>
        <w:t xml:space="preserve">The column </w:t>
      </w:r>
      <w:r w:rsidR="00CA2084">
        <w:t>ID</w:t>
      </w:r>
      <w:commentRangeStart w:id="15"/>
      <w:r>
        <w:t xml:space="preserve"> </w:t>
      </w:r>
      <w:commentRangeEnd w:id="15"/>
      <w:r w:rsidR="00F73BB2">
        <w:rPr>
          <w:rStyle w:val="CommentReference"/>
        </w:rPr>
        <w:commentReference w:id="15"/>
      </w:r>
      <w:r>
        <w:t xml:space="preserve">contains the codename for the Activity Durations in between Deployment Milestones, introduced in Section </w:t>
      </w:r>
      <w:r w:rsidR="00CA2084">
        <w:t>3.1.1</w:t>
      </w:r>
    </w:p>
    <w:p w14:paraId="434C278B" w14:textId="34C7D13A" w:rsidR="00D46120" w:rsidRDefault="00D46120" w:rsidP="00363B86">
      <w:pPr>
        <w:pStyle w:val="ListParagraph"/>
        <w:numPr>
          <w:ilvl w:val="0"/>
          <w:numId w:val="2"/>
        </w:numPr>
        <w:jc w:val="both"/>
      </w:pPr>
      <w:r>
        <w:t>From the Optimistic Estimate, Pessimistic Estimate and Most Likely Duration, a beta-distribution equation</w:t>
      </w:r>
      <w:r w:rsidR="006E27E4">
        <w:t xml:space="preserve"> is used</w:t>
      </w:r>
      <w:r>
        <w:t xml:space="preserve"> to obtain the Expected Duration Estimate in days.</w:t>
      </w:r>
    </w:p>
    <w:p w14:paraId="5B95DF7A" w14:textId="77777777" w:rsidR="00D46120" w:rsidRPr="00FB3712" w:rsidRDefault="00D46120" w:rsidP="00363B86">
      <w:pPr>
        <w:pStyle w:val="ListParagraph"/>
        <w:numPr>
          <w:ilvl w:val="0"/>
          <w:numId w:val="2"/>
        </w:numPr>
        <w:jc w:val="both"/>
      </w:pPr>
      <w:r>
        <w:t xml:space="preserve">The values above are subject to change to the </w:t>
      </w:r>
      <w:proofErr w:type="gramStart"/>
      <w:r>
        <w:t>particular deployment</w:t>
      </w:r>
      <w:proofErr w:type="gramEnd"/>
      <w:r>
        <w:t xml:space="preserve"> scenario</w:t>
      </w:r>
    </w:p>
    <w:p w14:paraId="1FAB3F50" w14:textId="7E7E00C9" w:rsidR="00D46120" w:rsidRDefault="00D46120" w:rsidP="00D46120">
      <w:pPr>
        <w:jc w:val="both"/>
      </w:pPr>
      <w:r>
        <w:t>Similarly, th</w:t>
      </w:r>
      <w:r w:rsidR="00A204C9">
        <w:t>is</w:t>
      </w:r>
      <w:r>
        <w:t xml:space="preserve"> technique</w:t>
      </w:r>
      <w:r w:rsidR="00A204C9">
        <w:t xml:space="preserve"> </w:t>
      </w:r>
      <w:r>
        <w:t xml:space="preserve">can be applied for costs, which are more </w:t>
      </w:r>
      <w:proofErr w:type="gramStart"/>
      <w:r>
        <w:t>closely linked</w:t>
      </w:r>
      <w:proofErr w:type="gramEnd"/>
      <w:r>
        <w:t xml:space="preserve"> with contractual clauses, and negotiations to be carried out by the Supply Chain Management team.</w:t>
      </w:r>
      <w:r w:rsidR="004869AD">
        <w:t xml:space="preserve"> The NaaS Operator is encouraged to use the </w:t>
      </w:r>
      <w:r w:rsidR="004869AD" w:rsidRPr="004869AD">
        <w:rPr>
          <w:color w:val="FF0000"/>
        </w:rPr>
        <w:t>Duration Estimating Template</w:t>
      </w:r>
      <w:r w:rsidR="004869AD">
        <w:t xml:space="preserve"> to perform these estimations according to its own parameters.</w:t>
      </w:r>
      <w:bookmarkEnd w:id="0"/>
    </w:p>
    <w:sectPr w:rsidR="00D46120" w:rsidSect="0065583A">
      <w:headerReference w:type="default" r:id="rId12"/>
      <w:footerReference w:type="default" r:id="rId13"/>
      <w:type w:val="continuous"/>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teleworx" w:date="2020-04-22T20:53:00Z" w:initials="T">
    <w:p w14:paraId="585A240C" w14:textId="591669B6" w:rsidR="00CA2084" w:rsidRDefault="00CA2084">
      <w:pPr>
        <w:pStyle w:val="CommentText"/>
      </w:pPr>
      <w:r>
        <w:rPr>
          <w:rStyle w:val="CommentReference"/>
        </w:rPr>
        <w:annotationRef/>
      </w:r>
      <w:r>
        <w:t>Is this column shown in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5A240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5A240C" w16cid:durableId="224D49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65CDF" w14:textId="77777777" w:rsidR="00002811" w:rsidRDefault="00002811">
      <w:pPr>
        <w:spacing w:after="0" w:line="240" w:lineRule="auto"/>
      </w:pPr>
      <w:r>
        <w:separator/>
      </w:r>
    </w:p>
  </w:endnote>
  <w:endnote w:type="continuationSeparator" w:id="0">
    <w:p w14:paraId="345733BD" w14:textId="77777777" w:rsidR="00002811" w:rsidRDefault="00002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kia Pure Headline Light">
    <w:altName w:val="Sylfaen"/>
    <w:charset w:val="00"/>
    <w:family w:val="swiss"/>
    <w:pitch w:val="variable"/>
    <w:sig w:usb0="A00006EF" w:usb1="5000205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6962A" w14:textId="77777777" w:rsidR="00CA2084" w:rsidRDefault="00CA2084">
    <w:pPr>
      <w:pBdr>
        <w:top w:val="nil"/>
        <w:left w:val="nil"/>
        <w:bottom w:val="nil"/>
        <w:right w:val="nil"/>
        <w:between w:val="nil"/>
      </w:pBdr>
      <w:tabs>
        <w:tab w:val="center" w:pos="4419"/>
        <w:tab w:val="right" w:pos="8838"/>
      </w:tabs>
      <w:spacing w:after="0" w:line="240" w:lineRule="auto"/>
      <w:jc w:val="center"/>
      <w:rPr>
        <w:color w:val="000000"/>
      </w:rPr>
    </w:pPr>
    <w:bookmarkStart w:id="18" w:name="_Hlk39509402"/>
    <w:bookmarkStart w:id="19" w:name="_Hlk39509403"/>
    <w:r>
      <w:rPr>
        <w:b/>
        <w:color w:val="000000"/>
        <w:sz w:val="20"/>
        <w:szCs w:val="20"/>
      </w:rPr>
      <w:t>TELEWORX LLC © 2020</w:t>
    </w:r>
    <w:r>
      <w:rPr>
        <w:noProof/>
        <w:lang w:val="es-MX"/>
      </w:rPr>
      <mc:AlternateContent>
        <mc:Choice Requires="wps">
          <w:drawing>
            <wp:anchor distT="0" distB="0" distL="114300" distR="114300" simplePos="0" relativeHeight="251660288" behindDoc="0" locked="0" layoutInCell="1" hidden="0" allowOverlap="1" wp14:anchorId="73C3788E" wp14:editId="2CF4DAFF">
              <wp:simplePos x="0" y="0"/>
              <wp:positionH relativeFrom="column">
                <wp:posOffset>-266699</wp:posOffset>
              </wp:positionH>
              <wp:positionV relativeFrom="paragraph">
                <wp:posOffset>-203199</wp:posOffset>
              </wp:positionV>
              <wp:extent cx="618611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252943" y="3780000"/>
                        <a:ext cx="618611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45B6368" id="_x0000_t32" coordsize="21600,21600" o:spt="32" o:oned="t" path="m,l21600,21600e" filled="f">
              <v:path arrowok="t" fillok="f" o:connecttype="none"/>
              <o:lock v:ext="edit" shapetype="t"/>
            </v:shapetype>
            <v:shape id="Conector recto de flecha 2" o:spid="_x0000_s1026" type="#_x0000_t32" style="position:absolute;margin-left:-21pt;margin-top:-16pt;width:487.1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" strokecolor="black [3200]">
              <v:stroke startarrowwidth="narrow" startarrowlength="short" endarrowwidth="narrow" endarrowlength="short" joinstyle="miter"/>
            </v:shape>
          </w:pict>
        </mc:Fallback>
      </mc:AlternateContent>
    </w:r>
    <w:bookmarkEnd w:id="18"/>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BC50A" w14:textId="77777777" w:rsidR="00002811" w:rsidRDefault="00002811">
      <w:pPr>
        <w:spacing w:after="0" w:line="240" w:lineRule="auto"/>
      </w:pPr>
      <w:r>
        <w:separator/>
      </w:r>
    </w:p>
  </w:footnote>
  <w:footnote w:type="continuationSeparator" w:id="0">
    <w:p w14:paraId="53151E17" w14:textId="77777777" w:rsidR="00002811" w:rsidRDefault="00002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34A4E" w14:textId="77777777" w:rsidR="00CA2084" w:rsidRDefault="00CA2084">
    <w:pPr>
      <w:pBdr>
        <w:top w:val="nil"/>
        <w:left w:val="nil"/>
        <w:bottom w:val="nil"/>
        <w:right w:val="nil"/>
        <w:between w:val="nil"/>
      </w:pBdr>
      <w:tabs>
        <w:tab w:val="center" w:pos="4419"/>
        <w:tab w:val="right" w:pos="8838"/>
      </w:tabs>
      <w:spacing w:after="0" w:line="240" w:lineRule="auto"/>
      <w:rPr>
        <w:color w:val="000000"/>
      </w:rPr>
    </w:pPr>
    <w:bookmarkStart w:id="16" w:name="_Hlk39509385"/>
    <w:bookmarkStart w:id="17" w:name="_Hlk39509386"/>
    <w:r>
      <w:rPr>
        <w:noProof/>
        <w:lang w:val="es-MX"/>
      </w:rPr>
      <w:drawing>
        <wp:anchor distT="0" distB="0" distL="0" distR="0" simplePos="0" relativeHeight="251658240" behindDoc="0" locked="0" layoutInCell="1" hidden="0" allowOverlap="1" wp14:anchorId="46D6E7CC" wp14:editId="3D8751DB">
          <wp:simplePos x="0" y="0"/>
          <wp:positionH relativeFrom="column">
            <wp:posOffset>-685799</wp:posOffset>
          </wp:positionH>
          <wp:positionV relativeFrom="paragraph">
            <wp:posOffset>-181609</wp:posOffset>
          </wp:positionV>
          <wp:extent cx="1353787" cy="286089"/>
          <wp:effectExtent l="0" t="0" r="0" b="0"/>
          <wp:wrapSquare wrapText="bothSides" distT="0" distB="0" distL="0" distR="0"/>
          <wp:docPr id="6" name="image12.png" descr="C:\Users\gines\AppData\Local\Microsoft\Windows\INetCache\Content.Word\TELEWORX-USA#1.bmp"/>
          <wp:cNvGraphicFramePr/>
          <a:graphic xmlns:a="http://schemas.openxmlformats.org/drawingml/2006/main">
            <a:graphicData uri="http://schemas.openxmlformats.org/drawingml/2006/picture">
              <pic:pic xmlns:pic="http://schemas.openxmlformats.org/drawingml/2006/picture">
                <pic:nvPicPr>
                  <pic:cNvPr id="0" name="image12.png" descr="C:\Users\gines\AppData\Local\Microsoft\Windows\INetCache\Content.Word\TELEWORX-USA#1.bmp"/>
                  <pic:cNvPicPr preferRelativeResize="0"/>
                </pic:nvPicPr>
                <pic:blipFill>
                  <a:blip r:embed="rId1"/>
                  <a:srcRect/>
                  <a:stretch>
                    <a:fillRect/>
                  </a:stretch>
                </pic:blipFill>
                <pic:spPr>
                  <a:xfrm>
                    <a:off x="0" y="0"/>
                    <a:ext cx="1353787" cy="286089"/>
                  </a:xfrm>
                  <a:prstGeom prst="rect">
                    <a:avLst/>
                  </a:prstGeom>
                  <a:ln/>
                </pic:spPr>
              </pic:pic>
            </a:graphicData>
          </a:graphic>
        </wp:anchor>
      </w:drawing>
    </w:r>
    <w:r>
      <w:rPr>
        <w:noProof/>
        <w:lang w:val="es-MX"/>
      </w:rPr>
      <mc:AlternateContent>
        <mc:Choice Requires="wps">
          <w:drawing>
            <wp:anchor distT="0" distB="0" distL="114300" distR="114300" simplePos="0" relativeHeight="251659264" behindDoc="0" locked="0" layoutInCell="1" hidden="0" allowOverlap="1" wp14:anchorId="0B5C02BF" wp14:editId="63E2181A">
              <wp:simplePos x="0" y="0"/>
              <wp:positionH relativeFrom="column">
                <wp:posOffset>-266699</wp:posOffset>
              </wp:positionH>
              <wp:positionV relativeFrom="paragraph">
                <wp:posOffset>215900</wp:posOffset>
              </wp:positionV>
              <wp:extent cx="6186115"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252943" y="3780000"/>
                        <a:ext cx="618611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31EB7391" id="_x0000_t32" coordsize="21600,21600" o:spt="32" o:oned="t" path="m,l21600,21600e" filled="f">
              <v:path arrowok="t" fillok="f" o:connecttype="none"/>
              <o:lock v:ext="edit" shapetype="t"/>
            </v:shapetype>
            <v:shape id="Conector recto de flecha 3" o:spid="_x0000_s1026" type="#_x0000_t32" style="position:absolute;margin-left:-21pt;margin-top:17pt;width:487.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" strokecolor="black [3200]">
              <v:stroke startarrowwidth="narrow" startarrowlength="short" endarrowwidth="narrow" endarrowlength="short" joinstyle="miter"/>
            </v:shape>
          </w:pict>
        </mc:Fallback>
      </mc:AlternateContent>
    </w:r>
    <w:bookmarkEnd w:id="16"/>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971FA"/>
    <w:multiLevelType w:val="hybridMultilevel"/>
    <w:tmpl w:val="7B34D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80488"/>
    <w:multiLevelType w:val="hybridMultilevel"/>
    <w:tmpl w:val="E5208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92836"/>
    <w:multiLevelType w:val="hybridMultilevel"/>
    <w:tmpl w:val="AA20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2362F"/>
    <w:multiLevelType w:val="hybridMultilevel"/>
    <w:tmpl w:val="71FC57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D3EF6"/>
    <w:multiLevelType w:val="hybridMultilevel"/>
    <w:tmpl w:val="281AF5B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3A63"/>
    <w:multiLevelType w:val="multilevel"/>
    <w:tmpl w:val="6978BE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1C548F7"/>
    <w:multiLevelType w:val="hybridMultilevel"/>
    <w:tmpl w:val="FE802A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E4BA4"/>
    <w:multiLevelType w:val="hybridMultilevel"/>
    <w:tmpl w:val="213078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4964346"/>
    <w:multiLevelType w:val="hybridMultilevel"/>
    <w:tmpl w:val="34E6EB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D740B4"/>
    <w:multiLevelType w:val="hybridMultilevel"/>
    <w:tmpl w:val="D43234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272D"/>
    <w:multiLevelType w:val="hybridMultilevel"/>
    <w:tmpl w:val="298E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8532A"/>
    <w:multiLevelType w:val="hybridMultilevel"/>
    <w:tmpl w:val="39C47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70585"/>
    <w:multiLevelType w:val="hybridMultilevel"/>
    <w:tmpl w:val="BEFC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B34856"/>
    <w:multiLevelType w:val="multilevel"/>
    <w:tmpl w:val="8A78AE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D897F5E"/>
    <w:multiLevelType w:val="hybridMultilevel"/>
    <w:tmpl w:val="467A10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556546"/>
    <w:multiLevelType w:val="multilevel"/>
    <w:tmpl w:val="F808D3D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4A81D46"/>
    <w:multiLevelType w:val="hybridMultilevel"/>
    <w:tmpl w:val="71FE8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6909FC"/>
    <w:multiLevelType w:val="hybridMultilevel"/>
    <w:tmpl w:val="6FF0D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E4D0F"/>
    <w:multiLevelType w:val="multilevel"/>
    <w:tmpl w:val="FA38D060"/>
    <w:lvl w:ilvl="0">
      <w:start w:val="1"/>
      <w:numFmt w:val="decimal"/>
      <w:pStyle w:val="050-Heading1"/>
      <w:lvlText w:val="%1."/>
      <w:lvlJc w:val="left"/>
      <w:pPr>
        <w:ind w:left="720" w:hanging="360"/>
      </w:pPr>
    </w:lvl>
    <w:lvl w:ilvl="1">
      <w:start w:val="1"/>
      <w:numFmt w:val="decimal"/>
      <w:pStyle w:val="051-Heading2"/>
      <w:lvlText w:val="%1.%2"/>
      <w:lvlJc w:val="left"/>
      <w:pPr>
        <w:ind w:left="1080" w:hanging="720"/>
      </w:pPr>
    </w:lvl>
    <w:lvl w:ilvl="2">
      <w:start w:val="1"/>
      <w:numFmt w:val="decimal"/>
      <w:pStyle w:val="052-Heading3"/>
      <w:lvlText w:val="%1.%2.%3"/>
      <w:lvlJc w:val="left"/>
      <w:pPr>
        <w:ind w:left="1080" w:hanging="720"/>
      </w:pPr>
    </w:lvl>
    <w:lvl w:ilvl="3">
      <w:start w:val="1"/>
      <w:numFmt w:val="decimal"/>
      <w:pStyle w:val="053-Heading4"/>
      <w:lvlText w:val="%1.%2.%3.%4"/>
      <w:lvlJc w:val="left"/>
      <w:pPr>
        <w:ind w:left="1080" w:hanging="720"/>
      </w:pPr>
    </w:lvl>
    <w:lvl w:ilvl="4">
      <w:start w:val="1"/>
      <w:numFmt w:val="decimal"/>
      <w:pStyle w:val="054-Heading5"/>
      <w:lvlText w:val="%1.%2.%3.%4.%5"/>
      <w:lvlJc w:val="left"/>
      <w:pPr>
        <w:ind w:left="1440" w:hanging="1080"/>
      </w:pPr>
    </w:lvl>
    <w:lvl w:ilvl="5">
      <w:start w:val="1"/>
      <w:numFmt w:val="decimal"/>
      <w:pStyle w:val="055-Heading6"/>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935002"/>
    <w:multiLevelType w:val="hybridMultilevel"/>
    <w:tmpl w:val="4D5AC6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3187B38"/>
    <w:multiLevelType w:val="hybridMultilevel"/>
    <w:tmpl w:val="AA0C10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4AE5AC5"/>
    <w:multiLevelType w:val="hybridMultilevel"/>
    <w:tmpl w:val="FA6217A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2" w15:restartNumberingAfterBreak="0">
    <w:nsid w:val="5BF75E44"/>
    <w:multiLevelType w:val="hybridMultilevel"/>
    <w:tmpl w:val="38BAC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DC46172"/>
    <w:multiLevelType w:val="hybridMultilevel"/>
    <w:tmpl w:val="F998E8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05564EB"/>
    <w:multiLevelType w:val="hybridMultilevel"/>
    <w:tmpl w:val="BE6E2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04F27"/>
    <w:multiLevelType w:val="hybridMultilevel"/>
    <w:tmpl w:val="921602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31B5488"/>
    <w:multiLevelType w:val="hybridMultilevel"/>
    <w:tmpl w:val="7FAEC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0C6A97"/>
    <w:multiLevelType w:val="hybridMultilevel"/>
    <w:tmpl w:val="F39425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88E5F47"/>
    <w:multiLevelType w:val="hybridMultilevel"/>
    <w:tmpl w:val="E064E04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9" w15:restartNumberingAfterBreak="0">
    <w:nsid w:val="6B084F28"/>
    <w:multiLevelType w:val="hybridMultilevel"/>
    <w:tmpl w:val="FB2C4F2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6DC9788A"/>
    <w:multiLevelType w:val="hybridMultilevel"/>
    <w:tmpl w:val="1A42D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403C7F"/>
    <w:multiLevelType w:val="hybridMultilevel"/>
    <w:tmpl w:val="053878E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2" w15:restartNumberingAfterBreak="0">
    <w:nsid w:val="7040129E"/>
    <w:multiLevelType w:val="hybridMultilevel"/>
    <w:tmpl w:val="9174AFC6"/>
    <w:lvl w:ilvl="0" w:tplc="ABB83B4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F52CEE"/>
    <w:multiLevelType w:val="hybridMultilevel"/>
    <w:tmpl w:val="E67A9A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1F8136D"/>
    <w:multiLevelType w:val="hybridMultilevel"/>
    <w:tmpl w:val="D0CE239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2EE5A4A"/>
    <w:multiLevelType w:val="hybridMultilevel"/>
    <w:tmpl w:val="578E40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42A39C8"/>
    <w:multiLevelType w:val="hybridMultilevel"/>
    <w:tmpl w:val="B4AEE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CC6EAE"/>
    <w:multiLevelType w:val="hybridMultilevel"/>
    <w:tmpl w:val="17766E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1026BC"/>
    <w:multiLevelType w:val="hybridMultilevel"/>
    <w:tmpl w:val="6192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9751A3"/>
    <w:multiLevelType w:val="hybridMultilevel"/>
    <w:tmpl w:val="856E69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E916402"/>
    <w:multiLevelType w:val="hybridMultilevel"/>
    <w:tmpl w:val="FC4A5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4"/>
  </w:num>
  <w:num w:numId="4">
    <w:abstractNumId w:val="26"/>
  </w:num>
  <w:num w:numId="5">
    <w:abstractNumId w:val="17"/>
  </w:num>
  <w:num w:numId="6">
    <w:abstractNumId w:val="1"/>
  </w:num>
  <w:num w:numId="7">
    <w:abstractNumId w:val="11"/>
  </w:num>
  <w:num w:numId="8">
    <w:abstractNumId w:val="2"/>
  </w:num>
  <w:num w:numId="9">
    <w:abstractNumId w:val="18"/>
  </w:num>
  <w:num w:numId="10">
    <w:abstractNumId w:val="36"/>
  </w:num>
  <w:num w:numId="11">
    <w:abstractNumId w:val="16"/>
  </w:num>
  <w:num w:numId="12">
    <w:abstractNumId w:val="8"/>
  </w:num>
  <w:num w:numId="13">
    <w:abstractNumId w:val="30"/>
  </w:num>
  <w:num w:numId="14">
    <w:abstractNumId w:val="32"/>
  </w:num>
  <w:num w:numId="15">
    <w:abstractNumId w:val="4"/>
  </w:num>
  <w:num w:numId="16">
    <w:abstractNumId w:val="34"/>
  </w:num>
  <w:num w:numId="17">
    <w:abstractNumId w:val="6"/>
  </w:num>
  <w:num w:numId="18">
    <w:abstractNumId w:val="10"/>
  </w:num>
  <w:num w:numId="19">
    <w:abstractNumId w:val="12"/>
  </w:num>
  <w:num w:numId="20">
    <w:abstractNumId w:val="3"/>
  </w:num>
  <w:num w:numId="21">
    <w:abstractNumId w:val="1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5"/>
  </w:num>
  <w:num w:numId="27">
    <w:abstractNumId w:val="19"/>
  </w:num>
  <w:num w:numId="28">
    <w:abstractNumId w:val="21"/>
  </w:num>
  <w:num w:numId="29">
    <w:abstractNumId w:val="40"/>
  </w:num>
  <w:num w:numId="30">
    <w:abstractNumId w:val="7"/>
  </w:num>
  <w:num w:numId="31">
    <w:abstractNumId w:val="35"/>
  </w:num>
  <w:num w:numId="32">
    <w:abstractNumId w:val="31"/>
  </w:num>
  <w:num w:numId="33">
    <w:abstractNumId w:val="28"/>
  </w:num>
  <w:num w:numId="34">
    <w:abstractNumId w:val="27"/>
  </w:num>
  <w:num w:numId="35">
    <w:abstractNumId w:val="39"/>
  </w:num>
  <w:num w:numId="36">
    <w:abstractNumId w:val="20"/>
  </w:num>
  <w:num w:numId="37">
    <w:abstractNumId w:val="33"/>
  </w:num>
  <w:num w:numId="38">
    <w:abstractNumId w:val="23"/>
  </w:num>
  <w:num w:numId="39">
    <w:abstractNumId w:val="37"/>
  </w:num>
  <w:num w:numId="40">
    <w:abstractNumId w:val="29"/>
  </w:num>
  <w:num w:numId="41">
    <w:abstractNumId w:val="9"/>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leworx">
    <w15:presenceInfo w15:providerId="None" w15:userId="telewor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327"/>
    <w:rsid w:val="0000218F"/>
    <w:rsid w:val="00002811"/>
    <w:rsid w:val="00002E81"/>
    <w:rsid w:val="00013147"/>
    <w:rsid w:val="00020FC2"/>
    <w:rsid w:val="00021F6B"/>
    <w:rsid w:val="000230C2"/>
    <w:rsid w:val="00023276"/>
    <w:rsid w:val="00023B35"/>
    <w:rsid w:val="0002545C"/>
    <w:rsid w:val="0002766E"/>
    <w:rsid w:val="00027FC6"/>
    <w:rsid w:val="0003381A"/>
    <w:rsid w:val="0003734F"/>
    <w:rsid w:val="000373FB"/>
    <w:rsid w:val="000427DF"/>
    <w:rsid w:val="00051DAB"/>
    <w:rsid w:val="00052686"/>
    <w:rsid w:val="00053432"/>
    <w:rsid w:val="0005387D"/>
    <w:rsid w:val="00054130"/>
    <w:rsid w:val="0005744B"/>
    <w:rsid w:val="000677FD"/>
    <w:rsid w:val="00070604"/>
    <w:rsid w:val="00070C80"/>
    <w:rsid w:val="00071660"/>
    <w:rsid w:val="00072B92"/>
    <w:rsid w:val="00073576"/>
    <w:rsid w:val="000748D7"/>
    <w:rsid w:val="00080420"/>
    <w:rsid w:val="00082170"/>
    <w:rsid w:val="00082205"/>
    <w:rsid w:val="0008289C"/>
    <w:rsid w:val="00087856"/>
    <w:rsid w:val="000910A5"/>
    <w:rsid w:val="00091B8F"/>
    <w:rsid w:val="000A0131"/>
    <w:rsid w:val="000A01AB"/>
    <w:rsid w:val="000A35B8"/>
    <w:rsid w:val="000A4CFF"/>
    <w:rsid w:val="000A506F"/>
    <w:rsid w:val="000A563E"/>
    <w:rsid w:val="000B37ED"/>
    <w:rsid w:val="000B61CE"/>
    <w:rsid w:val="000C015A"/>
    <w:rsid w:val="000C225F"/>
    <w:rsid w:val="000C6B3E"/>
    <w:rsid w:val="000D078A"/>
    <w:rsid w:val="000D31F4"/>
    <w:rsid w:val="000D3FE5"/>
    <w:rsid w:val="000D3FE9"/>
    <w:rsid w:val="000D41ED"/>
    <w:rsid w:val="000D6335"/>
    <w:rsid w:val="000E0FB5"/>
    <w:rsid w:val="000E5713"/>
    <w:rsid w:val="000F27EA"/>
    <w:rsid w:val="000F2C2C"/>
    <w:rsid w:val="000F3A5B"/>
    <w:rsid w:val="000F6E93"/>
    <w:rsid w:val="000F78D7"/>
    <w:rsid w:val="00105FA8"/>
    <w:rsid w:val="00107C3B"/>
    <w:rsid w:val="001105FE"/>
    <w:rsid w:val="00110C23"/>
    <w:rsid w:val="00111D89"/>
    <w:rsid w:val="00114A93"/>
    <w:rsid w:val="00120EAF"/>
    <w:rsid w:val="0012265D"/>
    <w:rsid w:val="00124BF8"/>
    <w:rsid w:val="00125C25"/>
    <w:rsid w:val="00133FBB"/>
    <w:rsid w:val="0013433B"/>
    <w:rsid w:val="00137BA0"/>
    <w:rsid w:val="00141862"/>
    <w:rsid w:val="0014286A"/>
    <w:rsid w:val="001505EF"/>
    <w:rsid w:val="00151345"/>
    <w:rsid w:val="00151946"/>
    <w:rsid w:val="00153153"/>
    <w:rsid w:val="00153184"/>
    <w:rsid w:val="001537D0"/>
    <w:rsid w:val="00154A57"/>
    <w:rsid w:val="00154BB7"/>
    <w:rsid w:val="00154D59"/>
    <w:rsid w:val="00156D71"/>
    <w:rsid w:val="00157B38"/>
    <w:rsid w:val="001620A2"/>
    <w:rsid w:val="001621A4"/>
    <w:rsid w:val="00164988"/>
    <w:rsid w:val="00166686"/>
    <w:rsid w:val="00171A99"/>
    <w:rsid w:val="0017263C"/>
    <w:rsid w:val="0017351D"/>
    <w:rsid w:val="001748CE"/>
    <w:rsid w:val="00177AEC"/>
    <w:rsid w:val="00183901"/>
    <w:rsid w:val="00183F5F"/>
    <w:rsid w:val="001865A2"/>
    <w:rsid w:val="00190056"/>
    <w:rsid w:val="00193F92"/>
    <w:rsid w:val="001A07C9"/>
    <w:rsid w:val="001A0ECA"/>
    <w:rsid w:val="001A42A8"/>
    <w:rsid w:val="001A42FD"/>
    <w:rsid w:val="001A5E6C"/>
    <w:rsid w:val="001B2D15"/>
    <w:rsid w:val="001B508A"/>
    <w:rsid w:val="001B6E37"/>
    <w:rsid w:val="001C053B"/>
    <w:rsid w:val="001C2957"/>
    <w:rsid w:val="001C6D65"/>
    <w:rsid w:val="001C77F6"/>
    <w:rsid w:val="001D13B4"/>
    <w:rsid w:val="001D26F6"/>
    <w:rsid w:val="001D33EB"/>
    <w:rsid w:val="001D51A8"/>
    <w:rsid w:val="001D563C"/>
    <w:rsid w:val="001E02D8"/>
    <w:rsid w:val="001E3EA8"/>
    <w:rsid w:val="001E59B7"/>
    <w:rsid w:val="001F2DA3"/>
    <w:rsid w:val="0020731C"/>
    <w:rsid w:val="00216ED6"/>
    <w:rsid w:val="00217B54"/>
    <w:rsid w:val="0022044A"/>
    <w:rsid w:val="0022223D"/>
    <w:rsid w:val="002223A9"/>
    <w:rsid w:val="00222448"/>
    <w:rsid w:val="0022402B"/>
    <w:rsid w:val="00224335"/>
    <w:rsid w:val="00226860"/>
    <w:rsid w:val="00226C36"/>
    <w:rsid w:val="00227902"/>
    <w:rsid w:val="002346DB"/>
    <w:rsid w:val="00236C35"/>
    <w:rsid w:val="002373F7"/>
    <w:rsid w:val="00237BB4"/>
    <w:rsid w:val="00240538"/>
    <w:rsid w:val="00242ACC"/>
    <w:rsid w:val="00244BC1"/>
    <w:rsid w:val="002463CF"/>
    <w:rsid w:val="00250E16"/>
    <w:rsid w:val="0025129E"/>
    <w:rsid w:val="002549F3"/>
    <w:rsid w:val="00254A88"/>
    <w:rsid w:val="002550B9"/>
    <w:rsid w:val="00263E5D"/>
    <w:rsid w:val="002649A9"/>
    <w:rsid w:val="00265FA2"/>
    <w:rsid w:val="002667A7"/>
    <w:rsid w:val="00271687"/>
    <w:rsid w:val="0027501C"/>
    <w:rsid w:val="00275CBF"/>
    <w:rsid w:val="002765F3"/>
    <w:rsid w:val="00276D5A"/>
    <w:rsid w:val="00277181"/>
    <w:rsid w:val="00286FB1"/>
    <w:rsid w:val="00291107"/>
    <w:rsid w:val="00292FAA"/>
    <w:rsid w:val="00295553"/>
    <w:rsid w:val="002A078E"/>
    <w:rsid w:val="002A113C"/>
    <w:rsid w:val="002A1D75"/>
    <w:rsid w:val="002A677B"/>
    <w:rsid w:val="002A68E9"/>
    <w:rsid w:val="002A6B49"/>
    <w:rsid w:val="002B0CE4"/>
    <w:rsid w:val="002B2E1F"/>
    <w:rsid w:val="002B4F5B"/>
    <w:rsid w:val="002C0EBC"/>
    <w:rsid w:val="002C75A1"/>
    <w:rsid w:val="002D0AAB"/>
    <w:rsid w:val="002D11A8"/>
    <w:rsid w:val="002D1C50"/>
    <w:rsid w:val="002D44BC"/>
    <w:rsid w:val="002D46C0"/>
    <w:rsid w:val="002D624D"/>
    <w:rsid w:val="002D7DD4"/>
    <w:rsid w:val="002E12CA"/>
    <w:rsid w:val="002E496E"/>
    <w:rsid w:val="002E56DC"/>
    <w:rsid w:val="002E736D"/>
    <w:rsid w:val="002F17BE"/>
    <w:rsid w:val="002F1EF6"/>
    <w:rsid w:val="002F485B"/>
    <w:rsid w:val="002F79B2"/>
    <w:rsid w:val="00306BD7"/>
    <w:rsid w:val="00307690"/>
    <w:rsid w:val="00307B19"/>
    <w:rsid w:val="00307BB7"/>
    <w:rsid w:val="003101C9"/>
    <w:rsid w:val="003218D7"/>
    <w:rsid w:val="00324EE6"/>
    <w:rsid w:val="00330C84"/>
    <w:rsid w:val="003344B1"/>
    <w:rsid w:val="00334D95"/>
    <w:rsid w:val="003350D7"/>
    <w:rsid w:val="0033539A"/>
    <w:rsid w:val="003375EA"/>
    <w:rsid w:val="00345DA4"/>
    <w:rsid w:val="003501BE"/>
    <w:rsid w:val="00350289"/>
    <w:rsid w:val="00353C20"/>
    <w:rsid w:val="003554EF"/>
    <w:rsid w:val="0035620B"/>
    <w:rsid w:val="003565C4"/>
    <w:rsid w:val="0035669F"/>
    <w:rsid w:val="003566C4"/>
    <w:rsid w:val="003566FF"/>
    <w:rsid w:val="00363B86"/>
    <w:rsid w:val="00364642"/>
    <w:rsid w:val="003661DA"/>
    <w:rsid w:val="003664F6"/>
    <w:rsid w:val="00367F65"/>
    <w:rsid w:val="003721DD"/>
    <w:rsid w:val="0037283B"/>
    <w:rsid w:val="00373BA7"/>
    <w:rsid w:val="00375565"/>
    <w:rsid w:val="003756E4"/>
    <w:rsid w:val="00382FE4"/>
    <w:rsid w:val="0038547C"/>
    <w:rsid w:val="00385BF4"/>
    <w:rsid w:val="003869FC"/>
    <w:rsid w:val="003878F3"/>
    <w:rsid w:val="00391E23"/>
    <w:rsid w:val="003935E8"/>
    <w:rsid w:val="003936BC"/>
    <w:rsid w:val="0039393C"/>
    <w:rsid w:val="003958C3"/>
    <w:rsid w:val="003A2CF9"/>
    <w:rsid w:val="003A354E"/>
    <w:rsid w:val="003A5949"/>
    <w:rsid w:val="003A692A"/>
    <w:rsid w:val="003B4D34"/>
    <w:rsid w:val="003B65CB"/>
    <w:rsid w:val="003B67E5"/>
    <w:rsid w:val="003B78D0"/>
    <w:rsid w:val="003C1BC9"/>
    <w:rsid w:val="003C2F42"/>
    <w:rsid w:val="003C3B3B"/>
    <w:rsid w:val="003C61EE"/>
    <w:rsid w:val="003D1DF7"/>
    <w:rsid w:val="003D3089"/>
    <w:rsid w:val="003E2153"/>
    <w:rsid w:val="003E242E"/>
    <w:rsid w:val="003E6A7B"/>
    <w:rsid w:val="003F035D"/>
    <w:rsid w:val="0040094E"/>
    <w:rsid w:val="00401E5B"/>
    <w:rsid w:val="004046D3"/>
    <w:rsid w:val="00410FE5"/>
    <w:rsid w:val="00412DBC"/>
    <w:rsid w:val="004166D5"/>
    <w:rsid w:val="00417EBF"/>
    <w:rsid w:val="0042244A"/>
    <w:rsid w:val="00423665"/>
    <w:rsid w:val="00423B99"/>
    <w:rsid w:val="00426239"/>
    <w:rsid w:val="00426C7B"/>
    <w:rsid w:val="004310CC"/>
    <w:rsid w:val="00431E01"/>
    <w:rsid w:val="00433DC2"/>
    <w:rsid w:val="00437CF7"/>
    <w:rsid w:val="004413E1"/>
    <w:rsid w:val="00442588"/>
    <w:rsid w:val="00445643"/>
    <w:rsid w:val="00446C31"/>
    <w:rsid w:val="00447446"/>
    <w:rsid w:val="004510BD"/>
    <w:rsid w:val="004559F5"/>
    <w:rsid w:val="00460350"/>
    <w:rsid w:val="00460D2C"/>
    <w:rsid w:val="00462B92"/>
    <w:rsid w:val="0047019E"/>
    <w:rsid w:val="00470F7B"/>
    <w:rsid w:val="00472CD1"/>
    <w:rsid w:val="00473DF3"/>
    <w:rsid w:val="00484744"/>
    <w:rsid w:val="0048554F"/>
    <w:rsid w:val="004869AD"/>
    <w:rsid w:val="00491315"/>
    <w:rsid w:val="00491B68"/>
    <w:rsid w:val="00491B6F"/>
    <w:rsid w:val="00493275"/>
    <w:rsid w:val="00494230"/>
    <w:rsid w:val="004A283E"/>
    <w:rsid w:val="004B13EB"/>
    <w:rsid w:val="004B38F7"/>
    <w:rsid w:val="004B3A8F"/>
    <w:rsid w:val="004C12E1"/>
    <w:rsid w:val="004C3B43"/>
    <w:rsid w:val="004C52EF"/>
    <w:rsid w:val="004C5381"/>
    <w:rsid w:val="004C6FB8"/>
    <w:rsid w:val="004C793E"/>
    <w:rsid w:val="004D2431"/>
    <w:rsid w:val="004D28AF"/>
    <w:rsid w:val="004D29D8"/>
    <w:rsid w:val="004D5D0A"/>
    <w:rsid w:val="004D7FBB"/>
    <w:rsid w:val="004E025A"/>
    <w:rsid w:val="004E0EC2"/>
    <w:rsid w:val="004E7315"/>
    <w:rsid w:val="004E79CF"/>
    <w:rsid w:val="004F410A"/>
    <w:rsid w:val="004F410D"/>
    <w:rsid w:val="004F47A5"/>
    <w:rsid w:val="004F61CA"/>
    <w:rsid w:val="004F709F"/>
    <w:rsid w:val="0050326C"/>
    <w:rsid w:val="005055D4"/>
    <w:rsid w:val="00507D7C"/>
    <w:rsid w:val="00515BA0"/>
    <w:rsid w:val="00520F75"/>
    <w:rsid w:val="005210E3"/>
    <w:rsid w:val="00523008"/>
    <w:rsid w:val="00525ADF"/>
    <w:rsid w:val="00526008"/>
    <w:rsid w:val="00527171"/>
    <w:rsid w:val="00527A6C"/>
    <w:rsid w:val="00527CA2"/>
    <w:rsid w:val="00533A96"/>
    <w:rsid w:val="00533AEC"/>
    <w:rsid w:val="00540812"/>
    <w:rsid w:val="00540BAC"/>
    <w:rsid w:val="005419B8"/>
    <w:rsid w:val="00543EF6"/>
    <w:rsid w:val="0054446B"/>
    <w:rsid w:val="00546344"/>
    <w:rsid w:val="0054723D"/>
    <w:rsid w:val="00552124"/>
    <w:rsid w:val="00553193"/>
    <w:rsid w:val="005542DB"/>
    <w:rsid w:val="00554941"/>
    <w:rsid w:val="00555DCD"/>
    <w:rsid w:val="00555F97"/>
    <w:rsid w:val="00563C4E"/>
    <w:rsid w:val="00566800"/>
    <w:rsid w:val="00567F6C"/>
    <w:rsid w:val="005702B8"/>
    <w:rsid w:val="00572ECE"/>
    <w:rsid w:val="00583EFE"/>
    <w:rsid w:val="00585B41"/>
    <w:rsid w:val="005905E7"/>
    <w:rsid w:val="00596334"/>
    <w:rsid w:val="005A184E"/>
    <w:rsid w:val="005A3B62"/>
    <w:rsid w:val="005A5A35"/>
    <w:rsid w:val="005A74E9"/>
    <w:rsid w:val="005B036E"/>
    <w:rsid w:val="005B11CD"/>
    <w:rsid w:val="005B37F8"/>
    <w:rsid w:val="005B5E90"/>
    <w:rsid w:val="005B724E"/>
    <w:rsid w:val="005C12E7"/>
    <w:rsid w:val="005C1ACD"/>
    <w:rsid w:val="005C2B23"/>
    <w:rsid w:val="005C3935"/>
    <w:rsid w:val="005C3F92"/>
    <w:rsid w:val="005C4DAA"/>
    <w:rsid w:val="005C51EF"/>
    <w:rsid w:val="005D2438"/>
    <w:rsid w:val="005D285A"/>
    <w:rsid w:val="005D5504"/>
    <w:rsid w:val="005D6D5B"/>
    <w:rsid w:val="005E0EE7"/>
    <w:rsid w:val="005E2129"/>
    <w:rsid w:val="005E4F05"/>
    <w:rsid w:val="005E54EE"/>
    <w:rsid w:val="005E5B57"/>
    <w:rsid w:val="005F31A8"/>
    <w:rsid w:val="005F363E"/>
    <w:rsid w:val="005F443A"/>
    <w:rsid w:val="005F5A37"/>
    <w:rsid w:val="006028D1"/>
    <w:rsid w:val="0061392E"/>
    <w:rsid w:val="006163B4"/>
    <w:rsid w:val="00616856"/>
    <w:rsid w:val="006221A4"/>
    <w:rsid w:val="0062226C"/>
    <w:rsid w:val="00624583"/>
    <w:rsid w:val="00626431"/>
    <w:rsid w:val="00630BB6"/>
    <w:rsid w:val="0063290D"/>
    <w:rsid w:val="00633680"/>
    <w:rsid w:val="00634C6C"/>
    <w:rsid w:val="006353B2"/>
    <w:rsid w:val="00635610"/>
    <w:rsid w:val="00635DD9"/>
    <w:rsid w:val="006370E8"/>
    <w:rsid w:val="00641FFC"/>
    <w:rsid w:val="0064271F"/>
    <w:rsid w:val="006508DB"/>
    <w:rsid w:val="0065583A"/>
    <w:rsid w:val="00657D0C"/>
    <w:rsid w:val="00660A4B"/>
    <w:rsid w:val="00661525"/>
    <w:rsid w:val="00661F68"/>
    <w:rsid w:val="00663D6C"/>
    <w:rsid w:val="0067154D"/>
    <w:rsid w:val="00671A85"/>
    <w:rsid w:val="00672B5F"/>
    <w:rsid w:val="00674630"/>
    <w:rsid w:val="00681A17"/>
    <w:rsid w:val="00685EF3"/>
    <w:rsid w:val="00686535"/>
    <w:rsid w:val="00687051"/>
    <w:rsid w:val="00687EFC"/>
    <w:rsid w:val="00690A6E"/>
    <w:rsid w:val="00690F6B"/>
    <w:rsid w:val="0069115B"/>
    <w:rsid w:val="0069207E"/>
    <w:rsid w:val="006937C9"/>
    <w:rsid w:val="006956DD"/>
    <w:rsid w:val="00695B3C"/>
    <w:rsid w:val="00695EE7"/>
    <w:rsid w:val="006A2C37"/>
    <w:rsid w:val="006A3127"/>
    <w:rsid w:val="006A5FCB"/>
    <w:rsid w:val="006A7DEE"/>
    <w:rsid w:val="006B309C"/>
    <w:rsid w:val="006B7B66"/>
    <w:rsid w:val="006C034E"/>
    <w:rsid w:val="006C231B"/>
    <w:rsid w:val="006C2DC8"/>
    <w:rsid w:val="006C4104"/>
    <w:rsid w:val="006C4EE1"/>
    <w:rsid w:val="006C747F"/>
    <w:rsid w:val="006D02D3"/>
    <w:rsid w:val="006D054B"/>
    <w:rsid w:val="006D26FB"/>
    <w:rsid w:val="006D3C42"/>
    <w:rsid w:val="006D4017"/>
    <w:rsid w:val="006D4307"/>
    <w:rsid w:val="006D52D4"/>
    <w:rsid w:val="006D7944"/>
    <w:rsid w:val="006E0E33"/>
    <w:rsid w:val="006E2573"/>
    <w:rsid w:val="006E27E4"/>
    <w:rsid w:val="006E2AAC"/>
    <w:rsid w:val="006E402B"/>
    <w:rsid w:val="006F0EBD"/>
    <w:rsid w:val="006F1105"/>
    <w:rsid w:val="006F1D69"/>
    <w:rsid w:val="006F2F79"/>
    <w:rsid w:val="006F5D9C"/>
    <w:rsid w:val="006F5DE9"/>
    <w:rsid w:val="006F74DB"/>
    <w:rsid w:val="007007C3"/>
    <w:rsid w:val="0070172A"/>
    <w:rsid w:val="00702466"/>
    <w:rsid w:val="00702819"/>
    <w:rsid w:val="007116AC"/>
    <w:rsid w:val="0071558E"/>
    <w:rsid w:val="007176F8"/>
    <w:rsid w:val="0071792B"/>
    <w:rsid w:val="00722CCA"/>
    <w:rsid w:val="0072552E"/>
    <w:rsid w:val="00726606"/>
    <w:rsid w:val="00726F0E"/>
    <w:rsid w:val="00730792"/>
    <w:rsid w:val="007326AF"/>
    <w:rsid w:val="0073330B"/>
    <w:rsid w:val="007348D6"/>
    <w:rsid w:val="00735E46"/>
    <w:rsid w:val="00737DE8"/>
    <w:rsid w:val="00737FF3"/>
    <w:rsid w:val="007405A7"/>
    <w:rsid w:val="00741EA8"/>
    <w:rsid w:val="0074235E"/>
    <w:rsid w:val="00744803"/>
    <w:rsid w:val="007467BA"/>
    <w:rsid w:val="007526C9"/>
    <w:rsid w:val="007541EE"/>
    <w:rsid w:val="007575BB"/>
    <w:rsid w:val="00763710"/>
    <w:rsid w:val="00765937"/>
    <w:rsid w:val="00765C1A"/>
    <w:rsid w:val="0077042D"/>
    <w:rsid w:val="00772B4A"/>
    <w:rsid w:val="00772C20"/>
    <w:rsid w:val="00772F4C"/>
    <w:rsid w:val="0077359E"/>
    <w:rsid w:val="00773F7A"/>
    <w:rsid w:val="00776BC1"/>
    <w:rsid w:val="00776E8E"/>
    <w:rsid w:val="007827FB"/>
    <w:rsid w:val="007833BD"/>
    <w:rsid w:val="00783D80"/>
    <w:rsid w:val="007848B6"/>
    <w:rsid w:val="00790E8C"/>
    <w:rsid w:val="0079113A"/>
    <w:rsid w:val="007932B6"/>
    <w:rsid w:val="00795076"/>
    <w:rsid w:val="007953D2"/>
    <w:rsid w:val="007A0FA0"/>
    <w:rsid w:val="007A551B"/>
    <w:rsid w:val="007A5D13"/>
    <w:rsid w:val="007B1962"/>
    <w:rsid w:val="007C13AE"/>
    <w:rsid w:val="007C1D49"/>
    <w:rsid w:val="007D0814"/>
    <w:rsid w:val="007D3648"/>
    <w:rsid w:val="007D522B"/>
    <w:rsid w:val="007D79E2"/>
    <w:rsid w:val="007E25C7"/>
    <w:rsid w:val="007F008C"/>
    <w:rsid w:val="007F1A0A"/>
    <w:rsid w:val="007F3394"/>
    <w:rsid w:val="007F47C1"/>
    <w:rsid w:val="00800D1D"/>
    <w:rsid w:val="0080337F"/>
    <w:rsid w:val="00806446"/>
    <w:rsid w:val="00807F55"/>
    <w:rsid w:val="00813DFD"/>
    <w:rsid w:val="008161A8"/>
    <w:rsid w:val="0081730E"/>
    <w:rsid w:val="00821783"/>
    <w:rsid w:val="00822E23"/>
    <w:rsid w:val="008247A0"/>
    <w:rsid w:val="00826ACF"/>
    <w:rsid w:val="0083281D"/>
    <w:rsid w:val="0083547E"/>
    <w:rsid w:val="00835FD4"/>
    <w:rsid w:val="0083611E"/>
    <w:rsid w:val="008400E8"/>
    <w:rsid w:val="0084590E"/>
    <w:rsid w:val="00847030"/>
    <w:rsid w:val="0085141B"/>
    <w:rsid w:val="00856596"/>
    <w:rsid w:val="008618E6"/>
    <w:rsid w:val="00865B37"/>
    <w:rsid w:val="00865E18"/>
    <w:rsid w:val="008743EF"/>
    <w:rsid w:val="008755B7"/>
    <w:rsid w:val="00875A0A"/>
    <w:rsid w:val="0087683B"/>
    <w:rsid w:val="00876C37"/>
    <w:rsid w:val="0088088E"/>
    <w:rsid w:val="00880AC5"/>
    <w:rsid w:val="008958EA"/>
    <w:rsid w:val="008968B8"/>
    <w:rsid w:val="00896EB0"/>
    <w:rsid w:val="008A651C"/>
    <w:rsid w:val="008A685C"/>
    <w:rsid w:val="008A6E54"/>
    <w:rsid w:val="008B0DCC"/>
    <w:rsid w:val="008B2796"/>
    <w:rsid w:val="008B390C"/>
    <w:rsid w:val="008B6917"/>
    <w:rsid w:val="008C046F"/>
    <w:rsid w:val="008C04FF"/>
    <w:rsid w:val="008C17F1"/>
    <w:rsid w:val="008C2CB2"/>
    <w:rsid w:val="008C69CC"/>
    <w:rsid w:val="008C6F84"/>
    <w:rsid w:val="008D0F18"/>
    <w:rsid w:val="008D222D"/>
    <w:rsid w:val="008D61BF"/>
    <w:rsid w:val="008D6549"/>
    <w:rsid w:val="008E1BDF"/>
    <w:rsid w:val="008E49EA"/>
    <w:rsid w:val="008E5640"/>
    <w:rsid w:val="008E5E9F"/>
    <w:rsid w:val="008E6CC7"/>
    <w:rsid w:val="008E72FF"/>
    <w:rsid w:val="008F4716"/>
    <w:rsid w:val="008F4F44"/>
    <w:rsid w:val="008F549E"/>
    <w:rsid w:val="008F6B27"/>
    <w:rsid w:val="00900776"/>
    <w:rsid w:val="00901978"/>
    <w:rsid w:val="00906442"/>
    <w:rsid w:val="00906D96"/>
    <w:rsid w:val="00910277"/>
    <w:rsid w:val="00911351"/>
    <w:rsid w:val="009133B6"/>
    <w:rsid w:val="00913B9C"/>
    <w:rsid w:val="00916027"/>
    <w:rsid w:val="00917346"/>
    <w:rsid w:val="009212C5"/>
    <w:rsid w:val="00921798"/>
    <w:rsid w:val="00923D43"/>
    <w:rsid w:val="0092523D"/>
    <w:rsid w:val="009323FB"/>
    <w:rsid w:val="00935D4F"/>
    <w:rsid w:val="0093687F"/>
    <w:rsid w:val="0094023C"/>
    <w:rsid w:val="00942AEA"/>
    <w:rsid w:val="00942BF1"/>
    <w:rsid w:val="00944AA6"/>
    <w:rsid w:val="00946999"/>
    <w:rsid w:val="009517A9"/>
    <w:rsid w:val="0095362E"/>
    <w:rsid w:val="00966E20"/>
    <w:rsid w:val="009676A2"/>
    <w:rsid w:val="00967C2B"/>
    <w:rsid w:val="00967F23"/>
    <w:rsid w:val="009713D0"/>
    <w:rsid w:val="009716CC"/>
    <w:rsid w:val="00971DDD"/>
    <w:rsid w:val="0097357E"/>
    <w:rsid w:val="00973E9D"/>
    <w:rsid w:val="00977118"/>
    <w:rsid w:val="009802AD"/>
    <w:rsid w:val="00980791"/>
    <w:rsid w:val="00982A9D"/>
    <w:rsid w:val="00982F23"/>
    <w:rsid w:val="00983F80"/>
    <w:rsid w:val="00986AC4"/>
    <w:rsid w:val="00990731"/>
    <w:rsid w:val="0099306C"/>
    <w:rsid w:val="0099328C"/>
    <w:rsid w:val="00994A58"/>
    <w:rsid w:val="00995758"/>
    <w:rsid w:val="00995FD9"/>
    <w:rsid w:val="00996AD0"/>
    <w:rsid w:val="00997B71"/>
    <w:rsid w:val="009A0512"/>
    <w:rsid w:val="009A1407"/>
    <w:rsid w:val="009A1564"/>
    <w:rsid w:val="009A1E69"/>
    <w:rsid w:val="009A62C2"/>
    <w:rsid w:val="009B0053"/>
    <w:rsid w:val="009B3145"/>
    <w:rsid w:val="009B573C"/>
    <w:rsid w:val="009B5FD0"/>
    <w:rsid w:val="009B6353"/>
    <w:rsid w:val="009B6815"/>
    <w:rsid w:val="009C0DF4"/>
    <w:rsid w:val="009C1163"/>
    <w:rsid w:val="009C66D6"/>
    <w:rsid w:val="009C727E"/>
    <w:rsid w:val="009D3A47"/>
    <w:rsid w:val="009D5C91"/>
    <w:rsid w:val="009D77EE"/>
    <w:rsid w:val="009D7856"/>
    <w:rsid w:val="009E15F9"/>
    <w:rsid w:val="009E24C0"/>
    <w:rsid w:val="009E484E"/>
    <w:rsid w:val="009F000F"/>
    <w:rsid w:val="009F0089"/>
    <w:rsid w:val="009F032F"/>
    <w:rsid w:val="009F250B"/>
    <w:rsid w:val="009F3976"/>
    <w:rsid w:val="009F64BE"/>
    <w:rsid w:val="00A00888"/>
    <w:rsid w:val="00A02624"/>
    <w:rsid w:val="00A047A1"/>
    <w:rsid w:val="00A04844"/>
    <w:rsid w:val="00A06364"/>
    <w:rsid w:val="00A1249E"/>
    <w:rsid w:val="00A1604A"/>
    <w:rsid w:val="00A160E5"/>
    <w:rsid w:val="00A166B4"/>
    <w:rsid w:val="00A204C9"/>
    <w:rsid w:val="00A20AFA"/>
    <w:rsid w:val="00A26CE0"/>
    <w:rsid w:val="00A27B5F"/>
    <w:rsid w:val="00A318A9"/>
    <w:rsid w:val="00A352F2"/>
    <w:rsid w:val="00A36C45"/>
    <w:rsid w:val="00A37DF7"/>
    <w:rsid w:val="00A41327"/>
    <w:rsid w:val="00A42435"/>
    <w:rsid w:val="00A47277"/>
    <w:rsid w:val="00A5183E"/>
    <w:rsid w:val="00A54728"/>
    <w:rsid w:val="00A54EF4"/>
    <w:rsid w:val="00A63273"/>
    <w:rsid w:val="00A6506C"/>
    <w:rsid w:val="00A65093"/>
    <w:rsid w:val="00A656C3"/>
    <w:rsid w:val="00A66358"/>
    <w:rsid w:val="00A666A9"/>
    <w:rsid w:val="00A66E0E"/>
    <w:rsid w:val="00A704A0"/>
    <w:rsid w:val="00A70A99"/>
    <w:rsid w:val="00A718C5"/>
    <w:rsid w:val="00A738E5"/>
    <w:rsid w:val="00A74D52"/>
    <w:rsid w:val="00A771FC"/>
    <w:rsid w:val="00A8171E"/>
    <w:rsid w:val="00A82086"/>
    <w:rsid w:val="00A83225"/>
    <w:rsid w:val="00A848CC"/>
    <w:rsid w:val="00A84D4D"/>
    <w:rsid w:val="00A86043"/>
    <w:rsid w:val="00A9293B"/>
    <w:rsid w:val="00A9393D"/>
    <w:rsid w:val="00A94AF8"/>
    <w:rsid w:val="00A94EEE"/>
    <w:rsid w:val="00A95816"/>
    <w:rsid w:val="00A95EB1"/>
    <w:rsid w:val="00AA1F2E"/>
    <w:rsid w:val="00AA3777"/>
    <w:rsid w:val="00AB24DB"/>
    <w:rsid w:val="00AB4793"/>
    <w:rsid w:val="00AB497C"/>
    <w:rsid w:val="00AB6681"/>
    <w:rsid w:val="00AB6FAA"/>
    <w:rsid w:val="00AC1827"/>
    <w:rsid w:val="00AC2067"/>
    <w:rsid w:val="00AC28E7"/>
    <w:rsid w:val="00AC345E"/>
    <w:rsid w:val="00AC6EB7"/>
    <w:rsid w:val="00AD1D61"/>
    <w:rsid w:val="00AD2A04"/>
    <w:rsid w:val="00AD6D0C"/>
    <w:rsid w:val="00AE0451"/>
    <w:rsid w:val="00AE097D"/>
    <w:rsid w:val="00AE6AAE"/>
    <w:rsid w:val="00AF3129"/>
    <w:rsid w:val="00AF323D"/>
    <w:rsid w:val="00AF4F2B"/>
    <w:rsid w:val="00B00696"/>
    <w:rsid w:val="00B01E52"/>
    <w:rsid w:val="00B02BC5"/>
    <w:rsid w:val="00B03A65"/>
    <w:rsid w:val="00B0569C"/>
    <w:rsid w:val="00B06A48"/>
    <w:rsid w:val="00B06C28"/>
    <w:rsid w:val="00B10815"/>
    <w:rsid w:val="00B13218"/>
    <w:rsid w:val="00B139B2"/>
    <w:rsid w:val="00B15272"/>
    <w:rsid w:val="00B16C5C"/>
    <w:rsid w:val="00B16FCB"/>
    <w:rsid w:val="00B200BA"/>
    <w:rsid w:val="00B21E86"/>
    <w:rsid w:val="00B22520"/>
    <w:rsid w:val="00B241C8"/>
    <w:rsid w:val="00B24869"/>
    <w:rsid w:val="00B27EE6"/>
    <w:rsid w:val="00B30601"/>
    <w:rsid w:val="00B3173E"/>
    <w:rsid w:val="00B32BE7"/>
    <w:rsid w:val="00B34DAB"/>
    <w:rsid w:val="00B402B4"/>
    <w:rsid w:val="00B436AF"/>
    <w:rsid w:val="00B443B6"/>
    <w:rsid w:val="00B45124"/>
    <w:rsid w:val="00B45519"/>
    <w:rsid w:val="00B467D1"/>
    <w:rsid w:val="00B47DE5"/>
    <w:rsid w:val="00B52678"/>
    <w:rsid w:val="00B54523"/>
    <w:rsid w:val="00B54B6D"/>
    <w:rsid w:val="00B54E59"/>
    <w:rsid w:val="00B60591"/>
    <w:rsid w:val="00B61275"/>
    <w:rsid w:val="00B628AA"/>
    <w:rsid w:val="00B628F6"/>
    <w:rsid w:val="00B63FF4"/>
    <w:rsid w:val="00B705D4"/>
    <w:rsid w:val="00B742C4"/>
    <w:rsid w:val="00B7476E"/>
    <w:rsid w:val="00B80874"/>
    <w:rsid w:val="00B86878"/>
    <w:rsid w:val="00B86E0E"/>
    <w:rsid w:val="00B86FCA"/>
    <w:rsid w:val="00B878BC"/>
    <w:rsid w:val="00B9767E"/>
    <w:rsid w:val="00BA317A"/>
    <w:rsid w:val="00BA4E9D"/>
    <w:rsid w:val="00BB1B7B"/>
    <w:rsid w:val="00BB1BB2"/>
    <w:rsid w:val="00BB3C21"/>
    <w:rsid w:val="00BB466A"/>
    <w:rsid w:val="00BB5D10"/>
    <w:rsid w:val="00BB6DD0"/>
    <w:rsid w:val="00BC04BF"/>
    <w:rsid w:val="00BC0883"/>
    <w:rsid w:val="00BC6F59"/>
    <w:rsid w:val="00BC7A0C"/>
    <w:rsid w:val="00BD61D9"/>
    <w:rsid w:val="00BE253C"/>
    <w:rsid w:val="00BE6882"/>
    <w:rsid w:val="00BE7FA0"/>
    <w:rsid w:val="00BF064E"/>
    <w:rsid w:val="00BF49F4"/>
    <w:rsid w:val="00BF4A2C"/>
    <w:rsid w:val="00BF7E2C"/>
    <w:rsid w:val="00C015CF"/>
    <w:rsid w:val="00C01B58"/>
    <w:rsid w:val="00C03F3C"/>
    <w:rsid w:val="00C1194C"/>
    <w:rsid w:val="00C12C9A"/>
    <w:rsid w:val="00C23C27"/>
    <w:rsid w:val="00C24890"/>
    <w:rsid w:val="00C25565"/>
    <w:rsid w:val="00C25B1E"/>
    <w:rsid w:val="00C316AB"/>
    <w:rsid w:val="00C3180B"/>
    <w:rsid w:val="00C3204B"/>
    <w:rsid w:val="00C403D7"/>
    <w:rsid w:val="00C46853"/>
    <w:rsid w:val="00C477B7"/>
    <w:rsid w:val="00C51791"/>
    <w:rsid w:val="00C51DCA"/>
    <w:rsid w:val="00C522C7"/>
    <w:rsid w:val="00C56853"/>
    <w:rsid w:val="00C62513"/>
    <w:rsid w:val="00C62F3E"/>
    <w:rsid w:val="00C63439"/>
    <w:rsid w:val="00C63C1F"/>
    <w:rsid w:val="00C65451"/>
    <w:rsid w:val="00C65672"/>
    <w:rsid w:val="00C705CE"/>
    <w:rsid w:val="00C71680"/>
    <w:rsid w:val="00C73BE2"/>
    <w:rsid w:val="00C73D78"/>
    <w:rsid w:val="00C76350"/>
    <w:rsid w:val="00C80531"/>
    <w:rsid w:val="00C816C4"/>
    <w:rsid w:val="00C90079"/>
    <w:rsid w:val="00C90D91"/>
    <w:rsid w:val="00C96F3C"/>
    <w:rsid w:val="00CA2084"/>
    <w:rsid w:val="00CA281C"/>
    <w:rsid w:val="00CA4173"/>
    <w:rsid w:val="00CA43DA"/>
    <w:rsid w:val="00CA48B0"/>
    <w:rsid w:val="00CA5E40"/>
    <w:rsid w:val="00CA64AB"/>
    <w:rsid w:val="00CB3801"/>
    <w:rsid w:val="00CB49FA"/>
    <w:rsid w:val="00CB594E"/>
    <w:rsid w:val="00CB68DA"/>
    <w:rsid w:val="00CB6DCA"/>
    <w:rsid w:val="00CB7F95"/>
    <w:rsid w:val="00CC2112"/>
    <w:rsid w:val="00CC2534"/>
    <w:rsid w:val="00CC45BE"/>
    <w:rsid w:val="00CC5761"/>
    <w:rsid w:val="00CC6B59"/>
    <w:rsid w:val="00CC701B"/>
    <w:rsid w:val="00CD06AC"/>
    <w:rsid w:val="00CD1D7D"/>
    <w:rsid w:val="00CD2730"/>
    <w:rsid w:val="00CD4FC1"/>
    <w:rsid w:val="00CE32D0"/>
    <w:rsid w:val="00CE3AFA"/>
    <w:rsid w:val="00CE5C61"/>
    <w:rsid w:val="00CF030F"/>
    <w:rsid w:val="00CF0E95"/>
    <w:rsid w:val="00CF14B4"/>
    <w:rsid w:val="00CF1814"/>
    <w:rsid w:val="00CF1FED"/>
    <w:rsid w:val="00CF21F2"/>
    <w:rsid w:val="00CF439F"/>
    <w:rsid w:val="00CF6828"/>
    <w:rsid w:val="00CF69F4"/>
    <w:rsid w:val="00CF796E"/>
    <w:rsid w:val="00D01CAB"/>
    <w:rsid w:val="00D0318F"/>
    <w:rsid w:val="00D03356"/>
    <w:rsid w:val="00D04DDE"/>
    <w:rsid w:val="00D06587"/>
    <w:rsid w:val="00D116E0"/>
    <w:rsid w:val="00D13795"/>
    <w:rsid w:val="00D15E7F"/>
    <w:rsid w:val="00D20182"/>
    <w:rsid w:val="00D201E6"/>
    <w:rsid w:val="00D203C8"/>
    <w:rsid w:val="00D25126"/>
    <w:rsid w:val="00D2513B"/>
    <w:rsid w:val="00D26239"/>
    <w:rsid w:val="00D34B50"/>
    <w:rsid w:val="00D35648"/>
    <w:rsid w:val="00D41212"/>
    <w:rsid w:val="00D41A78"/>
    <w:rsid w:val="00D45C70"/>
    <w:rsid w:val="00D46120"/>
    <w:rsid w:val="00D46622"/>
    <w:rsid w:val="00D4706F"/>
    <w:rsid w:val="00D5083F"/>
    <w:rsid w:val="00D50F04"/>
    <w:rsid w:val="00D67817"/>
    <w:rsid w:val="00D67B87"/>
    <w:rsid w:val="00D72159"/>
    <w:rsid w:val="00D75FD6"/>
    <w:rsid w:val="00D76BF9"/>
    <w:rsid w:val="00D845E8"/>
    <w:rsid w:val="00D84A77"/>
    <w:rsid w:val="00D84F26"/>
    <w:rsid w:val="00D84F6A"/>
    <w:rsid w:val="00D9231E"/>
    <w:rsid w:val="00D92F24"/>
    <w:rsid w:val="00D95F4C"/>
    <w:rsid w:val="00DA0551"/>
    <w:rsid w:val="00DA20E7"/>
    <w:rsid w:val="00DB02C6"/>
    <w:rsid w:val="00DB1A04"/>
    <w:rsid w:val="00DB2399"/>
    <w:rsid w:val="00DB3619"/>
    <w:rsid w:val="00DC244C"/>
    <w:rsid w:val="00DC2BB7"/>
    <w:rsid w:val="00DC6617"/>
    <w:rsid w:val="00DD1C5F"/>
    <w:rsid w:val="00DD3717"/>
    <w:rsid w:val="00DD7392"/>
    <w:rsid w:val="00DE0E7D"/>
    <w:rsid w:val="00DE475A"/>
    <w:rsid w:val="00DE4894"/>
    <w:rsid w:val="00DF5A0E"/>
    <w:rsid w:val="00DF6BAC"/>
    <w:rsid w:val="00DF6FC7"/>
    <w:rsid w:val="00E0052E"/>
    <w:rsid w:val="00E0122F"/>
    <w:rsid w:val="00E02613"/>
    <w:rsid w:val="00E04E83"/>
    <w:rsid w:val="00E05F81"/>
    <w:rsid w:val="00E07F32"/>
    <w:rsid w:val="00E10234"/>
    <w:rsid w:val="00E10937"/>
    <w:rsid w:val="00E246B0"/>
    <w:rsid w:val="00E2574E"/>
    <w:rsid w:val="00E308EB"/>
    <w:rsid w:val="00E30966"/>
    <w:rsid w:val="00E312D9"/>
    <w:rsid w:val="00E3303E"/>
    <w:rsid w:val="00E331AC"/>
    <w:rsid w:val="00E35E03"/>
    <w:rsid w:val="00E414DB"/>
    <w:rsid w:val="00E424DB"/>
    <w:rsid w:val="00E437BE"/>
    <w:rsid w:val="00E441CE"/>
    <w:rsid w:val="00E44DEC"/>
    <w:rsid w:val="00E46B41"/>
    <w:rsid w:val="00E475BC"/>
    <w:rsid w:val="00E47684"/>
    <w:rsid w:val="00E55F27"/>
    <w:rsid w:val="00E56E1B"/>
    <w:rsid w:val="00E61D20"/>
    <w:rsid w:val="00E64F64"/>
    <w:rsid w:val="00E6793A"/>
    <w:rsid w:val="00E748CB"/>
    <w:rsid w:val="00E74D11"/>
    <w:rsid w:val="00E763BE"/>
    <w:rsid w:val="00E77866"/>
    <w:rsid w:val="00E80D1C"/>
    <w:rsid w:val="00E84F8B"/>
    <w:rsid w:val="00E85897"/>
    <w:rsid w:val="00E85BA4"/>
    <w:rsid w:val="00E86355"/>
    <w:rsid w:val="00E8638E"/>
    <w:rsid w:val="00E86C11"/>
    <w:rsid w:val="00E8707F"/>
    <w:rsid w:val="00E9510D"/>
    <w:rsid w:val="00EA04D4"/>
    <w:rsid w:val="00EA162B"/>
    <w:rsid w:val="00EA32BE"/>
    <w:rsid w:val="00EA3BC3"/>
    <w:rsid w:val="00EA79BF"/>
    <w:rsid w:val="00EB0102"/>
    <w:rsid w:val="00EB0B70"/>
    <w:rsid w:val="00EB29C9"/>
    <w:rsid w:val="00EB43CE"/>
    <w:rsid w:val="00EB6978"/>
    <w:rsid w:val="00EB6B01"/>
    <w:rsid w:val="00EC2F4A"/>
    <w:rsid w:val="00EC32EE"/>
    <w:rsid w:val="00EC3975"/>
    <w:rsid w:val="00EC712E"/>
    <w:rsid w:val="00EC7BA3"/>
    <w:rsid w:val="00ED18D7"/>
    <w:rsid w:val="00ED455E"/>
    <w:rsid w:val="00ED533A"/>
    <w:rsid w:val="00ED5F56"/>
    <w:rsid w:val="00ED7217"/>
    <w:rsid w:val="00EE2421"/>
    <w:rsid w:val="00EE3E62"/>
    <w:rsid w:val="00EE52C0"/>
    <w:rsid w:val="00EE5429"/>
    <w:rsid w:val="00EE60F6"/>
    <w:rsid w:val="00EE693A"/>
    <w:rsid w:val="00EF6045"/>
    <w:rsid w:val="00EF61EE"/>
    <w:rsid w:val="00F00051"/>
    <w:rsid w:val="00F0208F"/>
    <w:rsid w:val="00F0574F"/>
    <w:rsid w:val="00F07531"/>
    <w:rsid w:val="00F07B95"/>
    <w:rsid w:val="00F10915"/>
    <w:rsid w:val="00F1505F"/>
    <w:rsid w:val="00F162F3"/>
    <w:rsid w:val="00F16412"/>
    <w:rsid w:val="00F17862"/>
    <w:rsid w:val="00F17CD3"/>
    <w:rsid w:val="00F24E1E"/>
    <w:rsid w:val="00F31ACD"/>
    <w:rsid w:val="00F338DE"/>
    <w:rsid w:val="00F35158"/>
    <w:rsid w:val="00F374A3"/>
    <w:rsid w:val="00F37E56"/>
    <w:rsid w:val="00F37FDB"/>
    <w:rsid w:val="00F40794"/>
    <w:rsid w:val="00F4129F"/>
    <w:rsid w:val="00F41D4D"/>
    <w:rsid w:val="00F4411B"/>
    <w:rsid w:val="00F50DEB"/>
    <w:rsid w:val="00F50E40"/>
    <w:rsid w:val="00F5258A"/>
    <w:rsid w:val="00F55B6A"/>
    <w:rsid w:val="00F60C09"/>
    <w:rsid w:val="00F62552"/>
    <w:rsid w:val="00F667EA"/>
    <w:rsid w:val="00F67550"/>
    <w:rsid w:val="00F70229"/>
    <w:rsid w:val="00F712B1"/>
    <w:rsid w:val="00F73BB2"/>
    <w:rsid w:val="00F75C85"/>
    <w:rsid w:val="00F75DE8"/>
    <w:rsid w:val="00F761AF"/>
    <w:rsid w:val="00F76C08"/>
    <w:rsid w:val="00F808FE"/>
    <w:rsid w:val="00F90056"/>
    <w:rsid w:val="00F9319A"/>
    <w:rsid w:val="00F94FA3"/>
    <w:rsid w:val="00F971D5"/>
    <w:rsid w:val="00FA13A1"/>
    <w:rsid w:val="00FA15EC"/>
    <w:rsid w:val="00FA5D0E"/>
    <w:rsid w:val="00FA7935"/>
    <w:rsid w:val="00FA7DA3"/>
    <w:rsid w:val="00FB3712"/>
    <w:rsid w:val="00FB566E"/>
    <w:rsid w:val="00FB6132"/>
    <w:rsid w:val="00FB727D"/>
    <w:rsid w:val="00FC3925"/>
    <w:rsid w:val="00FC46F7"/>
    <w:rsid w:val="00FC5568"/>
    <w:rsid w:val="00FD21C8"/>
    <w:rsid w:val="00FD3738"/>
    <w:rsid w:val="00FD380E"/>
    <w:rsid w:val="00FE300B"/>
    <w:rsid w:val="00FE3389"/>
    <w:rsid w:val="00FE39B2"/>
    <w:rsid w:val="00FE4B44"/>
    <w:rsid w:val="00FE5449"/>
    <w:rsid w:val="00FE61B0"/>
    <w:rsid w:val="00FF14B5"/>
    <w:rsid w:val="00FF4314"/>
    <w:rsid w:val="00FF47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A1CCA"/>
  <w15:docId w15:val="{FCF7B3AA-5B55-471D-ADA9-0BEF04A9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numPr>
        <w:numId w:val="1"/>
      </w:numPr>
      <w:spacing w:before="240" w:after="0"/>
      <w:outlineLvl w:val="0"/>
    </w:pPr>
    <w:rPr>
      <w:color w:val="2E75B5"/>
      <w:sz w:val="32"/>
      <w:szCs w:val="32"/>
    </w:rPr>
  </w:style>
  <w:style w:type="paragraph" w:styleId="Heading2">
    <w:name w:val="heading 2"/>
    <w:basedOn w:val="Normal"/>
    <w:next w:val="Normal"/>
    <w:pPr>
      <w:keepNext/>
      <w:keepLines/>
      <w:numPr>
        <w:ilvl w:val="1"/>
        <w:numId w:val="1"/>
      </w:numPr>
      <w:spacing w:before="40" w:after="0"/>
      <w:outlineLvl w:val="1"/>
    </w:pPr>
    <w:rPr>
      <w:color w:val="2E75B5"/>
      <w:sz w:val="26"/>
      <w:szCs w:val="26"/>
      <w:u w:val="single"/>
    </w:rPr>
  </w:style>
  <w:style w:type="paragraph" w:styleId="Heading3">
    <w:name w:val="heading 3"/>
    <w:basedOn w:val="Normal"/>
    <w:next w:val="Normal"/>
    <w:link w:val="Heading3Char"/>
    <w:rsid w:val="00330C84"/>
    <w:pPr>
      <w:keepNext/>
      <w:keepLines/>
      <w:numPr>
        <w:ilvl w:val="2"/>
        <w:numId w:val="1"/>
      </w:numPr>
      <w:spacing w:before="40" w:after="0"/>
      <w:outlineLvl w:val="2"/>
    </w:pPr>
    <w:rPr>
      <w:i/>
      <w:color w:val="1E4D78"/>
      <w:sz w:val="24"/>
      <w:szCs w:val="24"/>
    </w:rPr>
  </w:style>
  <w:style w:type="paragraph" w:styleId="Heading4">
    <w:name w:val="heading 4"/>
    <w:basedOn w:val="Normal"/>
    <w:next w:val="Normal"/>
    <w:pPr>
      <w:keepNext/>
      <w:keepLines/>
      <w:numPr>
        <w:ilvl w:val="3"/>
        <w:numId w:val="1"/>
      </w:numPr>
      <w:spacing w:before="40" w:after="0"/>
      <w:outlineLvl w:val="3"/>
    </w:pPr>
    <w:rPr>
      <w:i/>
      <w:color w:val="2E75B5"/>
    </w:rPr>
  </w:style>
  <w:style w:type="paragraph" w:styleId="Heading5">
    <w:name w:val="heading 5"/>
    <w:basedOn w:val="Normal"/>
    <w:next w:val="Normal"/>
    <w:pPr>
      <w:keepNext/>
      <w:keepLines/>
      <w:numPr>
        <w:ilvl w:val="4"/>
        <w:numId w:val="1"/>
      </w:numPr>
      <w:spacing w:before="40" w:after="0"/>
      <w:outlineLvl w:val="4"/>
    </w:pPr>
    <w:rPr>
      <w:color w:val="2E75B5"/>
    </w:rPr>
  </w:style>
  <w:style w:type="paragraph" w:styleId="Heading6">
    <w:name w:val="heading 6"/>
    <w:basedOn w:val="Normal"/>
    <w:next w:val="Normal"/>
    <w:pPr>
      <w:keepNext/>
      <w:keepLines/>
      <w:numPr>
        <w:ilvl w:val="5"/>
        <w:numId w:val="1"/>
      </w:numPr>
      <w:spacing w:before="40" w:after="0"/>
      <w:outlineLvl w:val="5"/>
    </w:pPr>
    <w:rPr>
      <w:color w:val="1E4D78"/>
    </w:rPr>
  </w:style>
  <w:style w:type="paragraph" w:styleId="Heading7">
    <w:name w:val="heading 7"/>
    <w:basedOn w:val="Normal"/>
    <w:next w:val="Normal"/>
    <w:link w:val="Heading7Char"/>
    <w:uiPriority w:val="9"/>
    <w:semiHidden/>
    <w:unhideWhenUsed/>
    <w:qFormat/>
    <w:rsid w:val="005C12E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C12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12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CellMar>
        <w:left w:w="115" w:type="dxa"/>
        <w:right w:w="115"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70" w:type="dxa"/>
        <w:right w:w="70" w:type="dxa"/>
      </w:tblCellMar>
    </w:tblPr>
  </w:style>
  <w:style w:type="table" w:customStyle="1" w:styleId="6">
    <w:name w:val="6"/>
    <w:basedOn w:val="TableNormal1"/>
    <w:tblPr>
      <w:tblStyleRowBandSize w:val="1"/>
      <w:tblStyleColBandSize w:val="1"/>
      <w:tblCellMar>
        <w:left w:w="70" w:type="dxa"/>
        <w:right w:w="70" w:type="dxa"/>
      </w:tblCellMar>
    </w:tbl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tblPr>
      <w:tblStyleRowBandSize w:val="1"/>
      <w:tblStyleColBandSize w:val="1"/>
      <w:tblCellMar>
        <w:left w:w="70" w:type="dxa"/>
        <w:right w:w="70" w:type="dxa"/>
      </w:tblCellMar>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CellMar>
        <w:left w:w="70" w:type="dxa"/>
        <w:right w:w="7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C1163"/>
    <w:rPr>
      <w:b/>
      <w:bCs/>
    </w:rPr>
  </w:style>
  <w:style w:type="character" w:customStyle="1" w:styleId="CommentSubjectChar">
    <w:name w:val="Comment Subject Char"/>
    <w:basedOn w:val="CommentTextChar"/>
    <w:link w:val="CommentSubject"/>
    <w:uiPriority w:val="99"/>
    <w:semiHidden/>
    <w:rsid w:val="009C1163"/>
    <w:rPr>
      <w:b/>
      <w:bCs/>
      <w:sz w:val="20"/>
      <w:szCs w:val="20"/>
    </w:rPr>
  </w:style>
  <w:style w:type="paragraph" w:styleId="BalloonText">
    <w:name w:val="Balloon Text"/>
    <w:basedOn w:val="Normal"/>
    <w:link w:val="BalloonTextChar"/>
    <w:uiPriority w:val="99"/>
    <w:semiHidden/>
    <w:unhideWhenUsed/>
    <w:rsid w:val="009C11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163"/>
    <w:rPr>
      <w:rFonts w:ascii="Segoe UI" w:hAnsi="Segoe UI" w:cs="Segoe UI"/>
      <w:sz w:val="18"/>
      <w:szCs w:val="18"/>
    </w:rPr>
  </w:style>
  <w:style w:type="character" w:customStyle="1" w:styleId="Heading7Char">
    <w:name w:val="Heading 7 Char"/>
    <w:basedOn w:val="DefaultParagraphFont"/>
    <w:link w:val="Heading7"/>
    <w:uiPriority w:val="9"/>
    <w:semiHidden/>
    <w:rsid w:val="005C12E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C12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12E7"/>
    <w:rPr>
      <w:rFonts w:asciiTheme="majorHAnsi" w:eastAsiaTheme="majorEastAsia" w:hAnsiTheme="majorHAnsi" w:cstheme="majorBidi"/>
      <w:i/>
      <w:iCs/>
      <w:color w:val="272727" w:themeColor="text1" w:themeTint="D8"/>
      <w:sz w:val="21"/>
      <w:szCs w:val="21"/>
    </w:rPr>
  </w:style>
  <w:style w:type="paragraph" w:styleId="ListParagraph">
    <w:name w:val="List Paragraph"/>
    <w:aliases w:val="Bullet List,FooterText,numbered,List Paragraph1,Paragraphe de liste1,Bulletr List Paragraph,列出段落,列出段落1,Use Case List Paragraph,Page Titles,cS List Paragraph,b1,Number_1,new,SGLText List Paragraph,Colorful List - Accent 11"/>
    <w:basedOn w:val="Normal"/>
    <w:link w:val="ListParagraphChar"/>
    <w:uiPriority w:val="34"/>
    <w:qFormat/>
    <w:rsid w:val="005C12E7"/>
    <w:pPr>
      <w:ind w:left="720"/>
      <w:contextualSpacing/>
    </w:pPr>
  </w:style>
  <w:style w:type="paragraph" w:styleId="NormalWeb">
    <w:name w:val="Normal (Web)"/>
    <w:basedOn w:val="Normal"/>
    <w:uiPriority w:val="99"/>
    <w:semiHidden/>
    <w:unhideWhenUsed/>
    <w:rsid w:val="008B390C"/>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OC1">
    <w:name w:val="toc 1"/>
    <w:basedOn w:val="Normal"/>
    <w:next w:val="Normal"/>
    <w:autoRedefine/>
    <w:uiPriority w:val="39"/>
    <w:unhideWhenUsed/>
    <w:rsid w:val="00917346"/>
    <w:pPr>
      <w:spacing w:after="100"/>
    </w:pPr>
  </w:style>
  <w:style w:type="paragraph" w:styleId="TOC2">
    <w:name w:val="toc 2"/>
    <w:basedOn w:val="Normal"/>
    <w:next w:val="Normal"/>
    <w:autoRedefine/>
    <w:uiPriority w:val="39"/>
    <w:unhideWhenUsed/>
    <w:rsid w:val="00917346"/>
    <w:pPr>
      <w:spacing w:after="100"/>
      <w:ind w:left="220"/>
    </w:pPr>
  </w:style>
  <w:style w:type="paragraph" w:styleId="TOC3">
    <w:name w:val="toc 3"/>
    <w:basedOn w:val="Normal"/>
    <w:next w:val="Normal"/>
    <w:autoRedefine/>
    <w:uiPriority w:val="39"/>
    <w:unhideWhenUsed/>
    <w:rsid w:val="00917346"/>
    <w:pPr>
      <w:spacing w:after="100"/>
      <w:ind w:left="440"/>
    </w:pPr>
  </w:style>
  <w:style w:type="paragraph" w:styleId="TOC4">
    <w:name w:val="toc 4"/>
    <w:basedOn w:val="Normal"/>
    <w:next w:val="Normal"/>
    <w:autoRedefine/>
    <w:uiPriority w:val="39"/>
    <w:unhideWhenUsed/>
    <w:rsid w:val="00917346"/>
    <w:pPr>
      <w:spacing w:after="100"/>
      <w:ind w:left="660"/>
    </w:pPr>
  </w:style>
  <w:style w:type="character" w:styleId="Hyperlink">
    <w:name w:val="Hyperlink"/>
    <w:basedOn w:val="DefaultParagraphFont"/>
    <w:uiPriority w:val="99"/>
    <w:unhideWhenUsed/>
    <w:rsid w:val="00917346"/>
    <w:rPr>
      <w:color w:val="0000FF" w:themeColor="hyperlink"/>
      <w:u w:val="single"/>
    </w:rPr>
  </w:style>
  <w:style w:type="paragraph" w:styleId="Caption">
    <w:name w:val="caption"/>
    <w:basedOn w:val="Normal"/>
    <w:next w:val="Normal"/>
    <w:uiPriority w:val="35"/>
    <w:unhideWhenUsed/>
    <w:qFormat/>
    <w:rsid w:val="009F032F"/>
    <w:pPr>
      <w:spacing w:after="200" w:line="240" w:lineRule="auto"/>
    </w:pPr>
    <w:rPr>
      <w:rFonts w:asciiTheme="minorHAnsi" w:eastAsiaTheme="minorHAnsi" w:hAnsiTheme="minorHAnsi" w:cstheme="minorBidi"/>
      <w:i/>
      <w:iCs/>
      <w:color w:val="1F497D" w:themeColor="text2"/>
      <w:sz w:val="18"/>
      <w:szCs w:val="18"/>
      <w:lang w:val="es-MX" w:eastAsia="en-US"/>
    </w:rPr>
  </w:style>
  <w:style w:type="paragraph" w:customStyle="1" w:styleId="100-Paragraph">
    <w:name w:val="100-Paragraph"/>
    <w:basedOn w:val="Normal"/>
    <w:link w:val="100-ParagraphChar"/>
    <w:qFormat/>
    <w:rsid w:val="00BB6DD0"/>
    <w:pPr>
      <w:spacing w:before="100" w:beforeAutospacing="1" w:after="100" w:afterAutospacing="1" w:line="240" w:lineRule="auto"/>
    </w:pPr>
    <w:rPr>
      <w:rFonts w:asciiTheme="minorHAnsi" w:eastAsia="Times New Roman" w:hAnsiTheme="minorHAnsi" w:cs="Times New Roman"/>
      <w:color w:val="1F497D" w:themeColor="text2"/>
      <w:sz w:val="20"/>
      <w:szCs w:val="24"/>
      <w:lang w:eastAsia="en-US"/>
    </w:rPr>
  </w:style>
  <w:style w:type="character" w:customStyle="1" w:styleId="100-ParagraphChar">
    <w:name w:val="100-Paragraph Char"/>
    <w:basedOn w:val="DefaultParagraphFont"/>
    <w:link w:val="100-Paragraph"/>
    <w:rsid w:val="00BB6DD0"/>
    <w:rPr>
      <w:rFonts w:asciiTheme="minorHAnsi" w:eastAsia="Times New Roman" w:hAnsiTheme="minorHAnsi" w:cs="Times New Roman"/>
      <w:color w:val="1F497D" w:themeColor="text2"/>
      <w:sz w:val="20"/>
      <w:szCs w:val="24"/>
      <w:lang w:eastAsia="en-US"/>
    </w:rPr>
  </w:style>
  <w:style w:type="table" w:customStyle="1" w:styleId="TableGrid1">
    <w:name w:val="Table Grid1"/>
    <w:basedOn w:val="TableNormal"/>
    <w:next w:val="TableGrid"/>
    <w:uiPriority w:val="59"/>
    <w:rsid w:val="00BB6DD0"/>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B6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 List Char,FooterText Char,numbered Char,List Paragraph1 Char,Paragraphe de liste1 Char,Bulletr List Paragraph Char,列出段落 Char,列出段落1 Char,Use Case List Paragraph Char,Page Titles Char,cS List Paragraph Char,b1 Char,Number_1 Char"/>
    <w:link w:val="ListParagraph"/>
    <w:uiPriority w:val="34"/>
    <w:rsid w:val="00177AEC"/>
  </w:style>
  <w:style w:type="paragraph" w:styleId="NoSpacing">
    <w:name w:val="No Spacing"/>
    <w:uiPriority w:val="1"/>
    <w:qFormat/>
    <w:rsid w:val="001E59B7"/>
    <w:pPr>
      <w:spacing w:after="0" w:line="240" w:lineRule="auto"/>
    </w:pPr>
    <w:rPr>
      <w:rFonts w:asciiTheme="minorHAnsi" w:eastAsiaTheme="minorEastAsia" w:hAnsiTheme="minorHAnsi" w:cstheme="minorBidi"/>
      <w:lang w:eastAsia="en-US"/>
    </w:rPr>
  </w:style>
  <w:style w:type="paragraph" w:styleId="Footer">
    <w:name w:val="footer"/>
    <w:basedOn w:val="Normal"/>
    <w:link w:val="FooterChar"/>
    <w:uiPriority w:val="99"/>
    <w:unhideWhenUsed/>
    <w:rsid w:val="008161A8"/>
    <w:pPr>
      <w:tabs>
        <w:tab w:val="center" w:pos="4419"/>
        <w:tab w:val="right" w:pos="8838"/>
      </w:tabs>
      <w:spacing w:after="0" w:line="240" w:lineRule="auto"/>
      <w:jc w:val="both"/>
    </w:pPr>
    <w:rPr>
      <w:rFonts w:asciiTheme="minorHAnsi" w:eastAsiaTheme="minorEastAsia" w:hAnsiTheme="minorHAnsi" w:cstheme="minorBidi"/>
      <w:sz w:val="20"/>
      <w:lang w:eastAsia="en-US"/>
    </w:rPr>
  </w:style>
  <w:style w:type="character" w:customStyle="1" w:styleId="FooterChar">
    <w:name w:val="Footer Char"/>
    <w:basedOn w:val="DefaultParagraphFont"/>
    <w:link w:val="Footer"/>
    <w:uiPriority w:val="99"/>
    <w:rsid w:val="008161A8"/>
    <w:rPr>
      <w:rFonts w:asciiTheme="minorHAnsi" w:eastAsiaTheme="minorEastAsia" w:hAnsiTheme="minorHAnsi" w:cstheme="minorBidi"/>
      <w:sz w:val="20"/>
      <w:lang w:eastAsia="en-US"/>
    </w:rPr>
  </w:style>
  <w:style w:type="character" w:styleId="Strong">
    <w:name w:val="Strong"/>
    <w:basedOn w:val="DefaultParagraphFont"/>
    <w:uiPriority w:val="22"/>
    <w:qFormat/>
    <w:rsid w:val="00523008"/>
    <w:rPr>
      <w:b/>
      <w:bCs/>
    </w:rPr>
  </w:style>
  <w:style w:type="paragraph" w:customStyle="1" w:styleId="050-Heading1">
    <w:name w:val="050-Heading1"/>
    <w:basedOn w:val="Heading1"/>
    <w:next w:val="100-Paragraph"/>
    <w:qFormat/>
    <w:rsid w:val="00FE300B"/>
    <w:pPr>
      <w:keepLines w:val="0"/>
      <w:pageBreakBefore/>
      <w:numPr>
        <w:numId w:val="9"/>
      </w:numPr>
      <w:spacing w:before="0" w:after="240" w:line="276" w:lineRule="auto"/>
      <w:ind w:left="1134" w:hanging="1134"/>
    </w:pPr>
    <w:rPr>
      <w:rFonts w:asciiTheme="majorHAnsi" w:eastAsia="SimSun" w:hAnsiTheme="majorHAnsi" w:cs="Arial"/>
      <w:bCs/>
      <w:color w:val="000000" w:themeColor="text1"/>
      <w:kern w:val="32"/>
      <w:sz w:val="44"/>
      <w:szCs w:val="36"/>
      <w:lang w:eastAsia="en-US"/>
    </w:rPr>
  </w:style>
  <w:style w:type="paragraph" w:customStyle="1" w:styleId="051-Heading2">
    <w:name w:val="051-Heading2"/>
    <w:basedOn w:val="Heading2"/>
    <w:next w:val="100-Paragraph"/>
    <w:qFormat/>
    <w:rsid w:val="00FE300B"/>
    <w:pPr>
      <w:keepLines w:val="0"/>
      <w:numPr>
        <w:numId w:val="9"/>
      </w:numPr>
      <w:spacing w:before="100" w:beforeAutospacing="1" w:after="100" w:afterAutospacing="1" w:line="276" w:lineRule="auto"/>
      <w:ind w:left="1134" w:hanging="1134"/>
    </w:pPr>
    <w:rPr>
      <w:rFonts w:asciiTheme="majorHAnsi" w:eastAsia="SimSun" w:hAnsiTheme="majorHAnsi" w:cstheme="minorHAnsi"/>
      <w:bCs/>
      <w:iCs/>
      <w:color w:val="000000" w:themeColor="text1"/>
      <w:sz w:val="32"/>
      <w:szCs w:val="32"/>
      <w:u w:val="none"/>
      <w:lang w:eastAsia="en-US"/>
    </w:rPr>
  </w:style>
  <w:style w:type="paragraph" w:customStyle="1" w:styleId="054-Heading5">
    <w:name w:val="054-Heading5"/>
    <w:basedOn w:val="Heading5"/>
    <w:next w:val="100-Paragraph"/>
    <w:qFormat/>
    <w:rsid w:val="00FE300B"/>
    <w:pPr>
      <w:numPr>
        <w:numId w:val="9"/>
      </w:numPr>
      <w:tabs>
        <w:tab w:val="left" w:pos="1134"/>
      </w:tabs>
      <w:spacing w:before="240" w:after="100" w:afterAutospacing="1" w:line="276" w:lineRule="auto"/>
      <w:ind w:left="1134" w:right="-737" w:hanging="1134"/>
    </w:pPr>
    <w:rPr>
      <w:rFonts w:ascii="Nokia Pure Headline Light" w:eastAsiaTheme="majorEastAsia" w:hAnsi="Nokia Pure Headline Light" w:cstheme="majorBidi"/>
      <w:color w:val="000000" w:themeColor="text1"/>
      <w:szCs w:val="24"/>
      <w:lang w:eastAsia="en-US"/>
    </w:rPr>
  </w:style>
  <w:style w:type="paragraph" w:customStyle="1" w:styleId="055-Heading6">
    <w:name w:val="055-Heading6"/>
    <w:basedOn w:val="Heading6"/>
    <w:next w:val="100-Paragraph"/>
    <w:qFormat/>
    <w:rsid w:val="00FE300B"/>
    <w:pPr>
      <w:numPr>
        <w:numId w:val="9"/>
      </w:numPr>
      <w:spacing w:before="240" w:after="100" w:afterAutospacing="1" w:line="276" w:lineRule="auto"/>
      <w:ind w:left="1560" w:right="-737" w:hanging="1560"/>
    </w:pPr>
    <w:rPr>
      <w:rFonts w:asciiTheme="majorHAnsi" w:eastAsiaTheme="majorEastAsia" w:hAnsiTheme="majorHAnsi" w:cstheme="majorBidi"/>
      <w:iCs/>
      <w:color w:val="000000" w:themeColor="text1"/>
      <w:sz w:val="20"/>
      <w:szCs w:val="24"/>
      <w:lang w:eastAsia="en-US"/>
    </w:rPr>
  </w:style>
  <w:style w:type="paragraph" w:customStyle="1" w:styleId="052-Heading3">
    <w:name w:val="052-Heading3"/>
    <w:basedOn w:val="Heading3"/>
    <w:next w:val="100-Paragraph"/>
    <w:qFormat/>
    <w:rsid w:val="00FE300B"/>
    <w:pPr>
      <w:numPr>
        <w:numId w:val="9"/>
      </w:numPr>
      <w:spacing w:before="240" w:after="100" w:afterAutospacing="1" w:line="276" w:lineRule="auto"/>
      <w:ind w:left="1134" w:right="-737" w:hanging="1134"/>
    </w:pPr>
    <w:rPr>
      <w:rFonts w:asciiTheme="majorHAnsi" w:eastAsiaTheme="majorEastAsia" w:hAnsiTheme="majorHAnsi" w:cstheme="majorBidi"/>
      <w:bCs/>
      <w:i w:val="0"/>
      <w:color w:val="000000" w:themeColor="text1"/>
      <w:sz w:val="28"/>
      <w:lang w:eastAsia="en-US"/>
    </w:rPr>
  </w:style>
  <w:style w:type="paragraph" w:customStyle="1" w:styleId="053-Heading4">
    <w:name w:val="053-Heading4"/>
    <w:basedOn w:val="Heading4"/>
    <w:next w:val="100-Paragraph"/>
    <w:qFormat/>
    <w:rsid w:val="00FE300B"/>
    <w:pPr>
      <w:numPr>
        <w:numId w:val="9"/>
      </w:numPr>
      <w:spacing w:before="240" w:after="100" w:afterAutospacing="1" w:line="276" w:lineRule="auto"/>
      <w:ind w:left="1134" w:right="-737" w:hanging="1134"/>
    </w:pPr>
    <w:rPr>
      <w:rFonts w:asciiTheme="majorHAnsi" w:eastAsiaTheme="majorEastAsia" w:hAnsiTheme="majorHAnsi" w:cstheme="majorBidi"/>
      <w:bCs/>
      <w:i w:val="0"/>
      <w:iCs/>
      <w:color w:val="000000" w:themeColor="text1"/>
      <w:sz w:val="24"/>
      <w:szCs w:val="24"/>
      <w:lang w:eastAsia="en-US"/>
    </w:rPr>
  </w:style>
  <w:style w:type="character" w:styleId="IntenseEmphasis">
    <w:name w:val="Intense Emphasis"/>
    <w:basedOn w:val="DefaultParagraphFont"/>
    <w:uiPriority w:val="21"/>
    <w:qFormat/>
    <w:rsid w:val="008D6549"/>
    <w:rPr>
      <w:i/>
      <w:iCs/>
      <w:color w:val="4F81BD" w:themeColor="accent1"/>
    </w:rPr>
  </w:style>
  <w:style w:type="character" w:customStyle="1" w:styleId="Heading3Char">
    <w:name w:val="Heading 3 Char"/>
    <w:basedOn w:val="DefaultParagraphFont"/>
    <w:link w:val="Heading3"/>
    <w:rsid w:val="00330C84"/>
    <w:rPr>
      <w:i/>
      <w:color w:val="1E4D78"/>
      <w:sz w:val="24"/>
      <w:szCs w:val="24"/>
    </w:rPr>
  </w:style>
  <w:style w:type="character" w:customStyle="1" w:styleId="highlight">
    <w:name w:val="highlight"/>
    <w:basedOn w:val="DefaultParagraphFont"/>
    <w:rsid w:val="00F4129F"/>
  </w:style>
  <w:style w:type="paragraph" w:styleId="Header">
    <w:name w:val="header"/>
    <w:basedOn w:val="Normal"/>
    <w:link w:val="HeaderChar"/>
    <w:uiPriority w:val="99"/>
    <w:unhideWhenUsed/>
    <w:rsid w:val="003D1DF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D1DF7"/>
  </w:style>
  <w:style w:type="character" w:styleId="Emphasis">
    <w:name w:val="Emphasis"/>
    <w:basedOn w:val="DefaultParagraphFont"/>
    <w:uiPriority w:val="20"/>
    <w:qFormat/>
    <w:rsid w:val="00D46120"/>
    <w:rPr>
      <w:i/>
      <w:iCs/>
    </w:rPr>
  </w:style>
  <w:style w:type="character" w:customStyle="1" w:styleId="hscoswrapper">
    <w:name w:val="hs_cos_wrapper"/>
    <w:basedOn w:val="DefaultParagraphFont"/>
    <w:rsid w:val="00A42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1766">
      <w:bodyDiv w:val="1"/>
      <w:marLeft w:val="0"/>
      <w:marRight w:val="0"/>
      <w:marTop w:val="0"/>
      <w:marBottom w:val="0"/>
      <w:divBdr>
        <w:top w:val="none" w:sz="0" w:space="0" w:color="auto"/>
        <w:left w:val="none" w:sz="0" w:space="0" w:color="auto"/>
        <w:bottom w:val="none" w:sz="0" w:space="0" w:color="auto"/>
        <w:right w:val="none" w:sz="0" w:space="0" w:color="auto"/>
      </w:divBdr>
    </w:div>
    <w:div w:id="206911578">
      <w:bodyDiv w:val="1"/>
      <w:marLeft w:val="0"/>
      <w:marRight w:val="0"/>
      <w:marTop w:val="0"/>
      <w:marBottom w:val="0"/>
      <w:divBdr>
        <w:top w:val="none" w:sz="0" w:space="0" w:color="auto"/>
        <w:left w:val="none" w:sz="0" w:space="0" w:color="auto"/>
        <w:bottom w:val="none" w:sz="0" w:space="0" w:color="auto"/>
        <w:right w:val="none" w:sz="0" w:space="0" w:color="auto"/>
      </w:divBdr>
    </w:div>
    <w:div w:id="458228948">
      <w:bodyDiv w:val="1"/>
      <w:marLeft w:val="0"/>
      <w:marRight w:val="0"/>
      <w:marTop w:val="0"/>
      <w:marBottom w:val="0"/>
      <w:divBdr>
        <w:top w:val="none" w:sz="0" w:space="0" w:color="auto"/>
        <w:left w:val="none" w:sz="0" w:space="0" w:color="auto"/>
        <w:bottom w:val="none" w:sz="0" w:space="0" w:color="auto"/>
        <w:right w:val="none" w:sz="0" w:space="0" w:color="auto"/>
      </w:divBdr>
    </w:div>
    <w:div w:id="531765585">
      <w:bodyDiv w:val="1"/>
      <w:marLeft w:val="0"/>
      <w:marRight w:val="0"/>
      <w:marTop w:val="0"/>
      <w:marBottom w:val="0"/>
      <w:divBdr>
        <w:top w:val="none" w:sz="0" w:space="0" w:color="auto"/>
        <w:left w:val="none" w:sz="0" w:space="0" w:color="auto"/>
        <w:bottom w:val="none" w:sz="0" w:space="0" w:color="auto"/>
        <w:right w:val="none" w:sz="0" w:space="0" w:color="auto"/>
      </w:divBdr>
    </w:div>
    <w:div w:id="620188808">
      <w:bodyDiv w:val="1"/>
      <w:marLeft w:val="0"/>
      <w:marRight w:val="0"/>
      <w:marTop w:val="0"/>
      <w:marBottom w:val="0"/>
      <w:divBdr>
        <w:top w:val="none" w:sz="0" w:space="0" w:color="auto"/>
        <w:left w:val="none" w:sz="0" w:space="0" w:color="auto"/>
        <w:bottom w:val="none" w:sz="0" w:space="0" w:color="auto"/>
        <w:right w:val="none" w:sz="0" w:space="0" w:color="auto"/>
      </w:divBdr>
    </w:div>
    <w:div w:id="678701463">
      <w:bodyDiv w:val="1"/>
      <w:marLeft w:val="0"/>
      <w:marRight w:val="0"/>
      <w:marTop w:val="0"/>
      <w:marBottom w:val="0"/>
      <w:divBdr>
        <w:top w:val="none" w:sz="0" w:space="0" w:color="auto"/>
        <w:left w:val="none" w:sz="0" w:space="0" w:color="auto"/>
        <w:bottom w:val="none" w:sz="0" w:space="0" w:color="auto"/>
        <w:right w:val="none" w:sz="0" w:space="0" w:color="auto"/>
      </w:divBdr>
    </w:div>
    <w:div w:id="746996865">
      <w:bodyDiv w:val="1"/>
      <w:marLeft w:val="0"/>
      <w:marRight w:val="0"/>
      <w:marTop w:val="0"/>
      <w:marBottom w:val="0"/>
      <w:divBdr>
        <w:top w:val="none" w:sz="0" w:space="0" w:color="auto"/>
        <w:left w:val="none" w:sz="0" w:space="0" w:color="auto"/>
        <w:bottom w:val="none" w:sz="0" w:space="0" w:color="auto"/>
        <w:right w:val="none" w:sz="0" w:space="0" w:color="auto"/>
      </w:divBdr>
    </w:div>
    <w:div w:id="835614877">
      <w:bodyDiv w:val="1"/>
      <w:marLeft w:val="0"/>
      <w:marRight w:val="0"/>
      <w:marTop w:val="0"/>
      <w:marBottom w:val="0"/>
      <w:divBdr>
        <w:top w:val="none" w:sz="0" w:space="0" w:color="auto"/>
        <w:left w:val="none" w:sz="0" w:space="0" w:color="auto"/>
        <w:bottom w:val="none" w:sz="0" w:space="0" w:color="auto"/>
        <w:right w:val="none" w:sz="0" w:space="0" w:color="auto"/>
      </w:divBdr>
    </w:div>
    <w:div w:id="888078923">
      <w:bodyDiv w:val="1"/>
      <w:marLeft w:val="0"/>
      <w:marRight w:val="0"/>
      <w:marTop w:val="0"/>
      <w:marBottom w:val="0"/>
      <w:divBdr>
        <w:top w:val="none" w:sz="0" w:space="0" w:color="auto"/>
        <w:left w:val="none" w:sz="0" w:space="0" w:color="auto"/>
        <w:bottom w:val="none" w:sz="0" w:space="0" w:color="auto"/>
        <w:right w:val="none" w:sz="0" w:space="0" w:color="auto"/>
      </w:divBdr>
    </w:div>
    <w:div w:id="905992871">
      <w:bodyDiv w:val="1"/>
      <w:marLeft w:val="0"/>
      <w:marRight w:val="0"/>
      <w:marTop w:val="0"/>
      <w:marBottom w:val="0"/>
      <w:divBdr>
        <w:top w:val="none" w:sz="0" w:space="0" w:color="auto"/>
        <w:left w:val="none" w:sz="0" w:space="0" w:color="auto"/>
        <w:bottom w:val="none" w:sz="0" w:space="0" w:color="auto"/>
        <w:right w:val="none" w:sz="0" w:space="0" w:color="auto"/>
      </w:divBdr>
    </w:div>
    <w:div w:id="951596282">
      <w:bodyDiv w:val="1"/>
      <w:marLeft w:val="0"/>
      <w:marRight w:val="0"/>
      <w:marTop w:val="0"/>
      <w:marBottom w:val="0"/>
      <w:divBdr>
        <w:top w:val="none" w:sz="0" w:space="0" w:color="auto"/>
        <w:left w:val="none" w:sz="0" w:space="0" w:color="auto"/>
        <w:bottom w:val="none" w:sz="0" w:space="0" w:color="auto"/>
        <w:right w:val="none" w:sz="0" w:space="0" w:color="auto"/>
      </w:divBdr>
    </w:div>
    <w:div w:id="971666847">
      <w:bodyDiv w:val="1"/>
      <w:marLeft w:val="0"/>
      <w:marRight w:val="0"/>
      <w:marTop w:val="0"/>
      <w:marBottom w:val="0"/>
      <w:divBdr>
        <w:top w:val="none" w:sz="0" w:space="0" w:color="auto"/>
        <w:left w:val="none" w:sz="0" w:space="0" w:color="auto"/>
        <w:bottom w:val="none" w:sz="0" w:space="0" w:color="auto"/>
        <w:right w:val="none" w:sz="0" w:space="0" w:color="auto"/>
      </w:divBdr>
    </w:div>
    <w:div w:id="1009524575">
      <w:bodyDiv w:val="1"/>
      <w:marLeft w:val="0"/>
      <w:marRight w:val="0"/>
      <w:marTop w:val="0"/>
      <w:marBottom w:val="0"/>
      <w:divBdr>
        <w:top w:val="none" w:sz="0" w:space="0" w:color="auto"/>
        <w:left w:val="none" w:sz="0" w:space="0" w:color="auto"/>
        <w:bottom w:val="none" w:sz="0" w:space="0" w:color="auto"/>
        <w:right w:val="none" w:sz="0" w:space="0" w:color="auto"/>
      </w:divBdr>
    </w:div>
    <w:div w:id="1035732531">
      <w:bodyDiv w:val="1"/>
      <w:marLeft w:val="0"/>
      <w:marRight w:val="0"/>
      <w:marTop w:val="0"/>
      <w:marBottom w:val="0"/>
      <w:divBdr>
        <w:top w:val="none" w:sz="0" w:space="0" w:color="auto"/>
        <w:left w:val="none" w:sz="0" w:space="0" w:color="auto"/>
        <w:bottom w:val="none" w:sz="0" w:space="0" w:color="auto"/>
        <w:right w:val="none" w:sz="0" w:space="0" w:color="auto"/>
      </w:divBdr>
    </w:div>
    <w:div w:id="1163204523">
      <w:bodyDiv w:val="1"/>
      <w:marLeft w:val="0"/>
      <w:marRight w:val="0"/>
      <w:marTop w:val="0"/>
      <w:marBottom w:val="0"/>
      <w:divBdr>
        <w:top w:val="none" w:sz="0" w:space="0" w:color="auto"/>
        <w:left w:val="none" w:sz="0" w:space="0" w:color="auto"/>
        <w:bottom w:val="none" w:sz="0" w:space="0" w:color="auto"/>
        <w:right w:val="none" w:sz="0" w:space="0" w:color="auto"/>
      </w:divBdr>
    </w:div>
    <w:div w:id="1180700153">
      <w:bodyDiv w:val="1"/>
      <w:marLeft w:val="0"/>
      <w:marRight w:val="0"/>
      <w:marTop w:val="0"/>
      <w:marBottom w:val="0"/>
      <w:divBdr>
        <w:top w:val="none" w:sz="0" w:space="0" w:color="auto"/>
        <w:left w:val="none" w:sz="0" w:space="0" w:color="auto"/>
        <w:bottom w:val="none" w:sz="0" w:space="0" w:color="auto"/>
        <w:right w:val="none" w:sz="0" w:space="0" w:color="auto"/>
      </w:divBdr>
    </w:div>
    <w:div w:id="1199321247">
      <w:bodyDiv w:val="1"/>
      <w:marLeft w:val="0"/>
      <w:marRight w:val="0"/>
      <w:marTop w:val="0"/>
      <w:marBottom w:val="0"/>
      <w:divBdr>
        <w:top w:val="none" w:sz="0" w:space="0" w:color="auto"/>
        <w:left w:val="none" w:sz="0" w:space="0" w:color="auto"/>
        <w:bottom w:val="none" w:sz="0" w:space="0" w:color="auto"/>
        <w:right w:val="none" w:sz="0" w:space="0" w:color="auto"/>
      </w:divBdr>
    </w:div>
    <w:div w:id="1249538235">
      <w:bodyDiv w:val="1"/>
      <w:marLeft w:val="0"/>
      <w:marRight w:val="0"/>
      <w:marTop w:val="0"/>
      <w:marBottom w:val="0"/>
      <w:divBdr>
        <w:top w:val="none" w:sz="0" w:space="0" w:color="auto"/>
        <w:left w:val="none" w:sz="0" w:space="0" w:color="auto"/>
        <w:bottom w:val="none" w:sz="0" w:space="0" w:color="auto"/>
        <w:right w:val="none" w:sz="0" w:space="0" w:color="auto"/>
      </w:divBdr>
    </w:div>
    <w:div w:id="1320041230">
      <w:bodyDiv w:val="1"/>
      <w:marLeft w:val="0"/>
      <w:marRight w:val="0"/>
      <w:marTop w:val="0"/>
      <w:marBottom w:val="0"/>
      <w:divBdr>
        <w:top w:val="none" w:sz="0" w:space="0" w:color="auto"/>
        <w:left w:val="none" w:sz="0" w:space="0" w:color="auto"/>
        <w:bottom w:val="none" w:sz="0" w:space="0" w:color="auto"/>
        <w:right w:val="none" w:sz="0" w:space="0" w:color="auto"/>
      </w:divBdr>
    </w:div>
    <w:div w:id="1419016974">
      <w:bodyDiv w:val="1"/>
      <w:marLeft w:val="0"/>
      <w:marRight w:val="0"/>
      <w:marTop w:val="0"/>
      <w:marBottom w:val="0"/>
      <w:divBdr>
        <w:top w:val="none" w:sz="0" w:space="0" w:color="auto"/>
        <w:left w:val="none" w:sz="0" w:space="0" w:color="auto"/>
        <w:bottom w:val="none" w:sz="0" w:space="0" w:color="auto"/>
        <w:right w:val="none" w:sz="0" w:space="0" w:color="auto"/>
      </w:divBdr>
    </w:div>
    <w:div w:id="1513304491">
      <w:bodyDiv w:val="1"/>
      <w:marLeft w:val="0"/>
      <w:marRight w:val="0"/>
      <w:marTop w:val="0"/>
      <w:marBottom w:val="0"/>
      <w:divBdr>
        <w:top w:val="none" w:sz="0" w:space="0" w:color="auto"/>
        <w:left w:val="none" w:sz="0" w:space="0" w:color="auto"/>
        <w:bottom w:val="none" w:sz="0" w:space="0" w:color="auto"/>
        <w:right w:val="none" w:sz="0" w:space="0" w:color="auto"/>
      </w:divBdr>
    </w:div>
    <w:div w:id="1528593129">
      <w:bodyDiv w:val="1"/>
      <w:marLeft w:val="0"/>
      <w:marRight w:val="0"/>
      <w:marTop w:val="0"/>
      <w:marBottom w:val="0"/>
      <w:divBdr>
        <w:top w:val="none" w:sz="0" w:space="0" w:color="auto"/>
        <w:left w:val="none" w:sz="0" w:space="0" w:color="auto"/>
        <w:bottom w:val="none" w:sz="0" w:space="0" w:color="auto"/>
        <w:right w:val="none" w:sz="0" w:space="0" w:color="auto"/>
      </w:divBdr>
    </w:div>
    <w:div w:id="1654020931">
      <w:bodyDiv w:val="1"/>
      <w:marLeft w:val="0"/>
      <w:marRight w:val="0"/>
      <w:marTop w:val="0"/>
      <w:marBottom w:val="0"/>
      <w:divBdr>
        <w:top w:val="none" w:sz="0" w:space="0" w:color="auto"/>
        <w:left w:val="none" w:sz="0" w:space="0" w:color="auto"/>
        <w:bottom w:val="none" w:sz="0" w:space="0" w:color="auto"/>
        <w:right w:val="none" w:sz="0" w:space="0" w:color="auto"/>
      </w:divBdr>
    </w:div>
    <w:div w:id="1718628440">
      <w:bodyDiv w:val="1"/>
      <w:marLeft w:val="0"/>
      <w:marRight w:val="0"/>
      <w:marTop w:val="0"/>
      <w:marBottom w:val="0"/>
      <w:divBdr>
        <w:top w:val="none" w:sz="0" w:space="0" w:color="auto"/>
        <w:left w:val="none" w:sz="0" w:space="0" w:color="auto"/>
        <w:bottom w:val="none" w:sz="0" w:space="0" w:color="auto"/>
        <w:right w:val="none" w:sz="0" w:space="0" w:color="auto"/>
      </w:divBdr>
    </w:div>
    <w:div w:id="1733653747">
      <w:bodyDiv w:val="1"/>
      <w:marLeft w:val="0"/>
      <w:marRight w:val="0"/>
      <w:marTop w:val="0"/>
      <w:marBottom w:val="0"/>
      <w:divBdr>
        <w:top w:val="none" w:sz="0" w:space="0" w:color="auto"/>
        <w:left w:val="none" w:sz="0" w:space="0" w:color="auto"/>
        <w:bottom w:val="none" w:sz="0" w:space="0" w:color="auto"/>
        <w:right w:val="none" w:sz="0" w:space="0" w:color="auto"/>
      </w:divBdr>
    </w:div>
    <w:div w:id="1849363316">
      <w:bodyDiv w:val="1"/>
      <w:marLeft w:val="0"/>
      <w:marRight w:val="0"/>
      <w:marTop w:val="0"/>
      <w:marBottom w:val="0"/>
      <w:divBdr>
        <w:top w:val="none" w:sz="0" w:space="0" w:color="auto"/>
        <w:left w:val="none" w:sz="0" w:space="0" w:color="auto"/>
        <w:bottom w:val="none" w:sz="0" w:space="0" w:color="auto"/>
        <w:right w:val="none" w:sz="0" w:space="0" w:color="auto"/>
      </w:divBdr>
    </w:div>
    <w:div w:id="1850363469">
      <w:bodyDiv w:val="1"/>
      <w:marLeft w:val="0"/>
      <w:marRight w:val="0"/>
      <w:marTop w:val="0"/>
      <w:marBottom w:val="0"/>
      <w:divBdr>
        <w:top w:val="none" w:sz="0" w:space="0" w:color="auto"/>
        <w:left w:val="none" w:sz="0" w:space="0" w:color="auto"/>
        <w:bottom w:val="none" w:sz="0" w:space="0" w:color="auto"/>
        <w:right w:val="none" w:sz="0" w:space="0" w:color="auto"/>
      </w:divBdr>
    </w:div>
    <w:div w:id="1937790674">
      <w:bodyDiv w:val="1"/>
      <w:marLeft w:val="0"/>
      <w:marRight w:val="0"/>
      <w:marTop w:val="0"/>
      <w:marBottom w:val="0"/>
      <w:divBdr>
        <w:top w:val="none" w:sz="0" w:space="0" w:color="auto"/>
        <w:left w:val="none" w:sz="0" w:space="0" w:color="auto"/>
        <w:bottom w:val="none" w:sz="0" w:space="0" w:color="auto"/>
        <w:right w:val="none" w:sz="0" w:space="0" w:color="auto"/>
      </w:divBdr>
    </w:div>
    <w:div w:id="1965499128">
      <w:bodyDiv w:val="1"/>
      <w:marLeft w:val="0"/>
      <w:marRight w:val="0"/>
      <w:marTop w:val="0"/>
      <w:marBottom w:val="0"/>
      <w:divBdr>
        <w:top w:val="none" w:sz="0" w:space="0" w:color="auto"/>
        <w:left w:val="none" w:sz="0" w:space="0" w:color="auto"/>
        <w:bottom w:val="none" w:sz="0" w:space="0" w:color="auto"/>
        <w:right w:val="none" w:sz="0" w:space="0" w:color="auto"/>
      </w:divBdr>
    </w:div>
    <w:div w:id="1971158517">
      <w:bodyDiv w:val="1"/>
      <w:marLeft w:val="0"/>
      <w:marRight w:val="0"/>
      <w:marTop w:val="0"/>
      <w:marBottom w:val="0"/>
      <w:divBdr>
        <w:top w:val="none" w:sz="0" w:space="0" w:color="auto"/>
        <w:left w:val="none" w:sz="0" w:space="0" w:color="auto"/>
        <w:bottom w:val="none" w:sz="0" w:space="0" w:color="auto"/>
        <w:right w:val="none" w:sz="0" w:space="0" w:color="auto"/>
      </w:divBdr>
    </w:div>
    <w:div w:id="2074039066">
      <w:bodyDiv w:val="1"/>
      <w:marLeft w:val="0"/>
      <w:marRight w:val="0"/>
      <w:marTop w:val="0"/>
      <w:marBottom w:val="0"/>
      <w:divBdr>
        <w:top w:val="none" w:sz="0" w:space="0" w:color="auto"/>
        <w:left w:val="none" w:sz="0" w:space="0" w:color="auto"/>
        <w:bottom w:val="none" w:sz="0" w:space="0" w:color="auto"/>
        <w:right w:val="none" w:sz="0" w:space="0" w:color="auto"/>
      </w:divBdr>
    </w:div>
    <w:div w:id="2124111044">
      <w:bodyDiv w:val="1"/>
      <w:marLeft w:val="0"/>
      <w:marRight w:val="0"/>
      <w:marTop w:val="0"/>
      <w:marBottom w:val="0"/>
      <w:divBdr>
        <w:top w:val="none" w:sz="0" w:space="0" w:color="auto"/>
        <w:left w:val="none" w:sz="0" w:space="0" w:color="auto"/>
        <w:bottom w:val="none" w:sz="0" w:space="0" w:color="auto"/>
        <w:right w:val="none" w:sz="0" w:space="0" w:color="auto"/>
      </w:divBdr>
    </w:div>
    <w:div w:id="2131629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D520-C870-4E3D-A2D5-CE4928DEA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1110</Words>
  <Characters>6330</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ortiz</dc:creator>
  <cp:keywords/>
  <dc:description/>
  <cp:lastModifiedBy>edgar ortiz</cp:lastModifiedBy>
  <cp:revision>3</cp:revision>
  <dcterms:created xsi:type="dcterms:W3CDTF">2020-05-04T23:36:00Z</dcterms:created>
  <dcterms:modified xsi:type="dcterms:W3CDTF">2020-05-05T01:52:00Z</dcterms:modified>
</cp:coreProperties>
</file>