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ED3E" w14:textId="752252FC" w:rsidR="005A4909" w:rsidRPr="000155B3" w:rsidRDefault="005A4909">
      <w:pPr>
        <w:rPr>
          <w:lang w:val="en-US"/>
        </w:rPr>
      </w:pPr>
    </w:p>
    <w:p w14:paraId="54DECB7E" w14:textId="1D74507A" w:rsidR="00B34F5E" w:rsidRPr="000155B3" w:rsidRDefault="005A4909" w:rsidP="00CB3F57">
      <w:pPr>
        <w:pStyle w:val="Heading1"/>
        <w:numPr>
          <w:ilvl w:val="0"/>
          <w:numId w:val="0"/>
        </w:numPr>
        <w:rPr>
          <w:lang w:val="en-US"/>
        </w:rPr>
      </w:pPr>
      <w:bookmarkStart w:id="0" w:name="_Toc53092814"/>
      <w:r w:rsidRPr="000155B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477843F2" w:rsidR="00CF5E61" w:rsidRPr="00FF0078" w:rsidRDefault="00AC34E0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Capacity Management Plan Template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11EDAF47" w:rsidR="00CF5E61" w:rsidRPr="005A4909" w:rsidRDefault="00FF0078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&lt;NaaS Operator’s Name&gt;</w:t>
                            </w:r>
                          </w:p>
                          <w:p w14:paraId="6E2BD116" w14:textId="692656AD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 w:rsidRPr="00FF0078">
                              <w:rPr>
                                <w:rFonts w:cs="Arial"/>
                                <w:i/>
                                <w:noProof/>
                                <w:sz w:val="28"/>
                                <w:szCs w:val="44"/>
                                <w:lang w:eastAsia="es-MX"/>
                              </w:rPr>
                              <w:drawing>
                                <wp:inline distT="0" distB="0" distL="0" distR="0" wp14:anchorId="7ED82CFF" wp14:editId="46432008">
                                  <wp:extent cx="1036410" cy="1060796"/>
                                  <wp:effectExtent l="0" t="0" r="0" b="6350"/>
                                  <wp:docPr id="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410" cy="1060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79AA65DA" w:rsidR="00CF5E61" w:rsidRDefault="00AC34E0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  <w:t>September</w:t>
                            </w: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 xml:space="preserve"> 2020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477843F2" w:rsidR="00CF5E61" w:rsidRPr="00FF0078" w:rsidRDefault="00AC34E0" w:rsidP="005A4909">
                      <w:pPr>
                        <w:jc w:val="center"/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  <w:t>Capacity Management Plan Template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11EDAF47" w:rsidR="00CF5E61" w:rsidRPr="005A4909" w:rsidRDefault="00FF0078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&lt;NaaS Operator’s Name&gt;</w:t>
                      </w:r>
                    </w:p>
                    <w:p w14:paraId="6E2BD116" w14:textId="692656AD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 w:rsidRPr="00FF0078">
                        <w:rPr>
                          <w:rFonts w:cs="Arial"/>
                          <w:i/>
                          <w:noProof/>
                          <w:sz w:val="28"/>
                          <w:szCs w:val="44"/>
                          <w:lang w:eastAsia="es-MX"/>
                        </w:rPr>
                        <w:drawing>
                          <wp:inline distT="0" distB="0" distL="0" distR="0" wp14:anchorId="7ED82CFF" wp14:editId="46432008">
                            <wp:extent cx="1036410" cy="1060796"/>
                            <wp:effectExtent l="0" t="0" r="0" b="6350"/>
                            <wp:docPr id="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6410" cy="1060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79AA65DA" w:rsidR="00CF5E61" w:rsidRDefault="00AC34E0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  <w:t>September</w:t>
                      </w: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 xml:space="preserve"> 2020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r w:rsidR="00B34F5E" w:rsidRPr="000155B3">
        <w:rPr>
          <w:lang w:val="en-US"/>
        </w:rPr>
        <w:lastRenderedPageBreak/>
        <w:t>Table of Content</w:t>
      </w:r>
      <w:r w:rsidR="00BC3BB7" w:rsidRPr="000155B3">
        <w:rPr>
          <w:lang w:val="en-US"/>
        </w:rPr>
        <w:t>s</w:t>
      </w:r>
      <w:bookmarkEnd w:id="0"/>
    </w:p>
    <w:p w14:paraId="23F9F36E" w14:textId="6D2522D9" w:rsidR="00910FFE" w:rsidRDefault="00B34F5E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TOC \o "1-3" \h \z \u </w:instrText>
      </w:r>
      <w:r w:rsidRPr="000155B3">
        <w:rPr>
          <w:lang w:val="en-US"/>
        </w:rPr>
        <w:fldChar w:fldCharType="separate"/>
      </w:r>
      <w:hyperlink w:anchor="_Toc53092814" w:history="1">
        <w:r w:rsidR="00910FFE" w:rsidRPr="00585447">
          <w:rPr>
            <w:rStyle w:val="Hyperlink"/>
            <w:noProof/>
            <w:lang w:val="en-US"/>
          </w:rPr>
          <w:t>Table of Contents</w:t>
        </w:r>
        <w:r w:rsidR="00910FFE">
          <w:rPr>
            <w:noProof/>
            <w:webHidden/>
          </w:rPr>
          <w:tab/>
        </w:r>
        <w:r w:rsidR="00910FFE">
          <w:rPr>
            <w:noProof/>
            <w:webHidden/>
          </w:rPr>
          <w:fldChar w:fldCharType="begin"/>
        </w:r>
        <w:r w:rsidR="00910FFE">
          <w:rPr>
            <w:noProof/>
            <w:webHidden/>
          </w:rPr>
          <w:instrText xml:space="preserve"> PAGEREF _Toc53092814 \h </w:instrText>
        </w:r>
        <w:r w:rsidR="00910FFE">
          <w:rPr>
            <w:noProof/>
            <w:webHidden/>
          </w:rPr>
        </w:r>
        <w:r w:rsidR="00910FFE">
          <w:rPr>
            <w:noProof/>
            <w:webHidden/>
          </w:rPr>
          <w:fldChar w:fldCharType="separate"/>
        </w:r>
        <w:r w:rsidR="00910FFE">
          <w:rPr>
            <w:noProof/>
            <w:webHidden/>
          </w:rPr>
          <w:t>1</w:t>
        </w:r>
        <w:r w:rsidR="00910FFE">
          <w:rPr>
            <w:noProof/>
            <w:webHidden/>
          </w:rPr>
          <w:fldChar w:fldCharType="end"/>
        </w:r>
      </w:hyperlink>
    </w:p>
    <w:p w14:paraId="46FC87BF" w14:textId="7C76D221" w:rsidR="00910FFE" w:rsidRDefault="00910FFE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15" w:history="1">
        <w:r w:rsidRPr="00585447">
          <w:rPr>
            <w:rStyle w:val="Hyperlink"/>
            <w:noProof/>
            <w:lang w:val="en-US"/>
          </w:rPr>
          <w:t>1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  <w:lang w:val="en-US"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F07A7C" w14:textId="2F47503E" w:rsidR="00910FFE" w:rsidRDefault="00910FFE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16" w:history="1">
        <w:r w:rsidRPr="00585447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  <w:lang w:val="en-US"/>
          </w:rPr>
          <w:t>About Design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7C78F" w14:textId="0AD9994B" w:rsidR="00910FFE" w:rsidRDefault="00910FFE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17" w:history="1">
        <w:r w:rsidRPr="00585447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CF6AA0" w14:textId="0FDB63E0" w:rsidR="00910FFE" w:rsidRDefault="00910FFE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18" w:history="1">
        <w:r w:rsidRPr="00585447">
          <w:rPr>
            <w:rStyle w:val="Hyperlink"/>
            <w:noProof/>
            <w:lang w:val="en-US"/>
          </w:rPr>
          <w:t>3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  <w:lang w:val="en-US"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3A6660" w14:textId="559C0FAF" w:rsidR="00910FFE" w:rsidRDefault="00910FFE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19" w:history="1">
        <w:r w:rsidRPr="00585447">
          <w:rPr>
            <w:rStyle w:val="Hyperlink"/>
            <w:noProof/>
            <w:lang w:val="en-US"/>
          </w:rPr>
          <w:t>4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63A15" w14:textId="5F8EACD4" w:rsidR="00910FFE" w:rsidRDefault="00910FFE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0" w:history="1">
        <w:r w:rsidRPr="00585447">
          <w:rPr>
            <w:rStyle w:val="Hyperlink"/>
            <w:noProof/>
            <w:lang w:val="en-US"/>
          </w:rPr>
          <w:t>5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  <w:lang w:val="en-US"/>
          </w:rPr>
          <w:t>Capacity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EFCDE" w14:textId="03D51C5E" w:rsidR="00910FFE" w:rsidRDefault="00910FFE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1" w:history="1">
        <w:r w:rsidRPr="00585447">
          <w:rPr>
            <w:rStyle w:val="Hyperlink"/>
            <w:noProof/>
          </w:rPr>
          <w:t>5.1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Radio Access Network (RAN) CMOs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77DD4" w14:textId="14A9295F" w:rsidR="00910FFE" w:rsidRDefault="00910FFE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2" w:history="1">
        <w:r w:rsidRPr="00585447">
          <w:rPr>
            <w:rStyle w:val="Hyperlink"/>
            <w:noProof/>
          </w:rPr>
          <w:t>5.1.1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CMO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831C29" w14:textId="7F598318" w:rsidR="00910FFE" w:rsidRDefault="00910FFE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3" w:history="1">
        <w:r w:rsidRPr="00585447">
          <w:rPr>
            <w:rStyle w:val="Hyperlink"/>
            <w:noProof/>
          </w:rPr>
          <w:t>5.1.2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RAN CMO analysis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DC2B55" w14:textId="5A2187E5" w:rsidR="00910FFE" w:rsidRDefault="00910FFE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4" w:history="1">
        <w:r w:rsidRPr="00585447">
          <w:rPr>
            <w:rStyle w:val="Hyperlink"/>
            <w:noProof/>
          </w:rPr>
          <w:t>5.2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Transport Network CMOs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773EEF" w14:textId="5A28C421" w:rsidR="00910FFE" w:rsidRDefault="00910FFE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5" w:history="1">
        <w:r w:rsidRPr="00585447">
          <w:rPr>
            <w:rStyle w:val="Hyperlink"/>
            <w:noProof/>
          </w:rPr>
          <w:t>5.2.1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Transport Network CMOs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635C2" w14:textId="51CC561F" w:rsidR="00910FFE" w:rsidRDefault="00910FFE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6" w:history="1">
        <w:r w:rsidRPr="00585447">
          <w:rPr>
            <w:rStyle w:val="Hyperlink"/>
            <w:noProof/>
          </w:rPr>
          <w:t>5.2.2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Transport Network CMO analysis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932A3" w14:textId="29F0919A" w:rsidR="00910FFE" w:rsidRDefault="00910FFE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7" w:history="1">
        <w:r w:rsidRPr="00585447">
          <w:rPr>
            <w:rStyle w:val="Hyperlink"/>
            <w:noProof/>
          </w:rPr>
          <w:t>5.3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Core Network CMOs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5864EB" w14:textId="22235EEE" w:rsidR="00910FFE" w:rsidRDefault="00910FFE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8" w:history="1">
        <w:r w:rsidRPr="00585447">
          <w:rPr>
            <w:rStyle w:val="Hyperlink"/>
            <w:noProof/>
          </w:rPr>
          <w:t>5.3.1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Core Network CMOs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244CB5" w14:textId="329EE861" w:rsidR="00910FFE" w:rsidRDefault="00910FFE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29" w:history="1">
        <w:r w:rsidRPr="00585447">
          <w:rPr>
            <w:rStyle w:val="Hyperlink"/>
            <w:noProof/>
          </w:rPr>
          <w:t>5.3.2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</w:rPr>
          <w:t>Core Network CMOs analysis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9FA494" w14:textId="2762939F" w:rsidR="00910FFE" w:rsidRDefault="00910FFE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092830" w:history="1">
        <w:r w:rsidRPr="00585447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es-MX"/>
          </w:rPr>
          <w:tab/>
        </w:r>
        <w:r w:rsidRPr="00585447">
          <w:rPr>
            <w:rStyle w:val="Hyperlink"/>
            <w:noProof/>
            <w:lang w:val="en-US"/>
          </w:rPr>
          <w:t>Conclusion</w:t>
        </w:r>
        <w:r w:rsidRPr="00585447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F9131" w14:textId="2F79A007" w:rsidR="00B34F5E" w:rsidRPr="000155B3" w:rsidRDefault="00B34F5E" w:rsidP="005E216E">
      <w:pPr>
        <w:tabs>
          <w:tab w:val="left" w:pos="2775"/>
        </w:tabs>
        <w:rPr>
          <w:lang w:val="en-US"/>
        </w:rPr>
      </w:pPr>
      <w:r w:rsidRPr="000155B3">
        <w:rPr>
          <w:lang w:val="en-US"/>
        </w:rPr>
        <w:fldChar w:fldCharType="end"/>
      </w:r>
      <w:r w:rsidR="005E216E" w:rsidRPr="000155B3">
        <w:rPr>
          <w:lang w:val="en-US"/>
        </w:rPr>
        <w:tab/>
      </w:r>
    </w:p>
    <w:p w14:paraId="1ED949B8" w14:textId="5A2754FE" w:rsidR="00DB531F" w:rsidRPr="000155B3" w:rsidRDefault="00DB531F">
      <w:pPr>
        <w:rPr>
          <w:lang w:val="en-US"/>
        </w:rPr>
      </w:pPr>
      <w:r w:rsidRPr="000155B3">
        <w:rPr>
          <w:lang w:val="en-US"/>
        </w:rPr>
        <w:br w:type="page"/>
      </w:r>
    </w:p>
    <w:p w14:paraId="0451A593" w14:textId="38387DE9" w:rsidR="003308D6" w:rsidRPr="000155B3" w:rsidRDefault="00CA06C7" w:rsidP="00CB3F57">
      <w:pPr>
        <w:pStyle w:val="Heading1"/>
        <w:rPr>
          <w:lang w:val="en-US"/>
        </w:rPr>
      </w:pPr>
      <w:bookmarkStart w:id="1" w:name="_Toc53092815"/>
      <w:r w:rsidRPr="000155B3">
        <w:rPr>
          <w:lang w:val="en-US"/>
        </w:rPr>
        <w:lastRenderedPageBreak/>
        <w:t>Document</w:t>
      </w:r>
      <w:r w:rsidR="003308D6" w:rsidRPr="000155B3">
        <w:rPr>
          <w:lang w:val="en-US"/>
        </w:rPr>
        <w:t xml:space="preserve"> Control</w:t>
      </w:r>
      <w:bookmarkEnd w:id="1"/>
    </w:p>
    <w:p w14:paraId="79AEA40E" w14:textId="30474791" w:rsidR="003308D6" w:rsidRPr="000155B3" w:rsidRDefault="00B34F5E" w:rsidP="003308D6">
      <w:pPr>
        <w:rPr>
          <w:lang w:val="en-US"/>
        </w:rPr>
      </w:pPr>
      <w:r w:rsidRPr="000155B3">
        <w:rPr>
          <w:lang w:val="en-US"/>
        </w:rPr>
        <w:t xml:space="preserve"> </w:t>
      </w:r>
      <w:r w:rsidR="00F42595" w:rsidRPr="00F42595">
        <w:rPr>
          <w:lang w:val="en-US"/>
        </w:rPr>
        <w:t>- Revision Control sheet allows to maintain a record of changes made on the document.</w:t>
      </w: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169"/>
        <w:gridCol w:w="3686"/>
      </w:tblGrid>
      <w:tr w:rsidR="00CA06C7" w:rsidRPr="000155B3" w14:paraId="2FE8F79D" w14:textId="77777777" w:rsidTr="00CA06C7">
        <w:trPr>
          <w:trHeight w:val="315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83259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Version N°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C46BE17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Issue Date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F7723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Status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E499B0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Reasons for Change</w:t>
            </w:r>
          </w:p>
        </w:tc>
      </w:tr>
      <w:tr w:rsidR="00CA06C7" w:rsidRPr="000155B3" w14:paraId="63B3F73E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137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408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7BF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04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7ADF7BCD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FDD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AFD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EF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C2F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0B89B186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92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702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2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17E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53408B74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DA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FE2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543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911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</w:tbl>
    <w:p w14:paraId="6A432DDB" w14:textId="4DF5A691" w:rsidR="00CA06C7" w:rsidRPr="000155B3" w:rsidRDefault="00CA06C7" w:rsidP="00CA06C7">
      <w:pPr>
        <w:pStyle w:val="Caption"/>
        <w:jc w:val="center"/>
        <w:rPr>
          <w:lang w:val="en-US"/>
        </w:rPr>
      </w:pPr>
      <w:r w:rsidRPr="000155B3">
        <w:rPr>
          <w:lang w:val="en-US"/>
        </w:rPr>
        <w:t xml:space="preserve">Table </w:t>
      </w:r>
      <w:r w:rsidR="00A31A46">
        <w:rPr>
          <w:lang w:val="en-US"/>
        </w:rPr>
        <w:fldChar w:fldCharType="begin"/>
      </w:r>
      <w:r w:rsidR="00A31A46">
        <w:rPr>
          <w:lang w:val="en-US"/>
        </w:rPr>
        <w:instrText xml:space="preserve"> SEQ Table \* ARABIC </w:instrText>
      </w:r>
      <w:r w:rsidR="00A31A46">
        <w:rPr>
          <w:lang w:val="en-US"/>
        </w:rPr>
        <w:fldChar w:fldCharType="separate"/>
      </w:r>
      <w:r w:rsidR="00A31A46">
        <w:rPr>
          <w:noProof/>
          <w:lang w:val="en-US"/>
        </w:rPr>
        <w:t>1</w:t>
      </w:r>
      <w:r w:rsidR="00A31A46">
        <w:rPr>
          <w:lang w:val="en-US"/>
        </w:rPr>
        <w:fldChar w:fldCharType="end"/>
      </w:r>
      <w:r w:rsidRPr="000155B3">
        <w:rPr>
          <w:lang w:val="en-US"/>
        </w:rPr>
        <w:t>. Revision History</w:t>
      </w:r>
    </w:p>
    <w:p w14:paraId="78FBBF70" w14:textId="6CEC1662" w:rsidR="00896907" w:rsidRPr="000155B3" w:rsidRDefault="008969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155B3">
        <w:rPr>
          <w:lang w:val="en-US"/>
        </w:rPr>
        <w:br w:type="page"/>
      </w:r>
    </w:p>
    <w:p w14:paraId="49364B79" w14:textId="35910670" w:rsidR="007216B5" w:rsidRPr="000155B3" w:rsidRDefault="007216B5" w:rsidP="000B3E89">
      <w:pPr>
        <w:pStyle w:val="Heading1"/>
        <w:jc w:val="both"/>
        <w:rPr>
          <w:lang w:val="en-US"/>
        </w:rPr>
      </w:pPr>
      <w:bookmarkStart w:id="2" w:name="_Toc53092816"/>
      <w:r w:rsidRPr="000155B3">
        <w:rPr>
          <w:lang w:val="en-US"/>
        </w:rPr>
        <w:lastRenderedPageBreak/>
        <w:t>About Design Template</w:t>
      </w:r>
      <w:bookmarkEnd w:id="2"/>
    </w:p>
    <w:p w14:paraId="4F0BCB05" w14:textId="1154068C" w:rsidR="003308D6" w:rsidRPr="000155B3" w:rsidRDefault="007216B5" w:rsidP="007216B5">
      <w:pPr>
        <w:pStyle w:val="Heading2"/>
      </w:pPr>
      <w:bookmarkStart w:id="3" w:name="_Toc53092817"/>
      <w:r w:rsidRPr="000155B3">
        <w:t>Document Purpose</w:t>
      </w:r>
      <w:bookmarkEnd w:id="3"/>
    </w:p>
    <w:p w14:paraId="78BEABF9" w14:textId="23980132" w:rsidR="00B154E7" w:rsidRPr="00B154E7" w:rsidRDefault="00B154E7" w:rsidP="00EA0F23">
      <w:pPr>
        <w:jc w:val="both"/>
        <w:rPr>
          <w:i/>
          <w:color w:val="002060"/>
          <w:lang w:val="en-US"/>
        </w:rPr>
      </w:pPr>
      <w:r w:rsidRPr="00B154E7">
        <w:rPr>
          <w:i/>
          <w:color w:val="002060"/>
          <w:lang w:val="en-US"/>
        </w:rPr>
        <w:t>High-Level description of the document’s purpose</w:t>
      </w:r>
      <w:r w:rsidR="00AC34E0">
        <w:rPr>
          <w:i/>
          <w:color w:val="002060"/>
          <w:lang w:val="en-US"/>
        </w:rPr>
        <w:t xml:space="preserve"> </w:t>
      </w:r>
    </w:p>
    <w:p w14:paraId="192BF889" w14:textId="0B7F2778" w:rsidR="000B3E89" w:rsidRPr="00B717CE" w:rsidRDefault="000B3E89" w:rsidP="00EA0F23">
      <w:pPr>
        <w:jc w:val="both"/>
        <w:rPr>
          <w:lang w:val="en-US"/>
        </w:rPr>
      </w:pPr>
      <w:r w:rsidRPr="000155B3">
        <w:rPr>
          <w:lang w:val="en-US"/>
        </w:rPr>
        <w:t>Th</w:t>
      </w:r>
      <w:r w:rsidR="00B154E7">
        <w:rPr>
          <w:lang w:val="en-US"/>
        </w:rPr>
        <w:t xml:space="preserve">e </w:t>
      </w:r>
      <w:r w:rsidR="00B154E7" w:rsidRPr="00B717CE">
        <w:rPr>
          <w:lang w:val="en-US"/>
        </w:rPr>
        <w:t>purpose of this document i</w:t>
      </w:r>
      <w:r w:rsidR="00AC34E0" w:rsidRPr="00B717CE">
        <w:rPr>
          <w:lang w:val="en-US"/>
        </w:rPr>
        <w:t xml:space="preserve">s to summarize capacity planning analysis results </w:t>
      </w:r>
      <w:r w:rsidR="0003141F" w:rsidRPr="00B717CE">
        <w:rPr>
          <w:lang w:val="en-US"/>
        </w:rPr>
        <w:t>for the radio access network (RAN), transport network and core network</w:t>
      </w:r>
      <w:r w:rsidR="00B717CE" w:rsidRPr="00B717CE">
        <w:rPr>
          <w:lang w:val="en-US"/>
        </w:rPr>
        <w:t>, displaying capacity actions to be taken and final capacity values for each CMO.</w:t>
      </w:r>
    </w:p>
    <w:p w14:paraId="53571BE8" w14:textId="4B0C27CC" w:rsidR="000B3E89" w:rsidRPr="00B717CE" w:rsidRDefault="000B3E89" w:rsidP="00EA0F23">
      <w:pPr>
        <w:jc w:val="both"/>
        <w:rPr>
          <w:lang w:val="en-US"/>
        </w:rPr>
      </w:pPr>
      <w:r w:rsidRPr="00B717CE">
        <w:rPr>
          <w:lang w:val="en-US"/>
        </w:rPr>
        <w:t xml:space="preserve">The document is split into following </w:t>
      </w:r>
      <w:r w:rsidR="00B154E7" w:rsidRPr="00B717CE">
        <w:rPr>
          <w:lang w:val="en-US"/>
        </w:rPr>
        <w:t>the following section</w:t>
      </w:r>
      <w:r w:rsidR="00B717CE" w:rsidRPr="00B717CE">
        <w:rPr>
          <w:lang w:val="en-US"/>
        </w:rPr>
        <w:t>s:</w:t>
      </w:r>
    </w:p>
    <w:p w14:paraId="52D8B3C4" w14:textId="77777777" w:rsidR="00B717CE" w:rsidRPr="00B717CE" w:rsidRDefault="00B717CE" w:rsidP="00B717CE">
      <w:pPr>
        <w:pStyle w:val="ListParagraph"/>
        <w:numPr>
          <w:ilvl w:val="0"/>
          <w:numId w:val="48"/>
        </w:numPr>
        <w:jc w:val="both"/>
        <w:rPr>
          <w:lang w:val="en-US"/>
        </w:rPr>
      </w:pPr>
      <w:r w:rsidRPr="00B717CE">
        <w:rPr>
          <w:lang w:val="en-US"/>
        </w:rPr>
        <w:t>Introduction</w:t>
      </w:r>
    </w:p>
    <w:p w14:paraId="2C5FACE8" w14:textId="547C4ACE" w:rsidR="00B717CE" w:rsidRDefault="00B717CE" w:rsidP="00B717CE">
      <w:pPr>
        <w:pStyle w:val="ListParagraph"/>
        <w:numPr>
          <w:ilvl w:val="0"/>
          <w:numId w:val="48"/>
        </w:numPr>
        <w:jc w:val="both"/>
        <w:rPr>
          <w:lang w:val="en-US"/>
        </w:rPr>
      </w:pPr>
      <w:r w:rsidRPr="00B717CE">
        <w:rPr>
          <w:lang w:val="en-US"/>
        </w:rPr>
        <w:t>Capacity Analysis: RAN, Transport Network and</w:t>
      </w:r>
      <w:r>
        <w:rPr>
          <w:lang w:val="en-US"/>
        </w:rPr>
        <w:t xml:space="preserve"> Core Network</w:t>
      </w:r>
    </w:p>
    <w:p w14:paraId="3B7DC46E" w14:textId="48FEDA67" w:rsidR="00B717CE" w:rsidRPr="00B717CE" w:rsidRDefault="00B717CE" w:rsidP="00B717CE">
      <w:pPr>
        <w:pStyle w:val="ListParagraph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>Conclusion</w:t>
      </w:r>
    </w:p>
    <w:p w14:paraId="2EF5C947" w14:textId="026DFF91" w:rsidR="00A23B44" w:rsidRPr="00B717CE" w:rsidRDefault="000B3E89" w:rsidP="002755F0">
      <w:pPr>
        <w:jc w:val="both"/>
        <w:rPr>
          <w:i/>
          <w:lang w:val="en-US"/>
        </w:rPr>
      </w:pPr>
      <w:r w:rsidRPr="000155B3">
        <w:rPr>
          <w:i/>
          <w:lang w:val="en-US"/>
        </w:rPr>
        <w:t>Note: The above sections may change depending on the customer’s needs</w:t>
      </w:r>
    </w:p>
    <w:p w14:paraId="7366015F" w14:textId="77777777" w:rsidR="002755F0" w:rsidRDefault="002755F0" w:rsidP="002755F0">
      <w:pPr>
        <w:rPr>
          <w:lang w:val="en-US"/>
        </w:rPr>
      </w:pPr>
    </w:p>
    <w:p w14:paraId="3673EAC6" w14:textId="38F520BD" w:rsidR="000B3E89" w:rsidRPr="000155B3" w:rsidRDefault="00C70FBA" w:rsidP="003308D6">
      <w:pPr>
        <w:pStyle w:val="Heading1"/>
        <w:rPr>
          <w:lang w:val="en-US"/>
        </w:rPr>
      </w:pPr>
      <w:bookmarkStart w:id="4" w:name="_Toc53092818"/>
      <w:r w:rsidRPr="000155B3">
        <w:rPr>
          <w:lang w:val="en-US"/>
        </w:rPr>
        <w:t>E</w:t>
      </w:r>
      <w:r w:rsidR="007216B5" w:rsidRPr="000155B3">
        <w:rPr>
          <w:lang w:val="en-US"/>
        </w:rPr>
        <w:t>xecutive Summary</w:t>
      </w:r>
      <w:bookmarkEnd w:id="4"/>
    </w:p>
    <w:p w14:paraId="373DBCF9" w14:textId="2B91424A" w:rsidR="00C70FBA" w:rsidRDefault="002B19CC" w:rsidP="00A827A3">
      <w:pPr>
        <w:jc w:val="both"/>
        <w:rPr>
          <w:i/>
          <w:color w:val="002060"/>
          <w:lang w:val="en-US"/>
        </w:rPr>
      </w:pPr>
      <w:proofErr w:type="gramStart"/>
      <w:r w:rsidRPr="00A23B44">
        <w:rPr>
          <w:i/>
          <w:color w:val="002060"/>
          <w:lang w:val="en-US"/>
        </w:rPr>
        <w:t>Brief</w:t>
      </w:r>
      <w:r w:rsidR="00B717CE">
        <w:rPr>
          <w:i/>
          <w:color w:val="002060"/>
          <w:lang w:val="en-US"/>
        </w:rPr>
        <w:t xml:space="preserve"> </w:t>
      </w:r>
      <w:r w:rsidRPr="00A23B44">
        <w:rPr>
          <w:i/>
          <w:color w:val="002060"/>
          <w:lang w:val="en-US"/>
        </w:rPr>
        <w:t>summary</w:t>
      </w:r>
      <w:proofErr w:type="gramEnd"/>
      <w:r w:rsidRPr="00A23B44">
        <w:rPr>
          <w:i/>
          <w:color w:val="002060"/>
          <w:lang w:val="en-US"/>
        </w:rPr>
        <w:t xml:space="preserve"> of</w:t>
      </w:r>
      <w:r w:rsidR="00A23B44" w:rsidRPr="00A23B44">
        <w:rPr>
          <w:i/>
          <w:color w:val="002060"/>
          <w:lang w:val="en-US"/>
        </w:rPr>
        <w:t xml:space="preserve"> document </w:t>
      </w:r>
      <w:r w:rsidR="00665F8C">
        <w:rPr>
          <w:i/>
          <w:color w:val="002060"/>
          <w:lang w:val="en-US"/>
        </w:rPr>
        <w:t>content</w:t>
      </w:r>
      <w:r w:rsidR="00B717CE">
        <w:rPr>
          <w:i/>
          <w:color w:val="002060"/>
          <w:lang w:val="en-US"/>
        </w:rPr>
        <w:t xml:space="preserve"> highlighting main considerations and assumptions that were taken.</w:t>
      </w:r>
    </w:p>
    <w:p w14:paraId="180D61C2" w14:textId="3EDCF00D" w:rsidR="0003141F" w:rsidRPr="00A23B44" w:rsidRDefault="0003141F" w:rsidP="00A827A3">
      <w:pPr>
        <w:jc w:val="both"/>
        <w:rPr>
          <w:i/>
          <w:color w:val="002060"/>
          <w:lang w:val="en-US"/>
        </w:rPr>
      </w:pPr>
    </w:p>
    <w:p w14:paraId="26618378" w14:textId="77777777" w:rsidR="002755F0" w:rsidRDefault="002755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46E72F" w14:textId="2B4F9059" w:rsidR="003308D6" w:rsidRPr="000155B3" w:rsidRDefault="003308D6" w:rsidP="003308D6">
      <w:pPr>
        <w:pStyle w:val="Heading1"/>
        <w:rPr>
          <w:lang w:val="en-US"/>
        </w:rPr>
      </w:pPr>
      <w:bookmarkStart w:id="5" w:name="_Toc53092819"/>
      <w:r w:rsidRPr="000155B3">
        <w:rPr>
          <w:lang w:val="en-US"/>
        </w:rPr>
        <w:lastRenderedPageBreak/>
        <w:t>Introduction</w:t>
      </w:r>
      <w:bookmarkEnd w:id="5"/>
    </w:p>
    <w:p w14:paraId="5A651A82" w14:textId="77777777" w:rsidR="00AC34E0" w:rsidRDefault="00AC34E0" w:rsidP="00C70FBA">
      <w:pPr>
        <w:rPr>
          <w:lang w:val="en-US"/>
        </w:rPr>
      </w:pPr>
      <w:r w:rsidRPr="00AC34E0">
        <w:rPr>
          <w:lang w:val="en-US"/>
        </w:rPr>
        <w:t>Capacity planning is an important part of infrastructure and deployment planning</w:t>
      </w:r>
      <w:r>
        <w:rPr>
          <w:lang w:val="en-US"/>
        </w:rPr>
        <w:t xml:space="preserve">. </w:t>
      </w:r>
    </w:p>
    <w:p w14:paraId="2D0AEE79" w14:textId="77777777" w:rsidR="00AC34E0" w:rsidRDefault="00AC34E0" w:rsidP="00C70FBA">
      <w:pPr>
        <w:rPr>
          <w:lang w:val="en-US"/>
        </w:rPr>
      </w:pPr>
      <w:r>
        <w:rPr>
          <w:lang w:val="en-US"/>
        </w:rPr>
        <w:t>C</w:t>
      </w:r>
      <w:r w:rsidRPr="00AC34E0">
        <w:rPr>
          <w:lang w:val="en-US"/>
        </w:rPr>
        <w:t xml:space="preserve">apacity plan </w:t>
      </w:r>
      <w:r>
        <w:rPr>
          <w:lang w:val="en-US"/>
        </w:rPr>
        <w:t xml:space="preserve">allow to an </w:t>
      </w:r>
      <w:r w:rsidRPr="00AC34E0">
        <w:rPr>
          <w:lang w:val="en-US"/>
        </w:rPr>
        <w:t>optimum cost</w:t>
      </w:r>
      <w:r>
        <w:rPr>
          <w:lang w:val="en-US"/>
        </w:rPr>
        <w:t>-</w:t>
      </w:r>
      <w:r w:rsidRPr="00AC34E0">
        <w:rPr>
          <w:lang w:val="en-US"/>
        </w:rPr>
        <w:t xml:space="preserve">effective provisioning of </w:t>
      </w:r>
      <w:r>
        <w:rPr>
          <w:lang w:val="en-US"/>
        </w:rPr>
        <w:t>network resources b</w:t>
      </w:r>
      <w:r w:rsidRPr="00AC34E0">
        <w:rPr>
          <w:lang w:val="en-US"/>
        </w:rPr>
        <w:t xml:space="preserve">y matching them to </w:t>
      </w:r>
      <w:r>
        <w:rPr>
          <w:lang w:val="en-US"/>
        </w:rPr>
        <w:t>users</w:t>
      </w:r>
      <w:r w:rsidRPr="00AC34E0">
        <w:rPr>
          <w:lang w:val="en-US"/>
        </w:rPr>
        <w:t xml:space="preserve"> demand</w:t>
      </w:r>
      <w:r>
        <w:rPr>
          <w:lang w:val="en-US"/>
        </w:rPr>
        <w:t xml:space="preserve"> and natural network growth</w:t>
      </w:r>
      <w:r w:rsidRPr="00AC34E0">
        <w:rPr>
          <w:lang w:val="en-US"/>
        </w:rPr>
        <w:t xml:space="preserve">. </w:t>
      </w:r>
    </w:p>
    <w:p w14:paraId="0AA1D5AB" w14:textId="77777777" w:rsidR="00AC34E0" w:rsidRDefault="00AC34E0" w:rsidP="00C70FBA">
      <w:pPr>
        <w:rPr>
          <w:lang w:val="en-US"/>
        </w:rPr>
      </w:pPr>
      <w:r>
        <w:rPr>
          <w:lang w:val="en-US"/>
        </w:rPr>
        <w:t xml:space="preserve">The capacity plan </w:t>
      </w:r>
      <w:r w:rsidRPr="00AC34E0">
        <w:rPr>
          <w:lang w:val="en-US"/>
        </w:rPr>
        <w:t xml:space="preserve">helps identify and reduce inefficiencies associated with either under-utilized resources or unmet customer demand and to provide satisfactory service levels in a cost-efficient manner. </w:t>
      </w:r>
    </w:p>
    <w:p w14:paraId="0013F96C" w14:textId="441EE99C" w:rsidR="00AC34E0" w:rsidRDefault="00AC34E0" w:rsidP="00C70FBA">
      <w:pPr>
        <w:rPr>
          <w:lang w:val="en-US"/>
        </w:rPr>
      </w:pPr>
      <w:r>
        <w:rPr>
          <w:lang w:val="en-US"/>
        </w:rPr>
        <w:t>Finally, t</w:t>
      </w:r>
      <w:r w:rsidRPr="00AC34E0">
        <w:rPr>
          <w:lang w:val="en-US"/>
        </w:rPr>
        <w:t xml:space="preserve">he plan helps ensure that all </w:t>
      </w:r>
      <w:r>
        <w:rPr>
          <w:lang w:val="en-US"/>
        </w:rPr>
        <w:t xml:space="preserve">network elements </w:t>
      </w:r>
      <w:r w:rsidR="00A31A46" w:rsidRPr="00AC34E0">
        <w:rPr>
          <w:lang w:val="en-US"/>
        </w:rPr>
        <w:t>can perform</w:t>
      </w:r>
      <w:r w:rsidRPr="00AC34E0">
        <w:rPr>
          <w:lang w:val="en-US"/>
        </w:rPr>
        <w:t xml:space="preserve"> all required functions</w:t>
      </w:r>
      <w:r>
        <w:rPr>
          <w:lang w:val="en-US"/>
        </w:rPr>
        <w:t xml:space="preserve"> and that </w:t>
      </w:r>
      <w:r w:rsidRPr="00AC34E0">
        <w:rPr>
          <w:lang w:val="en-US"/>
        </w:rPr>
        <w:t>will perform as efficiently as possible, accommodat</w:t>
      </w:r>
      <w:r>
        <w:rPr>
          <w:lang w:val="en-US"/>
        </w:rPr>
        <w:t>ing user and traffic</w:t>
      </w:r>
      <w:r w:rsidRPr="00AC34E0">
        <w:rPr>
          <w:lang w:val="en-US"/>
        </w:rPr>
        <w:t xml:space="preserve"> growth without being wasteful.</w:t>
      </w:r>
    </w:p>
    <w:p w14:paraId="1B5B491F" w14:textId="77777777" w:rsidR="002755F0" w:rsidRDefault="002755F0" w:rsidP="002755F0">
      <w:pPr>
        <w:rPr>
          <w:lang w:val="en-US"/>
        </w:rPr>
      </w:pPr>
    </w:p>
    <w:p w14:paraId="3CAA90FC" w14:textId="273E91C8" w:rsidR="000236CB" w:rsidRDefault="00AC34E0" w:rsidP="000155B3">
      <w:pPr>
        <w:pStyle w:val="Heading1"/>
        <w:rPr>
          <w:lang w:val="en-US"/>
        </w:rPr>
      </w:pPr>
      <w:bookmarkStart w:id="6" w:name="_Toc53092820"/>
      <w:r>
        <w:rPr>
          <w:lang w:val="en-US"/>
        </w:rPr>
        <w:t>Capacity Analysis</w:t>
      </w:r>
      <w:bookmarkEnd w:id="6"/>
    </w:p>
    <w:p w14:paraId="52969217" w14:textId="4D3A7B98" w:rsidR="002755F0" w:rsidRDefault="00AC34E0" w:rsidP="002755F0">
      <w:pPr>
        <w:rPr>
          <w:lang w:val="en-US"/>
        </w:rPr>
      </w:pPr>
      <w:r>
        <w:rPr>
          <w:lang w:val="en-US"/>
        </w:rPr>
        <w:t xml:space="preserve">This section </w:t>
      </w:r>
      <w:r w:rsidR="006852BB">
        <w:rPr>
          <w:lang w:val="en-US"/>
        </w:rPr>
        <w:t>summarized</w:t>
      </w:r>
      <w:r>
        <w:rPr>
          <w:lang w:val="en-US"/>
        </w:rPr>
        <w:t xml:space="preserve"> the analysis made for each network capacity managed objects (CMOs) for each part of the network (RAN, </w:t>
      </w:r>
      <w:proofErr w:type="gramStart"/>
      <w:r>
        <w:rPr>
          <w:lang w:val="en-US"/>
        </w:rPr>
        <w:t>transport</w:t>
      </w:r>
      <w:proofErr w:type="gramEnd"/>
      <w:r>
        <w:rPr>
          <w:lang w:val="en-US"/>
        </w:rPr>
        <w:t xml:space="preserve"> and core)</w:t>
      </w:r>
      <w:r w:rsidR="006852BB">
        <w:rPr>
          <w:lang w:val="en-US"/>
        </w:rPr>
        <w:t>.</w:t>
      </w:r>
    </w:p>
    <w:p w14:paraId="51144A6B" w14:textId="070B764A" w:rsidR="00CF1BF2" w:rsidRDefault="006852BB" w:rsidP="00CF1BF2">
      <w:pPr>
        <w:pStyle w:val="Heading2"/>
      </w:pPr>
      <w:bookmarkStart w:id="7" w:name="_Toc53092821"/>
      <w:r>
        <w:t>Radio Access Network (RAN) CMOs</w:t>
      </w:r>
      <w:bookmarkEnd w:id="7"/>
      <w:r w:rsidR="00CF1BF2">
        <w:t xml:space="preserve"> </w:t>
      </w:r>
    </w:p>
    <w:p w14:paraId="4F243A12" w14:textId="0FA4253E" w:rsidR="0003141F" w:rsidRDefault="0003141F" w:rsidP="0003141F">
      <w:pPr>
        <w:pStyle w:val="Heading3"/>
      </w:pPr>
      <w:bookmarkStart w:id="8" w:name="_Toc53092822"/>
      <w:r>
        <w:t xml:space="preserve">CMO </w:t>
      </w:r>
      <w:r>
        <w:t>Summary</w:t>
      </w:r>
      <w:bookmarkEnd w:id="8"/>
      <w:r>
        <w:t xml:space="preserve"> </w:t>
      </w:r>
    </w:p>
    <w:p w14:paraId="0DE92D9D" w14:textId="77777777" w:rsidR="0003141F" w:rsidRDefault="0003141F" w:rsidP="0003141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_Ref53091263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31A46">
        <w:rPr>
          <w:lang w:val="en-US"/>
        </w:rPr>
        <w:t xml:space="preserve">Table </w:t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A31A46">
        <w:rPr>
          <w:lang w:val="en-US"/>
        </w:rPr>
        <w:t xml:space="preserve">summarizes the results obtained from the capacity analysis for the </w:t>
      </w:r>
      <w:r>
        <w:rPr>
          <w:lang w:val="en-US"/>
        </w:rPr>
        <w:t>RAN CMOs.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436"/>
        <w:gridCol w:w="1541"/>
        <w:gridCol w:w="1701"/>
        <w:gridCol w:w="1701"/>
        <w:gridCol w:w="1985"/>
        <w:gridCol w:w="1701"/>
      </w:tblGrid>
      <w:tr w:rsidR="00FA62C5" w:rsidRPr="006852BB" w14:paraId="764E949A" w14:textId="77777777" w:rsidTr="00FA62C5">
        <w:trPr>
          <w:trHeight w:val="171"/>
        </w:trPr>
        <w:tc>
          <w:tcPr>
            <w:tcW w:w="1436" w:type="dxa"/>
            <w:shd w:val="clear" w:color="auto" w:fill="1F4E79" w:themeFill="accent1" w:themeFillShade="80"/>
            <w:vAlign w:val="center"/>
          </w:tcPr>
          <w:p w14:paraId="45878AE5" w14:textId="77777777" w:rsidR="00FA62C5" w:rsidRPr="006852BB" w:rsidRDefault="00FA62C5" w:rsidP="00C246E1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6852BB">
              <w:rPr>
                <w:iCs/>
                <w:color w:val="FFFFFF" w:themeColor="background1"/>
                <w:lang w:val="en-US"/>
              </w:rPr>
              <w:t>CMO</w:t>
            </w:r>
          </w:p>
        </w:tc>
        <w:tc>
          <w:tcPr>
            <w:tcW w:w="1541" w:type="dxa"/>
            <w:shd w:val="clear" w:color="auto" w:fill="1F4E79" w:themeFill="accent1" w:themeFillShade="80"/>
            <w:vAlign w:val="center"/>
          </w:tcPr>
          <w:p w14:paraId="194A844E" w14:textId="77777777" w:rsidR="00FA62C5" w:rsidRPr="006852BB" w:rsidRDefault="00FA62C5" w:rsidP="00C246E1">
            <w:pPr>
              <w:jc w:val="center"/>
              <w:rPr>
                <w:iCs/>
                <w:color w:val="FFFFFF" w:themeColor="background1"/>
                <w:lang w:val="en-US"/>
              </w:rPr>
            </w:pPr>
            <w:r>
              <w:rPr>
                <w:iCs/>
                <w:color w:val="FFFFFF" w:themeColor="background1"/>
                <w:lang w:val="en-US"/>
              </w:rPr>
              <w:t>Current Value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5AC26DFD" w14:textId="77777777" w:rsidR="00FA62C5" w:rsidRDefault="00FA62C5" w:rsidP="00C246E1">
            <w:pPr>
              <w:jc w:val="center"/>
              <w:rPr>
                <w:iCs/>
                <w:color w:val="FFFFFF" w:themeColor="background1"/>
                <w:lang w:val="en-US"/>
              </w:rPr>
            </w:pPr>
            <w:r>
              <w:rPr>
                <w:iCs/>
                <w:color w:val="FFFFFF" w:themeColor="background1"/>
                <w:lang w:val="en-US"/>
              </w:rPr>
              <w:t>CMO threshold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700271F4" w14:textId="77777777" w:rsidR="00FA62C5" w:rsidRDefault="00FA62C5" w:rsidP="00C246E1">
            <w:pPr>
              <w:jc w:val="center"/>
              <w:rPr>
                <w:iCs/>
                <w:color w:val="FFFFFF" w:themeColor="background1"/>
                <w:lang w:val="en-US"/>
              </w:rPr>
            </w:pPr>
            <w:r>
              <w:rPr>
                <w:iCs/>
                <w:color w:val="FFFFFF" w:themeColor="background1"/>
                <w:lang w:val="en-US"/>
              </w:rPr>
              <w:t>Augment horizon</w:t>
            </w:r>
          </w:p>
        </w:tc>
        <w:tc>
          <w:tcPr>
            <w:tcW w:w="1985" w:type="dxa"/>
            <w:shd w:val="clear" w:color="auto" w:fill="1F4E79" w:themeFill="accent1" w:themeFillShade="80"/>
            <w:vAlign w:val="center"/>
          </w:tcPr>
          <w:p w14:paraId="28DA7ED3" w14:textId="77777777" w:rsidR="00FA62C5" w:rsidRDefault="00FA62C5" w:rsidP="00C246E1">
            <w:pPr>
              <w:jc w:val="center"/>
              <w:rPr>
                <w:iCs/>
                <w:color w:val="FFFFFF" w:themeColor="background1"/>
                <w:lang w:val="en-US"/>
              </w:rPr>
            </w:pPr>
            <w:r>
              <w:rPr>
                <w:iCs/>
                <w:color w:val="FFFFFF" w:themeColor="background1"/>
                <w:lang w:val="en-US"/>
              </w:rPr>
              <w:t>Capacity Augment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61402EC1" w14:textId="77777777" w:rsidR="00FA62C5" w:rsidRDefault="00FA62C5" w:rsidP="00C246E1">
            <w:pPr>
              <w:jc w:val="center"/>
              <w:rPr>
                <w:iCs/>
                <w:color w:val="FFFFFF" w:themeColor="background1"/>
                <w:lang w:val="en-US"/>
              </w:rPr>
            </w:pPr>
            <w:r>
              <w:rPr>
                <w:iCs/>
                <w:color w:val="FFFFFF" w:themeColor="background1"/>
                <w:lang w:val="en-US"/>
              </w:rPr>
              <w:t>Final Capacity</w:t>
            </w:r>
          </w:p>
        </w:tc>
      </w:tr>
      <w:tr w:rsidR="00FA62C5" w:rsidRPr="006852BB" w14:paraId="7C48AC84" w14:textId="77777777" w:rsidTr="00FA62C5">
        <w:trPr>
          <w:trHeight w:val="78"/>
        </w:trPr>
        <w:tc>
          <w:tcPr>
            <w:tcW w:w="1436" w:type="dxa"/>
            <w:vAlign w:val="center"/>
          </w:tcPr>
          <w:p w14:paraId="3FA7C6C4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  <w:r w:rsidRPr="006852BB">
              <w:rPr>
                <w:iCs/>
                <w:lang w:val="en-US"/>
              </w:rPr>
              <w:t>Sector Resource Blocks</w:t>
            </w:r>
          </w:p>
        </w:tc>
        <w:tc>
          <w:tcPr>
            <w:tcW w:w="1541" w:type="dxa"/>
            <w:vAlign w:val="center"/>
          </w:tcPr>
          <w:p w14:paraId="4DBE39F2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C1DF32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9C3251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8432D43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2C2308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</w:tr>
      <w:tr w:rsidR="00FA62C5" w:rsidRPr="006852BB" w14:paraId="2ADFC238" w14:textId="77777777" w:rsidTr="00FA62C5">
        <w:trPr>
          <w:trHeight w:val="78"/>
        </w:trPr>
        <w:tc>
          <w:tcPr>
            <w:tcW w:w="1436" w:type="dxa"/>
            <w:vAlign w:val="center"/>
          </w:tcPr>
          <w:p w14:paraId="0B0F3027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  <w:r w:rsidRPr="006852BB">
              <w:rPr>
                <w:iCs/>
                <w:lang w:val="en-US"/>
              </w:rPr>
              <w:t>Connected Users per Carrier</w:t>
            </w:r>
          </w:p>
        </w:tc>
        <w:tc>
          <w:tcPr>
            <w:tcW w:w="1541" w:type="dxa"/>
            <w:vAlign w:val="center"/>
          </w:tcPr>
          <w:p w14:paraId="688A2779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192A3F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766BD5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913A604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1D4C6EA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</w:tr>
      <w:tr w:rsidR="00FA62C5" w:rsidRPr="006852BB" w14:paraId="30A325F4" w14:textId="77777777" w:rsidTr="00FA62C5">
        <w:trPr>
          <w:trHeight w:val="78"/>
        </w:trPr>
        <w:tc>
          <w:tcPr>
            <w:tcW w:w="1436" w:type="dxa"/>
            <w:vAlign w:val="center"/>
          </w:tcPr>
          <w:p w14:paraId="652AB58F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  <w:r w:rsidRPr="006852BB">
              <w:rPr>
                <w:iCs/>
                <w:lang w:val="en-US"/>
              </w:rPr>
              <w:t>Connected Users per Site</w:t>
            </w:r>
          </w:p>
        </w:tc>
        <w:tc>
          <w:tcPr>
            <w:tcW w:w="1541" w:type="dxa"/>
            <w:vAlign w:val="center"/>
          </w:tcPr>
          <w:p w14:paraId="10CA629B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35956C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B22428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E21D6CB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39EF6F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</w:tr>
      <w:tr w:rsidR="00FA62C5" w:rsidRPr="006852BB" w14:paraId="440AD536" w14:textId="77777777" w:rsidTr="00FA62C5">
        <w:trPr>
          <w:trHeight w:val="78"/>
        </w:trPr>
        <w:tc>
          <w:tcPr>
            <w:tcW w:w="1436" w:type="dxa"/>
            <w:vAlign w:val="center"/>
          </w:tcPr>
          <w:p w14:paraId="7DF3D70E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  <w:r w:rsidRPr="006852BB">
              <w:rPr>
                <w:iCs/>
                <w:lang w:val="en-US"/>
              </w:rPr>
              <w:t>Downlink / Uplink Throughput</w:t>
            </w:r>
          </w:p>
        </w:tc>
        <w:tc>
          <w:tcPr>
            <w:tcW w:w="1541" w:type="dxa"/>
            <w:vAlign w:val="center"/>
          </w:tcPr>
          <w:p w14:paraId="00E047FA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3600E9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CDC23D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9A16A10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6EC1BA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</w:tr>
      <w:tr w:rsidR="00FA62C5" w:rsidRPr="006852BB" w14:paraId="5023847E" w14:textId="77777777" w:rsidTr="00FA62C5">
        <w:trPr>
          <w:trHeight w:val="78"/>
        </w:trPr>
        <w:tc>
          <w:tcPr>
            <w:tcW w:w="1436" w:type="dxa"/>
            <w:vAlign w:val="center"/>
          </w:tcPr>
          <w:p w14:paraId="6EA24DE2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  <w:r w:rsidRPr="006852BB">
              <w:rPr>
                <w:iCs/>
                <w:lang w:val="en-US"/>
              </w:rPr>
              <w:t>BBU’s processing boards capacity</w:t>
            </w:r>
          </w:p>
        </w:tc>
        <w:tc>
          <w:tcPr>
            <w:tcW w:w="1541" w:type="dxa"/>
            <w:vAlign w:val="center"/>
          </w:tcPr>
          <w:p w14:paraId="11AB707C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070362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19CB9A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1A4964F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27137E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</w:tr>
      <w:tr w:rsidR="00FA62C5" w:rsidRPr="006852BB" w14:paraId="4485075E" w14:textId="77777777" w:rsidTr="00FA62C5">
        <w:trPr>
          <w:trHeight w:val="78"/>
        </w:trPr>
        <w:tc>
          <w:tcPr>
            <w:tcW w:w="1436" w:type="dxa"/>
            <w:vAlign w:val="center"/>
          </w:tcPr>
          <w:p w14:paraId="7D9EB232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  <w:r w:rsidRPr="006852BB">
              <w:rPr>
                <w:iCs/>
                <w:lang w:val="en-US"/>
              </w:rPr>
              <w:t>Ethernet port capacity load</w:t>
            </w:r>
          </w:p>
        </w:tc>
        <w:tc>
          <w:tcPr>
            <w:tcW w:w="1541" w:type="dxa"/>
            <w:vAlign w:val="center"/>
          </w:tcPr>
          <w:p w14:paraId="12B22D97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8BAB75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3D8ACA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020E59" w14:textId="77777777" w:rsidR="00FA62C5" w:rsidRPr="006852BB" w:rsidRDefault="00FA62C5" w:rsidP="00C246E1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6ED3131" w14:textId="77777777" w:rsidR="00FA62C5" w:rsidRPr="006852BB" w:rsidRDefault="00FA62C5" w:rsidP="00C246E1">
            <w:pPr>
              <w:keepNext/>
              <w:jc w:val="center"/>
              <w:rPr>
                <w:iCs/>
                <w:lang w:val="en-US"/>
              </w:rPr>
            </w:pPr>
          </w:p>
        </w:tc>
      </w:tr>
    </w:tbl>
    <w:p w14:paraId="3E788C25" w14:textId="77777777" w:rsidR="0003141F" w:rsidRPr="00910FFE" w:rsidRDefault="0003141F" w:rsidP="00910FFE">
      <w:pPr>
        <w:pStyle w:val="Caption"/>
        <w:jc w:val="center"/>
        <w:rPr>
          <w:lang w:val="en-US"/>
        </w:rPr>
      </w:pPr>
      <w:bookmarkStart w:id="9" w:name="_Ref53091263"/>
      <w:r w:rsidRPr="00910FFE">
        <w:rPr>
          <w:lang w:val="en-US"/>
        </w:rPr>
        <w:t xml:space="preserve">Table </w:t>
      </w:r>
      <w:r w:rsidRPr="00910FFE">
        <w:rPr>
          <w:lang w:val="en-US"/>
        </w:rPr>
        <w:fldChar w:fldCharType="begin"/>
      </w:r>
      <w:r w:rsidRPr="00910FFE">
        <w:rPr>
          <w:lang w:val="en-US"/>
        </w:rPr>
        <w:instrText xml:space="preserve"> SEQ Table \* ARABIC </w:instrText>
      </w:r>
      <w:r w:rsidRPr="00910FFE">
        <w:rPr>
          <w:lang w:val="en-US"/>
        </w:rPr>
        <w:fldChar w:fldCharType="separate"/>
      </w:r>
      <w:r>
        <w:rPr>
          <w:lang w:val="en-US"/>
        </w:rPr>
        <w:t>2</w:t>
      </w:r>
      <w:r w:rsidRPr="00910FFE">
        <w:rPr>
          <w:lang w:val="en-US"/>
        </w:rPr>
        <w:fldChar w:fldCharType="end"/>
      </w:r>
      <w:bookmarkEnd w:id="9"/>
      <w:r w:rsidRPr="00910FFE">
        <w:rPr>
          <w:lang w:val="en-US"/>
        </w:rPr>
        <w:t>. Capacity Analysis Summary for RAN CMOs.</w:t>
      </w:r>
    </w:p>
    <w:p w14:paraId="6548B25E" w14:textId="77777777" w:rsidR="0003141F" w:rsidRPr="0003141F" w:rsidRDefault="0003141F" w:rsidP="0003141F">
      <w:pPr>
        <w:rPr>
          <w:lang w:val="en-US"/>
        </w:rPr>
      </w:pPr>
    </w:p>
    <w:p w14:paraId="2B0A8F32" w14:textId="43E357FF" w:rsidR="0003141F" w:rsidRDefault="0003141F" w:rsidP="0003141F">
      <w:pPr>
        <w:pStyle w:val="Heading3"/>
      </w:pPr>
      <w:bookmarkStart w:id="10" w:name="_Toc53092823"/>
      <w:r>
        <w:lastRenderedPageBreak/>
        <w:t xml:space="preserve">RAN </w:t>
      </w:r>
      <w:r>
        <w:t xml:space="preserve">CMO analysis </w:t>
      </w:r>
      <w:r>
        <w:t>discussion</w:t>
      </w:r>
      <w:bookmarkEnd w:id="10"/>
    </w:p>
    <w:p w14:paraId="47DA2599" w14:textId="166B41E1" w:rsidR="0003141F" w:rsidRDefault="0003141F" w:rsidP="0003141F">
      <w:pPr>
        <w:jc w:val="both"/>
        <w:rPr>
          <w:i/>
          <w:color w:val="002060"/>
          <w:lang w:val="en-US"/>
        </w:rPr>
      </w:pPr>
      <w:r w:rsidRPr="0003141F">
        <w:rPr>
          <w:i/>
          <w:color w:val="002060"/>
          <w:lang w:val="en-US"/>
        </w:rPr>
        <w:t xml:space="preserve">Discussion of </w:t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_Ref53091263 \h </w:instrText>
      </w:r>
      <w:r w:rsidRPr="0003141F">
        <w:rPr>
          <w:i/>
          <w:color w:val="002060"/>
          <w:lang w:val="en-US"/>
        </w:rPr>
      </w:r>
      <w:r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t>Table 2</w:t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t>: Impacts on the current network, overall costs, etc.</w:t>
      </w:r>
    </w:p>
    <w:p w14:paraId="28898A87" w14:textId="77777777" w:rsidR="0003141F" w:rsidRPr="0003141F" w:rsidRDefault="0003141F" w:rsidP="0003141F">
      <w:pPr>
        <w:jc w:val="both"/>
        <w:rPr>
          <w:iCs/>
          <w:color w:val="002060"/>
          <w:lang w:val="en-US"/>
        </w:rPr>
      </w:pPr>
    </w:p>
    <w:p w14:paraId="49506708" w14:textId="77777777" w:rsidR="0003141F" w:rsidRDefault="0003141F" w:rsidP="0003141F">
      <w:pPr>
        <w:pStyle w:val="Heading2"/>
      </w:pPr>
      <w:bookmarkStart w:id="11" w:name="_Toc53092824"/>
      <w:r>
        <w:t>Transport Network C</w:t>
      </w:r>
      <w:r w:rsidRPr="006852BB">
        <w:t>MOs</w:t>
      </w:r>
      <w:bookmarkEnd w:id="11"/>
      <w:r w:rsidRPr="006852BB">
        <w:t xml:space="preserve"> </w:t>
      </w:r>
    </w:p>
    <w:p w14:paraId="4BB03B1E" w14:textId="14B53577" w:rsidR="0003141F" w:rsidRDefault="0003141F" w:rsidP="0003141F">
      <w:pPr>
        <w:pStyle w:val="Heading3"/>
      </w:pPr>
      <w:bookmarkStart w:id="12" w:name="_Toc53092825"/>
      <w:r>
        <w:t>Transport Network C</w:t>
      </w:r>
      <w:r w:rsidRPr="006852BB">
        <w:t>MOs</w:t>
      </w:r>
      <w:bookmarkEnd w:id="12"/>
      <w:r w:rsidRPr="006852BB">
        <w:t xml:space="preserve"> </w:t>
      </w:r>
    </w:p>
    <w:p w14:paraId="133E71C6" w14:textId="77777777" w:rsidR="0003141F" w:rsidRDefault="0003141F" w:rsidP="0003141F">
      <w:pPr>
        <w:rPr>
          <w:lang w:val="en-US"/>
        </w:rPr>
      </w:pPr>
      <w:r w:rsidRPr="00A31A46">
        <w:rPr>
          <w:lang w:val="en-US"/>
        </w:rPr>
        <w:fldChar w:fldCharType="begin"/>
      </w:r>
      <w:r w:rsidRPr="00A31A46">
        <w:rPr>
          <w:lang w:val="en-US"/>
        </w:rPr>
        <w:instrText xml:space="preserve"> REF _Ref53091284 \h </w:instrText>
      </w:r>
      <w:r w:rsidRPr="00A31A46">
        <w:rPr>
          <w:lang w:val="en-US"/>
        </w:rPr>
      </w:r>
      <w:r w:rsidRPr="00A31A46">
        <w:rPr>
          <w:lang w:val="en-US"/>
        </w:rPr>
        <w:instrText xml:space="preserve"> \* MERGEFORMAT </w:instrText>
      </w:r>
      <w:r w:rsidRPr="00A31A46">
        <w:rPr>
          <w:lang w:val="en-US"/>
        </w:rPr>
        <w:fldChar w:fldCharType="separate"/>
      </w:r>
      <w:r w:rsidRPr="00A31A46">
        <w:rPr>
          <w:lang w:val="en-US"/>
        </w:rPr>
        <w:t xml:space="preserve">Table </w:t>
      </w:r>
      <w:r w:rsidRPr="00A31A46">
        <w:rPr>
          <w:noProof/>
          <w:lang w:val="en-US"/>
        </w:rPr>
        <w:t>3</w:t>
      </w:r>
      <w:r w:rsidRPr="00A31A46">
        <w:rPr>
          <w:lang w:val="en-US"/>
        </w:rPr>
        <w:fldChar w:fldCharType="end"/>
      </w:r>
      <w:r w:rsidRPr="00A31A46">
        <w:rPr>
          <w:lang w:val="en-US"/>
        </w:rPr>
        <w:t xml:space="preserve"> summarizes the results obtained from the capacity analysis for the transport network.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436"/>
        <w:gridCol w:w="1541"/>
        <w:gridCol w:w="1701"/>
        <w:gridCol w:w="1701"/>
        <w:gridCol w:w="1985"/>
        <w:gridCol w:w="1701"/>
      </w:tblGrid>
      <w:tr w:rsidR="0003141F" w:rsidRPr="00A31A46" w14:paraId="5987A7FA" w14:textId="77777777" w:rsidTr="001270B6">
        <w:trPr>
          <w:trHeight w:val="171"/>
        </w:trPr>
        <w:tc>
          <w:tcPr>
            <w:tcW w:w="1436" w:type="dxa"/>
            <w:shd w:val="clear" w:color="auto" w:fill="1F4E79" w:themeFill="accent1" w:themeFillShade="80"/>
            <w:vAlign w:val="center"/>
          </w:tcPr>
          <w:p w14:paraId="5D9F710D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CMO</w:t>
            </w:r>
          </w:p>
        </w:tc>
        <w:tc>
          <w:tcPr>
            <w:tcW w:w="1541" w:type="dxa"/>
            <w:shd w:val="clear" w:color="auto" w:fill="1F4E79" w:themeFill="accent1" w:themeFillShade="80"/>
            <w:vAlign w:val="center"/>
          </w:tcPr>
          <w:p w14:paraId="48C0DB6F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Current Value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29AF17C1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CMO threshold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3D2F0634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Augment horizon</w:t>
            </w:r>
          </w:p>
        </w:tc>
        <w:tc>
          <w:tcPr>
            <w:tcW w:w="1985" w:type="dxa"/>
            <w:shd w:val="clear" w:color="auto" w:fill="1F4E79" w:themeFill="accent1" w:themeFillShade="80"/>
            <w:vAlign w:val="center"/>
          </w:tcPr>
          <w:p w14:paraId="500DD07B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Capacity Augment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3D03E57C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Final Capacity</w:t>
            </w:r>
          </w:p>
        </w:tc>
      </w:tr>
      <w:tr w:rsidR="0003141F" w:rsidRPr="00A31A46" w14:paraId="6B9994FE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44440B2B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Tx Link Capacity</w:t>
            </w:r>
          </w:p>
        </w:tc>
        <w:tc>
          <w:tcPr>
            <w:tcW w:w="1541" w:type="dxa"/>
            <w:vAlign w:val="center"/>
          </w:tcPr>
          <w:p w14:paraId="016D594D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0788EE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1D07E0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3C3F38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F61F24E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0ACE4EDA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7DF5BB72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Number of FO Strands</w:t>
            </w:r>
          </w:p>
        </w:tc>
        <w:tc>
          <w:tcPr>
            <w:tcW w:w="1541" w:type="dxa"/>
            <w:vAlign w:val="center"/>
          </w:tcPr>
          <w:p w14:paraId="57250943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E12B21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40580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992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691EC4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2D12D367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27B3A83C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Tx Interface Capacity</w:t>
            </w:r>
          </w:p>
        </w:tc>
        <w:tc>
          <w:tcPr>
            <w:tcW w:w="1541" w:type="dxa"/>
            <w:vAlign w:val="center"/>
          </w:tcPr>
          <w:p w14:paraId="3249D1A0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4FBBA12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1E214D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6F05BDF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E0125C6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713E62DC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4644F248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Number of Tx Interfaces</w:t>
            </w:r>
          </w:p>
        </w:tc>
        <w:tc>
          <w:tcPr>
            <w:tcW w:w="1541" w:type="dxa"/>
            <w:vAlign w:val="center"/>
          </w:tcPr>
          <w:p w14:paraId="5E0F8228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0115BF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ABF25E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77DB98B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43E89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77692911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01637DBF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Tx Equipment Capacity</w:t>
            </w:r>
          </w:p>
        </w:tc>
        <w:tc>
          <w:tcPr>
            <w:tcW w:w="1541" w:type="dxa"/>
            <w:vAlign w:val="center"/>
          </w:tcPr>
          <w:p w14:paraId="60DBCA8C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F6459C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D9546E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088C306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9AE8676" w14:textId="77777777" w:rsidR="0003141F" w:rsidRPr="00A31A46" w:rsidRDefault="0003141F" w:rsidP="001270B6">
            <w:pPr>
              <w:keepNext/>
              <w:jc w:val="center"/>
              <w:rPr>
                <w:iCs/>
                <w:lang w:val="en-US"/>
              </w:rPr>
            </w:pPr>
          </w:p>
        </w:tc>
      </w:tr>
    </w:tbl>
    <w:p w14:paraId="185966F7" w14:textId="77777777" w:rsidR="0003141F" w:rsidRPr="00910FFE" w:rsidRDefault="0003141F" w:rsidP="0003141F">
      <w:pPr>
        <w:pStyle w:val="Caption"/>
        <w:jc w:val="center"/>
        <w:rPr>
          <w:lang w:val="en-US"/>
        </w:rPr>
      </w:pPr>
      <w:bookmarkStart w:id="13" w:name="_Ref53091284"/>
      <w:r w:rsidRPr="00910FFE">
        <w:rPr>
          <w:lang w:val="en-US"/>
        </w:rPr>
        <w:t xml:space="preserve">Table </w:t>
      </w:r>
      <w:r w:rsidRPr="00910FFE">
        <w:rPr>
          <w:lang w:val="en-US"/>
        </w:rPr>
        <w:fldChar w:fldCharType="begin"/>
      </w:r>
      <w:r w:rsidRPr="00910FFE">
        <w:rPr>
          <w:lang w:val="en-US"/>
        </w:rPr>
        <w:instrText xml:space="preserve"> SEQ Table \* ARABIC </w:instrText>
      </w:r>
      <w:r w:rsidRPr="00910FFE">
        <w:rPr>
          <w:lang w:val="en-US"/>
        </w:rPr>
        <w:fldChar w:fldCharType="separate"/>
      </w:r>
      <w:r w:rsidRPr="00910FFE">
        <w:rPr>
          <w:lang w:val="en-US"/>
        </w:rPr>
        <w:t>3</w:t>
      </w:r>
      <w:r w:rsidRPr="00910FFE">
        <w:rPr>
          <w:lang w:val="en-US"/>
        </w:rPr>
        <w:fldChar w:fldCharType="end"/>
      </w:r>
      <w:bookmarkEnd w:id="13"/>
      <w:r w:rsidRPr="00910FFE">
        <w:rPr>
          <w:lang w:val="en-US"/>
        </w:rPr>
        <w:t>. Capacity Analysis Summary for transport network CMOs.</w:t>
      </w:r>
    </w:p>
    <w:p w14:paraId="67E59C43" w14:textId="474B1A2D" w:rsidR="0003141F" w:rsidRDefault="0003141F" w:rsidP="0003141F">
      <w:pPr>
        <w:pStyle w:val="Heading3"/>
      </w:pPr>
      <w:bookmarkStart w:id="14" w:name="_Toc53092826"/>
      <w:r w:rsidRPr="0003141F">
        <w:t>Transport Network CMO analysis discussion</w:t>
      </w:r>
      <w:bookmarkEnd w:id="14"/>
    </w:p>
    <w:p w14:paraId="0A6F3793" w14:textId="0CB28E01" w:rsidR="0003141F" w:rsidRPr="0003141F" w:rsidRDefault="0003141F" w:rsidP="0003141F">
      <w:pPr>
        <w:jc w:val="both"/>
        <w:rPr>
          <w:i/>
          <w:color w:val="002060"/>
          <w:lang w:val="en-US"/>
        </w:rPr>
      </w:pPr>
      <w:r w:rsidRPr="0003141F">
        <w:rPr>
          <w:i/>
          <w:color w:val="002060"/>
          <w:lang w:val="en-US"/>
        </w:rPr>
        <w:t xml:space="preserve">Discussion of </w:t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_Ref53091263 \h </w:instrText>
      </w:r>
      <w:r w:rsidRPr="0003141F">
        <w:rPr>
          <w:i/>
          <w:color w:val="002060"/>
          <w:lang w:val="en-US"/>
        </w:rPr>
      </w:r>
      <w:r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_Ref53091284 \h </w:instrText>
      </w:r>
      <w:r w:rsidRPr="0003141F">
        <w:rPr>
          <w:i/>
          <w:color w:val="002060"/>
          <w:lang w:val="en-US"/>
        </w:rPr>
      </w:r>
      <w:r w:rsidRPr="0003141F"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t>Table 3</w:t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t xml:space="preserve">: </w:t>
      </w:r>
      <w:r w:rsidRPr="0003141F">
        <w:rPr>
          <w:i/>
          <w:color w:val="002060"/>
          <w:lang w:val="en-US"/>
        </w:rPr>
        <w:t>Impacts on the current network, overall costs, etc.</w:t>
      </w:r>
    </w:p>
    <w:p w14:paraId="21279D94" w14:textId="67B3AA0A" w:rsidR="0003141F" w:rsidRPr="0003141F" w:rsidRDefault="0003141F" w:rsidP="0003141F">
      <w:pPr>
        <w:rPr>
          <w:lang w:val="en-US"/>
        </w:rPr>
      </w:pPr>
    </w:p>
    <w:p w14:paraId="6B10D94A" w14:textId="77777777" w:rsidR="0003141F" w:rsidRDefault="0003141F" w:rsidP="0003141F">
      <w:pPr>
        <w:pStyle w:val="Heading2"/>
      </w:pPr>
      <w:bookmarkStart w:id="15" w:name="_Toc53092827"/>
      <w:r>
        <w:t>Core Network CMOs</w:t>
      </w:r>
      <w:bookmarkEnd w:id="15"/>
    </w:p>
    <w:p w14:paraId="006CD40A" w14:textId="33D5002B" w:rsidR="0003141F" w:rsidRDefault="0003141F" w:rsidP="0003141F">
      <w:pPr>
        <w:pStyle w:val="Heading3"/>
      </w:pPr>
      <w:bookmarkStart w:id="16" w:name="_Toc53092828"/>
      <w:r>
        <w:t>Core Network CMOs</w:t>
      </w:r>
      <w:bookmarkEnd w:id="16"/>
    </w:p>
    <w:p w14:paraId="3E91814B" w14:textId="77777777" w:rsidR="0003141F" w:rsidRPr="00A31A46" w:rsidRDefault="0003141F" w:rsidP="0003141F">
      <w:pPr>
        <w:rPr>
          <w:lang w:val="en-US"/>
        </w:rPr>
      </w:pPr>
      <w:r w:rsidRPr="00A31A46">
        <w:rPr>
          <w:lang w:val="en-US"/>
        </w:rPr>
        <w:fldChar w:fldCharType="begin"/>
      </w:r>
      <w:r w:rsidRPr="00A31A46">
        <w:rPr>
          <w:lang w:val="en-US"/>
        </w:rPr>
        <w:instrText xml:space="preserve"> REF _Ref53091303 \h </w:instrText>
      </w:r>
      <w:r w:rsidRPr="00A31A46">
        <w:rPr>
          <w:lang w:val="en-US"/>
        </w:rPr>
      </w:r>
      <w:r w:rsidRPr="00A31A46">
        <w:rPr>
          <w:lang w:val="en-US"/>
        </w:rPr>
        <w:instrText xml:space="preserve"> \* MERGEFORMAT </w:instrText>
      </w:r>
      <w:r w:rsidRPr="00A31A46">
        <w:rPr>
          <w:lang w:val="en-US"/>
        </w:rPr>
        <w:fldChar w:fldCharType="separate"/>
      </w:r>
      <w:r w:rsidRPr="00A31A46">
        <w:rPr>
          <w:lang w:val="en-US"/>
        </w:rPr>
        <w:t>Table 4</w:t>
      </w:r>
      <w:r w:rsidRPr="00A31A46">
        <w:rPr>
          <w:lang w:val="en-US"/>
        </w:rPr>
        <w:fldChar w:fldCharType="end"/>
      </w:r>
      <w:r w:rsidRPr="00A31A46">
        <w:rPr>
          <w:lang w:val="en-US"/>
        </w:rPr>
        <w:t xml:space="preserve"> summarizes the results obtained from the capacity analysis for the core network.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458"/>
        <w:gridCol w:w="1537"/>
        <w:gridCol w:w="1697"/>
        <w:gridCol w:w="1697"/>
        <w:gridCol w:w="1979"/>
        <w:gridCol w:w="1697"/>
      </w:tblGrid>
      <w:tr w:rsidR="0003141F" w:rsidRPr="00A31A46" w14:paraId="39CA57C6" w14:textId="77777777" w:rsidTr="001270B6">
        <w:trPr>
          <w:trHeight w:val="171"/>
        </w:trPr>
        <w:tc>
          <w:tcPr>
            <w:tcW w:w="1436" w:type="dxa"/>
            <w:shd w:val="clear" w:color="auto" w:fill="1F4E79" w:themeFill="accent1" w:themeFillShade="80"/>
            <w:vAlign w:val="center"/>
          </w:tcPr>
          <w:p w14:paraId="6F19F50E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CMO</w:t>
            </w:r>
          </w:p>
        </w:tc>
        <w:tc>
          <w:tcPr>
            <w:tcW w:w="1541" w:type="dxa"/>
            <w:shd w:val="clear" w:color="auto" w:fill="1F4E79" w:themeFill="accent1" w:themeFillShade="80"/>
            <w:vAlign w:val="center"/>
          </w:tcPr>
          <w:p w14:paraId="51DB1FFB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Current Value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5E66D0CD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CMO threshold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2965228A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Augment horizon</w:t>
            </w:r>
          </w:p>
        </w:tc>
        <w:tc>
          <w:tcPr>
            <w:tcW w:w="1985" w:type="dxa"/>
            <w:shd w:val="clear" w:color="auto" w:fill="1F4E79" w:themeFill="accent1" w:themeFillShade="80"/>
            <w:vAlign w:val="center"/>
          </w:tcPr>
          <w:p w14:paraId="27EAC859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Capacity Augment</w:t>
            </w:r>
          </w:p>
        </w:tc>
        <w:tc>
          <w:tcPr>
            <w:tcW w:w="1701" w:type="dxa"/>
            <w:shd w:val="clear" w:color="auto" w:fill="1F4E79" w:themeFill="accent1" w:themeFillShade="80"/>
            <w:vAlign w:val="center"/>
          </w:tcPr>
          <w:p w14:paraId="7514CB5B" w14:textId="77777777" w:rsidR="0003141F" w:rsidRPr="00A31A46" w:rsidRDefault="0003141F" w:rsidP="001270B6">
            <w:pPr>
              <w:jc w:val="center"/>
              <w:rPr>
                <w:iCs/>
                <w:color w:val="FFFFFF" w:themeColor="background1"/>
                <w:lang w:val="en-US"/>
              </w:rPr>
            </w:pPr>
            <w:r w:rsidRPr="00A31A46">
              <w:rPr>
                <w:iCs/>
                <w:color w:val="FFFFFF" w:themeColor="background1"/>
                <w:lang w:val="en-US"/>
              </w:rPr>
              <w:t>Final Capacity</w:t>
            </w:r>
          </w:p>
        </w:tc>
      </w:tr>
      <w:tr w:rsidR="0003141F" w:rsidRPr="00A31A46" w14:paraId="5A2B6906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22960832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Control Plane VNFs</w:t>
            </w:r>
          </w:p>
        </w:tc>
        <w:tc>
          <w:tcPr>
            <w:tcW w:w="1541" w:type="dxa"/>
            <w:vAlign w:val="center"/>
          </w:tcPr>
          <w:p w14:paraId="70C521A8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5A90C69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E0504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23415F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8FA7F7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68E00EC1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4E68F128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rFonts w:ascii="Calibri" w:eastAsia="Calibri" w:hAnsi="Calibri" w:cs="Calibri"/>
                <w:color w:val="000000"/>
                <w:lang w:val="en-US"/>
              </w:rPr>
              <w:t>User Plane VNFs</w:t>
            </w:r>
          </w:p>
        </w:tc>
        <w:tc>
          <w:tcPr>
            <w:tcW w:w="1541" w:type="dxa"/>
            <w:vAlign w:val="center"/>
          </w:tcPr>
          <w:p w14:paraId="2AF86D8A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8F1117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8F5D8B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504948F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C3FD7A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56D6E264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76A2EF5B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iCs/>
                <w:lang w:val="en-US"/>
              </w:rPr>
              <w:t>Database Plane VNFs</w:t>
            </w:r>
          </w:p>
        </w:tc>
        <w:tc>
          <w:tcPr>
            <w:tcW w:w="1541" w:type="dxa"/>
            <w:vAlign w:val="center"/>
          </w:tcPr>
          <w:p w14:paraId="63C56FD1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5F8536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862BC0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D495B5C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42C6F2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188CF1D6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0CB8042E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iCs/>
                <w:lang w:val="en-US"/>
              </w:rPr>
              <w:t>R&amp;S Equipment</w:t>
            </w:r>
          </w:p>
        </w:tc>
        <w:tc>
          <w:tcPr>
            <w:tcW w:w="1541" w:type="dxa"/>
            <w:vAlign w:val="center"/>
          </w:tcPr>
          <w:p w14:paraId="0A8507C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87C6BE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E02702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5457C94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5C8EF30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</w:tr>
      <w:tr w:rsidR="0003141F" w:rsidRPr="00A31A46" w14:paraId="6CD34DE5" w14:textId="77777777" w:rsidTr="001270B6">
        <w:trPr>
          <w:trHeight w:val="78"/>
        </w:trPr>
        <w:tc>
          <w:tcPr>
            <w:tcW w:w="1436" w:type="dxa"/>
            <w:vAlign w:val="center"/>
          </w:tcPr>
          <w:p w14:paraId="722659B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  <w:r w:rsidRPr="00A31A46">
              <w:rPr>
                <w:iCs/>
                <w:lang w:val="en-US"/>
              </w:rPr>
              <w:t>NFV Infrastructure</w:t>
            </w:r>
          </w:p>
        </w:tc>
        <w:tc>
          <w:tcPr>
            <w:tcW w:w="1541" w:type="dxa"/>
            <w:vAlign w:val="center"/>
          </w:tcPr>
          <w:p w14:paraId="444C7315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E7D00F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5AAB7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312EB19" w14:textId="77777777" w:rsidR="0003141F" w:rsidRPr="00A31A46" w:rsidRDefault="0003141F" w:rsidP="001270B6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D1F5E7" w14:textId="77777777" w:rsidR="0003141F" w:rsidRPr="00A31A46" w:rsidRDefault="0003141F" w:rsidP="001270B6">
            <w:pPr>
              <w:keepNext/>
              <w:jc w:val="center"/>
              <w:rPr>
                <w:iCs/>
                <w:lang w:val="en-US"/>
              </w:rPr>
            </w:pPr>
          </w:p>
        </w:tc>
      </w:tr>
    </w:tbl>
    <w:p w14:paraId="01604621" w14:textId="77777777" w:rsidR="0003141F" w:rsidRPr="00910FFE" w:rsidRDefault="0003141F" w:rsidP="0003141F">
      <w:pPr>
        <w:pStyle w:val="Caption"/>
        <w:jc w:val="center"/>
        <w:rPr>
          <w:lang w:val="en-US"/>
        </w:rPr>
      </w:pPr>
      <w:bookmarkStart w:id="17" w:name="_Ref53091303"/>
      <w:r w:rsidRPr="00910FFE">
        <w:rPr>
          <w:lang w:val="en-US"/>
        </w:rPr>
        <w:t xml:space="preserve">Table </w:t>
      </w:r>
      <w:r w:rsidRPr="00910FFE">
        <w:rPr>
          <w:lang w:val="en-US"/>
        </w:rPr>
        <w:fldChar w:fldCharType="begin"/>
      </w:r>
      <w:r w:rsidRPr="00910FFE">
        <w:rPr>
          <w:lang w:val="en-US"/>
        </w:rPr>
        <w:instrText xml:space="preserve"> SEQ Table \* ARABIC </w:instrText>
      </w:r>
      <w:r w:rsidRPr="00910FFE">
        <w:rPr>
          <w:lang w:val="en-US"/>
        </w:rPr>
        <w:fldChar w:fldCharType="separate"/>
      </w:r>
      <w:r w:rsidRPr="00910FFE">
        <w:rPr>
          <w:lang w:val="en-US"/>
        </w:rPr>
        <w:t>4</w:t>
      </w:r>
      <w:r w:rsidRPr="00910FFE">
        <w:rPr>
          <w:lang w:val="en-US"/>
        </w:rPr>
        <w:fldChar w:fldCharType="end"/>
      </w:r>
      <w:bookmarkEnd w:id="17"/>
      <w:r w:rsidRPr="00910FFE">
        <w:rPr>
          <w:lang w:val="en-US"/>
        </w:rPr>
        <w:t>. Capacity Analysis Summary for core network CMOs.</w:t>
      </w:r>
    </w:p>
    <w:p w14:paraId="6A0F2353" w14:textId="5F48F2BC" w:rsidR="0003141F" w:rsidRDefault="0003141F" w:rsidP="0003141F">
      <w:pPr>
        <w:pStyle w:val="Heading3"/>
      </w:pPr>
      <w:bookmarkStart w:id="18" w:name="_Toc53092829"/>
      <w:r>
        <w:lastRenderedPageBreak/>
        <w:t>Core Network CMOs</w:t>
      </w:r>
      <w:r>
        <w:t xml:space="preserve"> analysis discussion</w:t>
      </w:r>
      <w:bookmarkEnd w:id="18"/>
    </w:p>
    <w:p w14:paraId="79198B7C" w14:textId="2A619EC8" w:rsidR="0003141F" w:rsidRPr="0003141F" w:rsidRDefault="0003141F" w:rsidP="0003141F">
      <w:pPr>
        <w:jc w:val="both"/>
        <w:rPr>
          <w:i/>
          <w:color w:val="002060"/>
          <w:lang w:val="en-US"/>
        </w:rPr>
      </w:pPr>
      <w:r w:rsidRPr="0003141F">
        <w:rPr>
          <w:i/>
          <w:color w:val="002060"/>
          <w:lang w:val="en-US"/>
        </w:rPr>
        <w:t xml:space="preserve">Discussion of </w:t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_Ref53091303 \h </w:instrText>
      </w:r>
      <w:r w:rsidRPr="0003141F">
        <w:rPr>
          <w:i/>
          <w:color w:val="002060"/>
          <w:lang w:val="en-US"/>
        </w:rPr>
      </w:r>
      <w:r w:rsidRPr="0003141F"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t>Table 4</w:t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_Ref53091263 \h </w:instrText>
      </w:r>
      <w:r w:rsidRPr="0003141F">
        <w:rPr>
          <w:i/>
          <w:color w:val="002060"/>
          <w:lang w:val="en-US"/>
        </w:rPr>
      </w:r>
      <w:r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_Ref53091284 \h </w:instrText>
      </w:r>
      <w:r w:rsidRPr="0003141F">
        <w:rPr>
          <w:i/>
          <w:color w:val="002060"/>
          <w:lang w:val="en-US"/>
        </w:rPr>
      </w:r>
      <w:r w:rsidRPr="0003141F"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t xml:space="preserve">: </w:t>
      </w:r>
      <w:r w:rsidRPr="0003141F">
        <w:rPr>
          <w:i/>
          <w:color w:val="002060"/>
          <w:lang w:val="en-US"/>
        </w:rPr>
        <w:t>Impacts on the current network, overall costs, etc.</w:t>
      </w:r>
    </w:p>
    <w:p w14:paraId="4888437E" w14:textId="640900BA" w:rsidR="0003141F" w:rsidRPr="0003141F" w:rsidRDefault="0003141F" w:rsidP="0003141F">
      <w:pPr>
        <w:rPr>
          <w:lang w:val="en-US"/>
        </w:rPr>
      </w:pPr>
    </w:p>
    <w:p w14:paraId="1D34587D" w14:textId="3F942ABE" w:rsidR="0003141F" w:rsidRDefault="0003141F" w:rsidP="0003141F">
      <w:pPr>
        <w:pStyle w:val="Heading1"/>
      </w:pPr>
      <w:bookmarkStart w:id="19" w:name="_Toc53092830"/>
      <w:r w:rsidRPr="0003141F">
        <w:rPr>
          <w:lang w:val="en-US"/>
        </w:rPr>
        <w:t>Conclusion</w:t>
      </w:r>
      <w:r>
        <w:t>.</w:t>
      </w:r>
      <w:bookmarkEnd w:id="19"/>
    </w:p>
    <w:p w14:paraId="1CEE1D2B" w14:textId="2C3F868F" w:rsidR="0003141F" w:rsidRPr="0003141F" w:rsidRDefault="0003141F" w:rsidP="0003141F">
      <w:pPr>
        <w:jc w:val="both"/>
        <w:rPr>
          <w:i/>
          <w:color w:val="002060"/>
          <w:lang w:val="en-US"/>
        </w:rPr>
      </w:pPr>
      <w:r>
        <w:rPr>
          <w:i/>
          <w:color w:val="002060"/>
          <w:lang w:val="en-US"/>
        </w:rPr>
        <w:t xml:space="preserve">Summary of the </w:t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_Ref53091263 \h </w:instrText>
      </w:r>
      <w:r w:rsidRPr="0003141F">
        <w:rPr>
          <w:i/>
          <w:color w:val="002060"/>
          <w:lang w:val="en-US"/>
        </w:rPr>
      </w:r>
      <w:r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fldChar w:fldCharType="begin"/>
      </w:r>
      <w:r w:rsidRPr="0003141F">
        <w:rPr>
          <w:i/>
          <w:color w:val="002060"/>
          <w:lang w:val="en-US"/>
        </w:rPr>
        <w:instrText xml:space="preserve"> REF _Ref53091284 \h </w:instrText>
      </w:r>
      <w:r w:rsidRPr="0003141F">
        <w:rPr>
          <w:i/>
          <w:color w:val="002060"/>
          <w:lang w:val="en-US"/>
        </w:rPr>
      </w:r>
      <w:r w:rsidRPr="0003141F">
        <w:rPr>
          <w:i/>
          <w:color w:val="002060"/>
          <w:lang w:val="en-US"/>
        </w:rPr>
        <w:instrText xml:space="preserve"> \* MERGEFORMAT </w:instrText>
      </w:r>
      <w:r w:rsidRPr="0003141F">
        <w:rPr>
          <w:i/>
          <w:color w:val="002060"/>
          <w:lang w:val="en-US"/>
        </w:rPr>
        <w:fldChar w:fldCharType="separate"/>
      </w:r>
      <w:r w:rsidRPr="0003141F">
        <w:rPr>
          <w:i/>
          <w:color w:val="002060"/>
          <w:lang w:val="en-US"/>
        </w:rPr>
        <w:fldChar w:fldCharType="end"/>
      </w:r>
      <w:r w:rsidRPr="0003141F">
        <w:rPr>
          <w:i/>
          <w:color w:val="002060"/>
          <w:lang w:val="en-US"/>
        </w:rPr>
        <w:fldChar w:fldCharType="end"/>
      </w:r>
      <w:r>
        <w:rPr>
          <w:i/>
          <w:color w:val="002060"/>
          <w:lang w:val="en-US"/>
        </w:rPr>
        <w:t>main considerations and actions to be taken based on the capacity analysis results.</w:t>
      </w:r>
    </w:p>
    <w:sectPr w:rsidR="0003141F" w:rsidRPr="0003141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2DB15" w14:textId="77777777" w:rsidR="00C6160C" w:rsidRDefault="00C6160C" w:rsidP="005A4909">
      <w:pPr>
        <w:spacing w:after="0" w:line="240" w:lineRule="auto"/>
      </w:pPr>
      <w:r>
        <w:separator/>
      </w:r>
    </w:p>
  </w:endnote>
  <w:endnote w:type="continuationSeparator" w:id="0">
    <w:p w14:paraId="3D2C262B" w14:textId="77777777" w:rsidR="00C6160C" w:rsidRDefault="00C6160C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570F6C26" w:rsidR="00CF5E61" w:rsidRPr="002755F0" w:rsidRDefault="00CF5E61" w:rsidP="003B4D30">
    <w:pPr>
      <w:pStyle w:val="Footer"/>
      <w:jc w:val="center"/>
      <w:rPr>
        <w:i/>
        <w:lang w:val="en-US"/>
      </w:rPr>
    </w:pPr>
    <w:r w:rsidRPr="002755F0">
      <w:rPr>
        <w:b/>
        <w:i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FF0078" w:rsidRPr="002755F0">
      <w:rPr>
        <w:b/>
        <w:i/>
        <w:sz w:val="20"/>
        <w:szCs w:val="20"/>
        <w:lang w:val="en-US"/>
      </w:rPr>
      <w:t>&lt;NaaS Operator’s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5A6E7" w14:textId="77777777" w:rsidR="00C6160C" w:rsidRDefault="00C6160C" w:rsidP="005A4909">
      <w:pPr>
        <w:spacing w:after="0" w:line="240" w:lineRule="auto"/>
      </w:pPr>
      <w:r>
        <w:separator/>
      </w:r>
    </w:p>
  </w:footnote>
  <w:footnote w:type="continuationSeparator" w:id="0">
    <w:p w14:paraId="4D13CE8E" w14:textId="77777777" w:rsidR="00C6160C" w:rsidRDefault="00C6160C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366B8F2C" w:rsidR="00CF5E61" w:rsidRDefault="00FF0078">
    <w:pPr>
      <w:pStyle w:val="Header"/>
    </w:pPr>
    <w:r w:rsidRPr="00FF0078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2C2AAC87" wp14:editId="21657F55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E61"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33B28A00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0BB1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855EE"/>
    <w:multiLevelType w:val="hybridMultilevel"/>
    <w:tmpl w:val="BD5CF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77D9A"/>
    <w:multiLevelType w:val="hybridMultilevel"/>
    <w:tmpl w:val="E0D29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3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8"/>
  </w:num>
  <w:num w:numId="9">
    <w:abstractNumId w:val="36"/>
  </w:num>
  <w:num w:numId="10">
    <w:abstractNumId w:val="47"/>
  </w:num>
  <w:num w:numId="11">
    <w:abstractNumId w:val="12"/>
  </w:num>
  <w:num w:numId="12">
    <w:abstractNumId w:val="31"/>
  </w:num>
  <w:num w:numId="13">
    <w:abstractNumId w:val="21"/>
  </w:num>
  <w:num w:numId="14">
    <w:abstractNumId w:val="5"/>
  </w:num>
  <w:num w:numId="15">
    <w:abstractNumId w:val="11"/>
  </w:num>
  <w:num w:numId="16">
    <w:abstractNumId w:val="43"/>
  </w:num>
  <w:num w:numId="17">
    <w:abstractNumId w:val="27"/>
  </w:num>
  <w:num w:numId="18">
    <w:abstractNumId w:val="13"/>
  </w:num>
  <w:num w:numId="19">
    <w:abstractNumId w:val="45"/>
  </w:num>
  <w:num w:numId="20">
    <w:abstractNumId w:val="15"/>
  </w:num>
  <w:num w:numId="21">
    <w:abstractNumId w:val="32"/>
  </w:num>
  <w:num w:numId="22">
    <w:abstractNumId w:val="9"/>
  </w:num>
  <w:num w:numId="23">
    <w:abstractNumId w:val="26"/>
  </w:num>
  <w:num w:numId="24">
    <w:abstractNumId w:val="37"/>
  </w:num>
  <w:num w:numId="25">
    <w:abstractNumId w:val="24"/>
  </w:num>
  <w:num w:numId="26">
    <w:abstractNumId w:val="2"/>
  </w:num>
  <w:num w:numId="27">
    <w:abstractNumId w:val="18"/>
  </w:num>
  <w:num w:numId="28">
    <w:abstractNumId w:val="34"/>
  </w:num>
  <w:num w:numId="29">
    <w:abstractNumId w:val="29"/>
  </w:num>
  <w:num w:numId="30">
    <w:abstractNumId w:val="23"/>
  </w:num>
  <w:num w:numId="31">
    <w:abstractNumId w:val="39"/>
  </w:num>
  <w:num w:numId="32">
    <w:abstractNumId w:val="7"/>
  </w:num>
  <w:num w:numId="33">
    <w:abstractNumId w:val="38"/>
  </w:num>
  <w:num w:numId="34">
    <w:abstractNumId w:val="17"/>
  </w:num>
  <w:num w:numId="35">
    <w:abstractNumId w:val="35"/>
  </w:num>
  <w:num w:numId="36">
    <w:abstractNumId w:val="22"/>
  </w:num>
  <w:num w:numId="37">
    <w:abstractNumId w:val="8"/>
  </w:num>
  <w:num w:numId="38">
    <w:abstractNumId w:val="6"/>
  </w:num>
  <w:num w:numId="39">
    <w:abstractNumId w:val="25"/>
  </w:num>
  <w:num w:numId="40">
    <w:abstractNumId w:val="41"/>
  </w:num>
  <w:num w:numId="41">
    <w:abstractNumId w:val="19"/>
  </w:num>
  <w:num w:numId="42">
    <w:abstractNumId w:val="20"/>
  </w:num>
  <w:num w:numId="43">
    <w:abstractNumId w:val="30"/>
  </w:num>
  <w:num w:numId="44">
    <w:abstractNumId w:val="46"/>
  </w:num>
  <w:num w:numId="45">
    <w:abstractNumId w:val="0"/>
  </w:num>
  <w:num w:numId="46">
    <w:abstractNumId w:val="42"/>
  </w:num>
  <w:num w:numId="47">
    <w:abstractNumId w:val="14"/>
  </w:num>
  <w:num w:numId="48">
    <w:abstractNumId w:val="4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141F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F2C"/>
    <w:rsid w:val="00087158"/>
    <w:rsid w:val="00087891"/>
    <w:rsid w:val="00093CDF"/>
    <w:rsid w:val="0009456B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4FD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31F9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5F8C"/>
    <w:rsid w:val="0066701F"/>
    <w:rsid w:val="00672850"/>
    <w:rsid w:val="006829F6"/>
    <w:rsid w:val="00682FE2"/>
    <w:rsid w:val="006852BB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0FFE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3B44"/>
    <w:rsid w:val="00A25B1E"/>
    <w:rsid w:val="00A2713B"/>
    <w:rsid w:val="00A310B4"/>
    <w:rsid w:val="00A31A46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34E0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154E7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17CE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57FE1"/>
    <w:rsid w:val="00C6160C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3F57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0461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2C5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4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numPr>
        <w:ilvl w:val="2"/>
        <w:numId w:val="47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57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57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57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57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57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8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54B6-2051-4388-95E1-5DC91A3F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15093</TotalTime>
  <Pages>7</Pages>
  <Words>847</Words>
  <Characters>4660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Armando Vargas</cp:lastModifiedBy>
  <cp:revision>933</cp:revision>
  <dcterms:created xsi:type="dcterms:W3CDTF">2020-01-30T01:09:00Z</dcterms:created>
  <dcterms:modified xsi:type="dcterms:W3CDTF">2020-10-09T04:40:00Z</dcterms:modified>
</cp:coreProperties>
</file>