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line="300" w:lineRule="auto"/>
        <w:jc w:val="right"/>
        <w:bidi w:val="1"/>
      </w:pPr>
      <w:r>
        <w:rPr>
          <w:rFonts w:ascii="Arial" w:hAnsi="Arial" w:cs="Arial"/>
          <w:b/>
          <w:color w:val="1F4D78"/>
          <w:sz w:val="28"/>
        </w:rPr>
        <w:t>BUILDTRACK</w:t>
      </w:r>
    </w:p>
    <w:p>
      <w:pPr>
        <w:spacing w:before="0" w:after="200" w:line="300" w:lineRule="auto"/>
        <w:jc w:val="right"/>
        <w:bidi w:val="1"/>
      </w:pPr>
      <w:r>
        <w:rPr>
          <w:rFonts w:ascii="Arial" w:hAnsi="Arial" w:cs="Arial"/>
          <w:b/>
          <w:color w:val="2E74B5"/>
          <w:sz w:val="52"/>
        </w:rPr>
        <w:t>تقرير مقترحات التطوير والحوكمة</w:t>
      </w:r>
    </w:p>
    <w:p>
      <w:pPr>
        <w:spacing w:before="0" w:after="520" w:line="300" w:lineRule="auto"/>
        <w:jc w:val="right"/>
        <w:bidi w:val="1"/>
      </w:pPr>
      <w:r>
        <w:rPr>
          <w:rFonts w:ascii="Arial" w:hAnsi="Arial" w:cs="Arial"/>
          <w:b w:val="0"/>
          <w:color w:val="5F6368"/>
          <w:sz w:val="28"/>
        </w:rPr>
        <w:t>سهولة الاستخدام - الحوكمة المالية والتشغيلية - المستندات والفواتير - التدفق النقدي - الذكاء الاصطناعي المحلي</w:t>
      </w:r>
    </w:p>
    <w:tbl>
      <w:tblPr>
        <w:tblStyle w:val="TableGrid"/>
        <w:tblW w:type="auto" w:w="0"/>
        <w:jc w:val="left"/>
        <w:tblLayout w:type="fixed"/>
        <w:tblLook w:firstColumn="1" w:firstRow="1" w:lastColumn="0" w:lastRow="0" w:noHBand="0" w:noVBand="1" w:val="04A0"/>
      </w:tblPr>
      <w:tblGrid>
        <w:gridCol w:w="4896"/>
        <w:gridCol w:w="4896"/>
      </w:tblGrid>
      <w:tr>
        <w:tc>
          <w:tcPr>
            <w:tcW w:type="dxa" w:w="3240"/>
            <w:vAlign w:val="center"/>
            <w:shd w:fill="E8EEF5"/>
          </w:tcPr>
          <w:p>
            <w:pPr>
              <w:spacing w:after="0"/>
              <w:jc w:val="right"/>
              <w:bidi w:val="1"/>
            </w:pPr>
            <w:r/>
            <w:r>
              <w:rPr>
                <w:rFonts w:ascii="Arial" w:hAnsi="Arial" w:cs="Arial"/>
                <w:b/>
                <w:color w:val="1F4D78"/>
                <w:sz w:val="19"/>
              </w:rPr>
              <w:t>القرار المقترح</w:t>
            </w:r>
          </w:p>
        </w:tc>
        <w:tc>
          <w:tcPr>
            <w:tcW w:type="dxa" w:w="6120"/>
            <w:vAlign w:val="center"/>
            <w:shd w:fill="E8EEF5"/>
          </w:tcPr>
          <w:p>
            <w:pPr>
              <w:spacing w:after="0"/>
              <w:jc w:val="right"/>
              <w:bidi w:val="1"/>
            </w:pPr>
            <w:r/>
            <w:r>
              <w:rPr>
                <w:rFonts w:ascii="Arial" w:hAnsi="Arial" w:cs="Arial"/>
                <w:b/>
                <w:color w:val="1F4D78"/>
                <w:sz w:val="19"/>
              </w:rPr>
              <w:t>الأثر</w:t>
            </w:r>
          </w:p>
        </w:tc>
      </w:tr>
      <w:tr>
        <w:tc>
          <w:tcPr>
            <w:tcW w:type="dxa" w:w="3240"/>
            <w:vAlign w:val="center"/>
          </w:tcPr>
          <w:p>
            <w:pPr>
              <w:spacing w:after="0"/>
              <w:jc w:val="right"/>
              <w:bidi w:val="1"/>
            </w:pPr>
            <w:r/>
            <w:r>
              <w:rPr>
                <w:rFonts w:ascii="Arial" w:hAnsi="Arial" w:cs="Arial"/>
                <w:b w:val="0"/>
                <w:color w:val="202124"/>
                <w:sz w:val="19"/>
              </w:rPr>
              <w:t>تثبيت طبقة حوكمة موحّدة قبل إضافة خصائص جديدة</w:t>
            </w:r>
          </w:p>
        </w:tc>
        <w:tc>
          <w:tcPr>
            <w:tcW w:type="dxa" w:w="6120"/>
            <w:vAlign w:val="center"/>
          </w:tcPr>
          <w:p>
            <w:pPr>
              <w:spacing w:after="0"/>
              <w:jc w:val="right"/>
              <w:bidi w:val="1"/>
            </w:pPr>
            <w:r/>
            <w:r>
              <w:rPr>
                <w:rFonts w:ascii="Arial" w:hAnsi="Arial" w:cs="Arial"/>
                <w:b w:val="0"/>
                <w:color w:val="202124"/>
                <w:sz w:val="19"/>
              </w:rPr>
              <w:t>منع أخطاء القيم والكميات والتواريخ من المصدر.</w:t>
            </w:r>
          </w:p>
        </w:tc>
      </w:tr>
      <w:tr>
        <w:tc>
          <w:tcPr>
            <w:tcW w:type="dxa" w:w="3240"/>
            <w:vAlign w:val="center"/>
          </w:tcPr>
          <w:p>
            <w:pPr>
              <w:spacing w:after="0"/>
              <w:jc w:val="right"/>
              <w:bidi w:val="1"/>
            </w:pPr>
            <w:r/>
            <w:r>
              <w:rPr>
                <w:rFonts w:ascii="Arial" w:hAnsi="Arial" w:cs="Arial"/>
                <w:b w:val="0"/>
                <w:color w:val="202124"/>
                <w:sz w:val="19"/>
              </w:rPr>
              <w:t>اعتماد Master Data للعملاء والموردين والمقاولين</w:t>
            </w:r>
          </w:p>
        </w:tc>
        <w:tc>
          <w:tcPr>
            <w:tcW w:type="dxa" w:w="6120"/>
            <w:vAlign w:val="center"/>
          </w:tcPr>
          <w:p>
            <w:pPr>
              <w:spacing w:after="0"/>
              <w:jc w:val="right"/>
              <w:bidi w:val="1"/>
            </w:pPr>
            <w:r/>
            <w:r>
              <w:rPr>
                <w:rFonts w:ascii="Arial" w:hAnsi="Arial" w:cs="Arial"/>
                <w:b w:val="0"/>
                <w:color w:val="202124"/>
                <w:sz w:val="19"/>
              </w:rPr>
              <w:t>إعادة استخدام بيانات وأسعار المشاريع السابقة.</w:t>
            </w:r>
          </w:p>
        </w:tc>
      </w:tr>
      <w:tr>
        <w:tc>
          <w:tcPr>
            <w:tcW w:type="dxa" w:w="3240"/>
            <w:vAlign w:val="center"/>
          </w:tcPr>
          <w:p>
            <w:pPr>
              <w:spacing w:after="0"/>
              <w:jc w:val="right"/>
              <w:bidi w:val="1"/>
            </w:pPr>
            <w:r/>
            <w:r>
              <w:rPr>
                <w:rFonts w:ascii="Arial" w:hAnsi="Arial" w:cs="Arial"/>
                <w:b w:val="0"/>
                <w:color w:val="202124"/>
                <w:sz w:val="19"/>
              </w:rPr>
              <w:t>جعل Cash Flow دفترًا مشتقًا من الفواتير والمدفوعات</w:t>
            </w:r>
          </w:p>
        </w:tc>
        <w:tc>
          <w:tcPr>
            <w:tcW w:type="dxa" w:w="6120"/>
            <w:vAlign w:val="center"/>
          </w:tcPr>
          <w:p>
            <w:pPr>
              <w:spacing w:after="0"/>
              <w:jc w:val="right"/>
              <w:bidi w:val="1"/>
            </w:pPr>
            <w:r/>
            <w:r>
              <w:rPr>
                <w:rFonts w:ascii="Arial" w:hAnsi="Arial" w:cs="Arial"/>
                <w:b w:val="0"/>
                <w:color w:val="202124"/>
                <w:sz w:val="19"/>
              </w:rPr>
              <w:t>إلغاء الإدخال المكرر وتحسين دقة السيولة.</w:t>
            </w:r>
          </w:p>
        </w:tc>
      </w:tr>
      <w:tr>
        <w:tc>
          <w:tcPr>
            <w:tcW w:type="dxa" w:w="3240"/>
            <w:vAlign w:val="center"/>
          </w:tcPr>
          <w:p>
            <w:pPr>
              <w:spacing w:after="0"/>
              <w:jc w:val="right"/>
              <w:bidi w:val="1"/>
            </w:pPr>
            <w:r/>
            <w:r>
              <w:rPr>
                <w:rFonts w:ascii="Arial" w:hAnsi="Arial" w:cs="Arial"/>
                <w:b w:val="0"/>
                <w:color w:val="202124"/>
                <w:sz w:val="19"/>
              </w:rPr>
              <w:t>إضافة مساعد محلي اختياري</w:t>
            </w:r>
          </w:p>
        </w:tc>
        <w:tc>
          <w:tcPr>
            <w:tcW w:type="dxa" w:w="6120"/>
            <w:vAlign w:val="center"/>
          </w:tcPr>
          <w:p>
            <w:pPr>
              <w:spacing w:after="0"/>
              <w:jc w:val="right"/>
              <w:bidi w:val="1"/>
            </w:pPr>
            <w:r/>
            <w:r>
              <w:rPr>
                <w:rFonts w:ascii="Arial" w:hAnsi="Arial" w:cs="Arial"/>
                <w:b w:val="0"/>
                <w:color w:val="202124"/>
                <w:sz w:val="19"/>
              </w:rPr>
              <w:t>تحليل وتنبيهات بلا رسوم API وببيانات داخل الجهاز.</w:t>
            </w:r>
          </w:p>
        </w:tc>
      </w:tr>
    </w:tbl>
    <w:p>
      <w:pPr>
        <w:spacing w:after="40"/>
      </w:pPr>
    </w:p>
    <w:p>
      <w:r>
        <w:br w:type="page"/>
      </w:r>
    </w:p>
    <w:p>
      <w:pPr>
        <w:spacing w:before="320" w:after="140"/>
        <w:jc w:val="right"/>
        <w:bidi w:val="1"/>
      </w:pPr>
      <w:r>
        <w:rPr>
          <w:rFonts w:ascii="Arial" w:hAnsi="Arial" w:cs="Arial"/>
          <w:b/>
          <w:color w:val="2E74B5"/>
          <w:sz w:val="32"/>
        </w:rPr>
        <w:t>1. الملخص التنفيذي</w:t>
      </w:r>
    </w:p>
    <w:p>
      <w:pPr>
        <w:spacing w:before="0" w:after="120" w:line="300" w:lineRule="auto"/>
        <w:jc w:val="right"/>
        <w:bidi w:val="1"/>
      </w:pPr>
      <w:r>
        <w:rPr>
          <w:rFonts w:ascii="Arial" w:hAnsi="Arial" w:cs="Arial"/>
          <w:b w:val="0"/>
          <w:color w:val="202124"/>
          <w:sz w:val="22"/>
        </w:rPr>
        <w:t>التطبيق وصل إلى قاعدة قوية: عقد رئيسي/باطن، BOQ، طلبات فحص، فواتير، تكلفة، تخطيط وPMO. المرحلة التالية ليست إضافة جداول كثيرة؛ بل تحويل هذه البيانات إلى عملية محكومة سهلة الاستخدام. أوصي بالبدء بثلاثة محاور: طبقة حوكمة مركزية، دفتر نقدي مشتق، ثم مركز بيانات الأطراف. بعد استقرارها يمكن إضافة الذكاء الاصطناعي المحلي كمساعد قراءة وتحليل فقط، وليس كمصدر يغير بيانات المشروع.</w:t>
      </w:r>
    </w:p>
    <w:p>
      <w:pPr>
        <w:spacing w:before="320" w:after="140"/>
        <w:jc w:val="right"/>
        <w:bidi w:val="1"/>
      </w:pPr>
      <w:r>
        <w:rPr>
          <w:rFonts w:ascii="Arial" w:hAnsi="Arial" w:cs="Arial"/>
          <w:b/>
          <w:color w:val="2E74B5"/>
          <w:sz w:val="32"/>
        </w:rPr>
        <w:t>2. تجربة المستخدم والجداول</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232"/>
            <w:vAlign w:val="center"/>
            <w:shd w:fill="E8EEF5"/>
          </w:tcPr>
          <w:p>
            <w:pPr>
              <w:spacing w:after="0"/>
              <w:jc w:val="right"/>
              <w:bidi w:val="1"/>
            </w:pPr>
            <w:r/>
            <w:r>
              <w:rPr>
                <w:rFonts w:ascii="Arial" w:hAnsi="Arial" w:cs="Arial"/>
                <w:b/>
                <w:color w:val="1F4D78"/>
                <w:sz w:val="19"/>
              </w:rPr>
              <w:t>الميزة</w:t>
            </w:r>
          </w:p>
        </w:tc>
        <w:tc>
          <w:tcPr>
            <w:tcW w:type="dxa" w:w="5544"/>
            <w:vAlign w:val="center"/>
            <w:shd w:fill="E8EEF5"/>
          </w:tcPr>
          <w:p>
            <w:pPr>
              <w:spacing w:after="0"/>
              <w:jc w:val="right"/>
              <w:bidi w:val="1"/>
            </w:pPr>
            <w:r/>
            <w:r>
              <w:rPr>
                <w:rFonts w:ascii="Arial" w:hAnsi="Arial" w:cs="Arial"/>
                <w:b/>
                <w:color w:val="1F4D78"/>
                <w:sz w:val="19"/>
              </w:rPr>
              <w:t>كيف تعمل</w:t>
            </w:r>
          </w:p>
        </w:tc>
        <w:tc>
          <w:tcPr>
            <w:tcW w:type="dxa" w:w="1296"/>
            <w:vAlign w:val="center"/>
            <w:shd w:fill="E8EEF5"/>
          </w:tcPr>
          <w:p>
            <w:pPr>
              <w:spacing w:after="0"/>
              <w:jc w:val="right"/>
              <w:bidi w:val="1"/>
            </w:pPr>
            <w:r/>
            <w:r>
              <w:rPr>
                <w:rFonts w:ascii="Arial" w:hAnsi="Arial" w:cs="Arial"/>
                <w:b/>
                <w:color w:val="1F4D78"/>
                <w:sz w:val="19"/>
              </w:rPr>
              <w:t>الأولوية</w:t>
            </w:r>
          </w:p>
        </w:tc>
      </w:tr>
      <w:tr>
        <w:tc>
          <w:tcPr>
            <w:tcW w:type="dxa" w:w="2232"/>
            <w:vAlign w:val="center"/>
          </w:tcPr>
          <w:p>
            <w:pPr>
              <w:spacing w:after="0"/>
              <w:jc w:val="right"/>
              <w:bidi w:val="1"/>
            </w:pPr>
            <w:r/>
            <w:r>
              <w:rPr>
                <w:rFonts w:ascii="Arial" w:hAnsi="Arial" w:cs="Arial"/>
                <w:b w:val="0"/>
                <w:color w:val="202124"/>
                <w:sz w:val="19"/>
              </w:rPr>
              <w:t>Command Bar</w:t>
            </w:r>
          </w:p>
        </w:tc>
        <w:tc>
          <w:tcPr>
            <w:tcW w:type="dxa" w:w="5544"/>
            <w:vAlign w:val="center"/>
          </w:tcPr>
          <w:p>
            <w:pPr>
              <w:spacing w:after="0"/>
              <w:jc w:val="right"/>
              <w:bidi w:val="1"/>
            </w:pPr>
            <w:r/>
            <w:r>
              <w:rPr>
                <w:rFonts w:ascii="Arial" w:hAnsi="Arial" w:cs="Arial"/>
                <w:b w:val="0"/>
                <w:color w:val="202124"/>
                <w:sz w:val="19"/>
              </w:rPr>
              <w:t>بحث واحد ينفذ: افتح مشروع/عقد/بند/فاتورة، أضف سجلًا، أو انتقل لتقرير.</w:t>
            </w:r>
          </w:p>
        </w:tc>
        <w:tc>
          <w:tcPr>
            <w:tcW w:type="dxa" w:w="1296"/>
            <w:vAlign w:val="center"/>
          </w:tcPr>
          <w:p>
            <w:pPr>
              <w:spacing w:after="0"/>
              <w:jc w:val="right"/>
              <w:bidi w:val="1"/>
            </w:pPr>
            <w:r/>
            <w:r>
              <w:rPr>
                <w:rFonts w:ascii="Arial" w:hAnsi="Arial" w:cs="Arial"/>
                <w:b w:val="0"/>
                <w:color w:val="202124"/>
                <w:sz w:val="19"/>
              </w:rPr>
              <w:t>عالية</w:t>
            </w:r>
          </w:p>
        </w:tc>
      </w:tr>
      <w:tr>
        <w:tc>
          <w:tcPr>
            <w:tcW w:type="dxa" w:w="2232"/>
            <w:vAlign w:val="center"/>
          </w:tcPr>
          <w:p>
            <w:pPr>
              <w:spacing w:after="0"/>
              <w:jc w:val="right"/>
              <w:bidi w:val="1"/>
            </w:pPr>
            <w:r/>
            <w:r>
              <w:rPr>
                <w:rFonts w:ascii="Arial" w:hAnsi="Arial" w:cs="Arial"/>
                <w:b w:val="0"/>
                <w:color w:val="202124"/>
                <w:sz w:val="19"/>
              </w:rPr>
              <w:t>لوحات إدخال موجهة</w:t>
            </w:r>
          </w:p>
        </w:tc>
        <w:tc>
          <w:tcPr>
            <w:tcW w:type="dxa" w:w="5544"/>
            <w:vAlign w:val="center"/>
          </w:tcPr>
          <w:p>
            <w:pPr>
              <w:spacing w:after="0"/>
              <w:jc w:val="right"/>
              <w:bidi w:val="1"/>
            </w:pPr>
            <w:r/>
            <w:r>
              <w:rPr>
                <w:rFonts w:ascii="Arial" w:hAnsi="Arial" w:cs="Arial"/>
                <w:b w:val="0"/>
                <w:color w:val="202124"/>
                <w:sz w:val="19"/>
              </w:rPr>
              <w:t>اختيار المشروع ثم العقد ثم البند، مع إظهار الحقول المطلوبة فقط ومنع الاختيارات غير الصحيحة.</w:t>
            </w:r>
          </w:p>
        </w:tc>
        <w:tc>
          <w:tcPr>
            <w:tcW w:type="dxa" w:w="1296"/>
            <w:vAlign w:val="center"/>
          </w:tcPr>
          <w:p>
            <w:pPr>
              <w:spacing w:after="0"/>
              <w:jc w:val="right"/>
              <w:bidi w:val="1"/>
            </w:pPr>
            <w:r/>
            <w:r>
              <w:rPr>
                <w:rFonts w:ascii="Arial" w:hAnsi="Arial" w:cs="Arial"/>
                <w:b w:val="0"/>
                <w:color w:val="202124"/>
                <w:sz w:val="19"/>
              </w:rPr>
              <w:t>عالية</w:t>
            </w:r>
          </w:p>
        </w:tc>
      </w:tr>
      <w:tr>
        <w:tc>
          <w:tcPr>
            <w:tcW w:type="dxa" w:w="2232"/>
            <w:vAlign w:val="center"/>
          </w:tcPr>
          <w:p>
            <w:pPr>
              <w:spacing w:after="0"/>
              <w:jc w:val="right"/>
              <w:bidi w:val="1"/>
            </w:pPr>
            <w:r/>
            <w:r>
              <w:rPr>
                <w:rFonts w:ascii="Arial" w:hAnsi="Arial" w:cs="Arial"/>
                <w:b w:val="0"/>
                <w:color w:val="202124"/>
                <w:sz w:val="19"/>
              </w:rPr>
              <w:t>قوالب Views</w:t>
            </w:r>
          </w:p>
        </w:tc>
        <w:tc>
          <w:tcPr>
            <w:tcW w:type="dxa" w:w="5544"/>
            <w:vAlign w:val="center"/>
          </w:tcPr>
          <w:p>
            <w:pPr>
              <w:spacing w:after="0"/>
              <w:jc w:val="right"/>
              <w:bidi w:val="1"/>
            </w:pPr>
            <w:r/>
            <w:r>
              <w:rPr>
                <w:rFonts w:ascii="Arial" w:hAnsi="Arial" w:cs="Arial"/>
                <w:b w:val="0"/>
                <w:color w:val="202124"/>
                <w:sz w:val="19"/>
              </w:rPr>
              <w:t>حفظ عرض: مدير مشروع، تجاري، موقع، محاسبة؛ لكل عرض فلاتر وأعمدة وترتيب محفوظ.</w:t>
            </w:r>
          </w:p>
        </w:tc>
        <w:tc>
          <w:tcPr>
            <w:tcW w:type="dxa" w:w="1296"/>
            <w:vAlign w:val="center"/>
          </w:tcPr>
          <w:p>
            <w:pPr>
              <w:spacing w:after="0"/>
              <w:jc w:val="right"/>
              <w:bidi w:val="1"/>
            </w:pPr>
            <w:r/>
            <w:r>
              <w:rPr>
                <w:rFonts w:ascii="Arial" w:hAnsi="Arial" w:cs="Arial"/>
                <w:b w:val="0"/>
                <w:color w:val="202124"/>
                <w:sz w:val="19"/>
              </w:rPr>
              <w:t>عالية</w:t>
            </w:r>
          </w:p>
        </w:tc>
      </w:tr>
      <w:tr>
        <w:tc>
          <w:tcPr>
            <w:tcW w:type="dxa" w:w="2232"/>
            <w:vAlign w:val="center"/>
          </w:tcPr>
          <w:p>
            <w:pPr>
              <w:spacing w:after="0"/>
              <w:jc w:val="right"/>
              <w:bidi w:val="1"/>
            </w:pPr>
            <w:r/>
            <w:r>
              <w:rPr>
                <w:rFonts w:ascii="Arial" w:hAnsi="Arial" w:cs="Arial"/>
                <w:b w:val="0"/>
                <w:color w:val="202124"/>
                <w:sz w:val="19"/>
              </w:rPr>
              <w:t>Excel Grid محسّن</w:t>
            </w:r>
          </w:p>
        </w:tc>
        <w:tc>
          <w:tcPr>
            <w:tcW w:type="dxa" w:w="5544"/>
            <w:vAlign w:val="center"/>
          </w:tcPr>
          <w:p>
            <w:pPr>
              <w:spacing w:after="0"/>
              <w:jc w:val="right"/>
              <w:bidi w:val="1"/>
            </w:pPr>
            <w:r/>
            <w:r>
              <w:rPr>
                <w:rFonts w:ascii="Arial" w:hAnsi="Arial" w:cs="Arial"/>
                <w:b w:val="0"/>
                <w:color w:val="202124"/>
                <w:sz w:val="19"/>
              </w:rPr>
              <w:t>تحديد، لصق، Fill Down، صيغ بسيطة، حفظ موضع الصف، Undo/Redo وتحقق قبل الحفظ.</w:t>
            </w:r>
          </w:p>
        </w:tc>
        <w:tc>
          <w:tcPr>
            <w:tcW w:type="dxa" w:w="1296"/>
            <w:vAlign w:val="center"/>
          </w:tcPr>
          <w:p>
            <w:pPr>
              <w:spacing w:after="0"/>
              <w:jc w:val="right"/>
              <w:bidi w:val="1"/>
            </w:pPr>
            <w:r/>
            <w:r>
              <w:rPr>
                <w:rFonts w:ascii="Arial" w:hAnsi="Arial" w:cs="Arial"/>
                <w:b w:val="0"/>
                <w:color w:val="202124"/>
                <w:sz w:val="19"/>
              </w:rPr>
              <w:t>عالية</w:t>
            </w:r>
          </w:p>
        </w:tc>
      </w:tr>
      <w:tr>
        <w:tc>
          <w:tcPr>
            <w:tcW w:type="dxa" w:w="2232"/>
            <w:vAlign w:val="center"/>
          </w:tcPr>
          <w:p>
            <w:pPr>
              <w:spacing w:after="0"/>
              <w:jc w:val="right"/>
              <w:bidi w:val="1"/>
            </w:pPr>
            <w:r/>
            <w:r>
              <w:rPr>
                <w:rFonts w:ascii="Arial" w:hAnsi="Arial" w:cs="Arial"/>
                <w:b w:val="0"/>
                <w:color w:val="202124"/>
                <w:sz w:val="19"/>
              </w:rPr>
              <w:t>سجل تغيير مرئي</w:t>
            </w:r>
          </w:p>
        </w:tc>
        <w:tc>
          <w:tcPr>
            <w:tcW w:type="dxa" w:w="5544"/>
            <w:vAlign w:val="center"/>
          </w:tcPr>
          <w:p>
            <w:pPr>
              <w:spacing w:after="0"/>
              <w:jc w:val="right"/>
              <w:bidi w:val="1"/>
            </w:pPr>
            <w:r/>
            <w:r>
              <w:rPr>
                <w:rFonts w:ascii="Arial" w:hAnsi="Arial" w:cs="Arial"/>
                <w:b w:val="0"/>
                <w:color w:val="202124"/>
                <w:sz w:val="19"/>
              </w:rPr>
              <w:t>إظهار من عدل ماذا ومتى والقيمة قبل/بعد في كل سجل، مع رابط للمصدر.</w:t>
            </w:r>
          </w:p>
        </w:tc>
        <w:tc>
          <w:tcPr>
            <w:tcW w:type="dxa" w:w="1296"/>
            <w:vAlign w:val="center"/>
          </w:tcPr>
          <w:p>
            <w:pPr>
              <w:spacing w:after="0"/>
              <w:jc w:val="right"/>
              <w:bidi w:val="1"/>
            </w:pPr>
            <w:r/>
            <w:r>
              <w:rPr>
                <w:rFonts w:ascii="Arial" w:hAnsi="Arial" w:cs="Arial"/>
                <w:b w:val="0"/>
                <w:color w:val="202124"/>
                <w:sz w:val="19"/>
              </w:rPr>
              <w:t>متوسطة</w:t>
            </w:r>
          </w:p>
        </w:tc>
      </w:tr>
      <w:tr>
        <w:tc>
          <w:tcPr>
            <w:tcW w:type="dxa" w:w="2232"/>
            <w:vAlign w:val="center"/>
          </w:tcPr>
          <w:p>
            <w:pPr>
              <w:spacing w:after="0"/>
              <w:jc w:val="right"/>
              <w:bidi w:val="1"/>
            </w:pPr>
            <w:r/>
            <w:r>
              <w:rPr>
                <w:rFonts w:ascii="Arial" w:hAnsi="Arial" w:cs="Arial"/>
                <w:b w:val="0"/>
                <w:color w:val="202124"/>
                <w:sz w:val="19"/>
              </w:rPr>
              <w:t>قائمة مهام ذكية</w:t>
            </w:r>
          </w:p>
        </w:tc>
        <w:tc>
          <w:tcPr>
            <w:tcW w:type="dxa" w:w="5544"/>
            <w:vAlign w:val="center"/>
          </w:tcPr>
          <w:p>
            <w:pPr>
              <w:spacing w:after="0"/>
              <w:jc w:val="right"/>
              <w:bidi w:val="1"/>
            </w:pPr>
            <w:r/>
            <w:r>
              <w:rPr>
                <w:rFonts w:ascii="Arial" w:hAnsi="Arial" w:cs="Arial"/>
                <w:b w:val="0"/>
                <w:color w:val="202124"/>
                <w:sz w:val="19"/>
              </w:rPr>
              <w:t>تنبيهات مرتبطة بالسجل: فاتورة تحتاج اعتمادًا، بند تجاوز الكمية، نشاط متأخر.</w:t>
            </w:r>
          </w:p>
        </w:tc>
        <w:tc>
          <w:tcPr>
            <w:tcW w:type="dxa" w:w="1296"/>
            <w:vAlign w:val="center"/>
          </w:tcPr>
          <w:p>
            <w:pPr>
              <w:spacing w:after="0"/>
              <w:jc w:val="right"/>
              <w:bidi w:val="1"/>
            </w:pPr>
            <w:r/>
            <w:r>
              <w:rPr>
                <w:rFonts w:ascii="Arial" w:hAnsi="Arial" w:cs="Arial"/>
                <w:b w:val="0"/>
                <w:color w:val="202124"/>
                <w:sz w:val="19"/>
              </w:rPr>
              <w:t>متوسطة</w:t>
            </w:r>
          </w:p>
        </w:tc>
      </w:tr>
    </w:tbl>
    <w:p>
      <w:pPr>
        <w:spacing w:after="40"/>
      </w:pPr>
    </w:p>
    <w:p>
      <w:pPr>
        <w:spacing w:before="320" w:after="140"/>
        <w:jc w:val="right"/>
        <w:bidi w:val="1"/>
      </w:pPr>
      <w:r>
        <w:rPr>
          <w:rFonts w:ascii="Arial" w:hAnsi="Arial" w:cs="Arial"/>
          <w:b/>
          <w:color w:val="2E74B5"/>
          <w:sz w:val="32"/>
        </w:rPr>
        <w:t>3. حوكمة الأرقام المالية والكميات والتواريخ</w:t>
      </w:r>
    </w:p>
    <w:p>
      <w:pPr>
        <w:spacing w:before="0" w:after="120" w:line="300" w:lineRule="auto"/>
        <w:jc w:val="right"/>
        <w:bidi w:val="1"/>
      </w:pPr>
      <w:r>
        <w:rPr>
          <w:rFonts w:ascii="Arial" w:hAnsi="Arial" w:cs="Arial"/>
          <w:b/>
          <w:color w:val="1F4D78"/>
          <w:sz w:val="22"/>
        </w:rPr>
        <w:t>الحوكمة يجب أن تكون في طبقة قواعد واحدة مشتركة بين نموذج الإضافة، التعديل داخل الجدول، الاستيراد، وخدمات المزامنة. لا يكفي تكرار نفس التحقق في كل صفحة.</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512"/>
            <w:vAlign w:val="center"/>
            <w:shd w:fill="E8EEF5"/>
          </w:tcPr>
          <w:p>
            <w:pPr>
              <w:spacing w:after="0"/>
              <w:jc w:val="right"/>
              <w:bidi w:val="1"/>
            </w:pPr>
            <w:r/>
            <w:r>
              <w:rPr>
                <w:rFonts w:ascii="Arial" w:hAnsi="Arial" w:cs="Arial"/>
                <w:b/>
                <w:color w:val="1F4D78"/>
                <w:sz w:val="19"/>
              </w:rPr>
              <w:t>المجال</w:t>
            </w:r>
          </w:p>
        </w:tc>
        <w:tc>
          <w:tcPr>
            <w:tcW w:type="dxa" w:w="6048"/>
            <w:vAlign w:val="center"/>
            <w:shd w:fill="E8EEF5"/>
          </w:tcPr>
          <w:p>
            <w:pPr>
              <w:spacing w:after="0"/>
              <w:jc w:val="right"/>
              <w:bidi w:val="1"/>
            </w:pPr>
            <w:r/>
            <w:r>
              <w:rPr>
                <w:rFonts w:ascii="Arial" w:hAnsi="Arial" w:cs="Arial"/>
                <w:b/>
                <w:color w:val="1F4D78"/>
                <w:sz w:val="19"/>
              </w:rPr>
              <w:t>قاعدة الحوكمة المقترحة</w:t>
            </w:r>
          </w:p>
        </w:tc>
        <w:tc>
          <w:tcPr>
            <w:tcW w:type="dxa" w:w="1512"/>
            <w:vAlign w:val="center"/>
            <w:shd w:fill="E8EEF5"/>
          </w:tcPr>
          <w:p>
            <w:pPr>
              <w:spacing w:after="0"/>
              <w:jc w:val="right"/>
              <w:bidi w:val="1"/>
            </w:pPr>
            <w:r/>
            <w:r>
              <w:rPr>
                <w:rFonts w:ascii="Arial" w:hAnsi="Arial" w:cs="Arial"/>
                <w:b/>
                <w:color w:val="1F4D78"/>
                <w:sz w:val="19"/>
              </w:rPr>
              <w:t>رد التطبيق عند المخالفة</w:t>
            </w:r>
          </w:p>
        </w:tc>
      </w:tr>
      <w:tr>
        <w:tc>
          <w:tcPr>
            <w:tcW w:type="dxa" w:w="1512"/>
            <w:vAlign w:val="center"/>
          </w:tcPr>
          <w:p>
            <w:pPr>
              <w:spacing w:after="0"/>
              <w:jc w:val="right"/>
              <w:bidi w:val="1"/>
            </w:pPr>
            <w:r/>
            <w:r>
              <w:rPr>
                <w:rFonts w:ascii="Arial" w:hAnsi="Arial" w:cs="Arial"/>
                <w:b w:val="0"/>
                <w:color w:val="202124"/>
                <w:sz w:val="19"/>
              </w:rPr>
              <w:t>الأكواد</w:t>
            </w:r>
          </w:p>
        </w:tc>
        <w:tc>
          <w:tcPr>
            <w:tcW w:type="dxa" w:w="6048"/>
            <w:vAlign w:val="center"/>
          </w:tcPr>
          <w:p>
            <w:pPr>
              <w:spacing w:after="0"/>
              <w:jc w:val="right"/>
              <w:bidi w:val="1"/>
            </w:pPr>
            <w:r/>
            <w:r>
              <w:rPr>
                <w:rFonts w:ascii="Arial" w:hAnsi="Arial" w:cs="Arial"/>
                <w:b w:val="0"/>
                <w:color w:val="202124"/>
                <w:sz w:val="19"/>
              </w:rPr>
              <w:t>Project Code وContract Code وBOQ Item Code فريدة، قابلة للتعديل قبل Lock فقط.</w:t>
            </w:r>
          </w:p>
        </w:tc>
        <w:tc>
          <w:tcPr>
            <w:tcW w:type="dxa" w:w="1512"/>
            <w:vAlign w:val="center"/>
          </w:tcPr>
          <w:p>
            <w:pPr>
              <w:spacing w:after="0"/>
              <w:jc w:val="right"/>
              <w:bidi w:val="1"/>
            </w:pPr>
            <w:r/>
            <w:r>
              <w:rPr>
                <w:rFonts w:ascii="Arial" w:hAnsi="Arial" w:cs="Arial"/>
                <w:b w:val="0"/>
                <w:color w:val="202124"/>
                <w:sz w:val="19"/>
              </w:rPr>
              <w:t>رفض الحفظ وإظهار السجل المتعارض.</w:t>
            </w:r>
          </w:p>
        </w:tc>
      </w:tr>
      <w:tr>
        <w:tc>
          <w:tcPr>
            <w:tcW w:type="dxa" w:w="1512"/>
            <w:vAlign w:val="center"/>
          </w:tcPr>
          <w:p>
            <w:pPr>
              <w:spacing w:after="0"/>
              <w:jc w:val="right"/>
              <w:bidi w:val="1"/>
            </w:pPr>
            <w:r/>
            <w:r>
              <w:rPr>
                <w:rFonts w:ascii="Arial" w:hAnsi="Arial" w:cs="Arial"/>
                <w:b w:val="0"/>
                <w:color w:val="202124"/>
                <w:sz w:val="19"/>
              </w:rPr>
              <w:t>العلاقات</w:t>
            </w:r>
          </w:p>
        </w:tc>
        <w:tc>
          <w:tcPr>
            <w:tcW w:type="dxa" w:w="6048"/>
            <w:vAlign w:val="center"/>
          </w:tcPr>
          <w:p>
            <w:pPr>
              <w:spacing w:after="0"/>
              <w:jc w:val="right"/>
              <w:bidi w:val="1"/>
            </w:pPr>
            <w:r/>
            <w:r>
              <w:rPr>
                <w:rFonts w:ascii="Arial" w:hAnsi="Arial" w:cs="Arial"/>
                <w:b w:val="0"/>
                <w:color w:val="202124"/>
                <w:sz w:val="19"/>
              </w:rPr>
              <w:t>أي سجل تشغيلي يجب أن يرث Project/Contract/BOQ من الاختيار الأب، لا من إدخال يدوي.</w:t>
            </w:r>
          </w:p>
        </w:tc>
        <w:tc>
          <w:tcPr>
            <w:tcW w:type="dxa" w:w="1512"/>
            <w:vAlign w:val="center"/>
          </w:tcPr>
          <w:p>
            <w:pPr>
              <w:spacing w:after="0"/>
              <w:jc w:val="right"/>
              <w:bidi w:val="1"/>
            </w:pPr>
            <w:r/>
            <w:r>
              <w:rPr>
                <w:rFonts w:ascii="Arial" w:hAnsi="Arial" w:cs="Arial"/>
                <w:b w:val="0"/>
                <w:color w:val="202124"/>
                <w:sz w:val="19"/>
              </w:rPr>
              <w:t>تعبئة تلقائية وقائمة خيارات مقيدة.</w:t>
            </w:r>
          </w:p>
        </w:tc>
      </w:tr>
      <w:tr>
        <w:tc>
          <w:tcPr>
            <w:tcW w:type="dxa" w:w="1512"/>
            <w:vAlign w:val="center"/>
          </w:tcPr>
          <w:p>
            <w:pPr>
              <w:spacing w:after="0"/>
              <w:jc w:val="right"/>
              <w:bidi w:val="1"/>
            </w:pPr>
            <w:r/>
            <w:r>
              <w:rPr>
                <w:rFonts w:ascii="Arial" w:hAnsi="Arial" w:cs="Arial"/>
                <w:b w:val="0"/>
                <w:color w:val="202124"/>
                <w:sz w:val="19"/>
              </w:rPr>
              <w:t>الكميات</w:t>
            </w:r>
          </w:p>
        </w:tc>
        <w:tc>
          <w:tcPr>
            <w:tcW w:type="dxa" w:w="6048"/>
            <w:vAlign w:val="center"/>
          </w:tcPr>
          <w:p>
            <w:pPr>
              <w:spacing w:after="0"/>
              <w:jc w:val="right"/>
              <w:bidi w:val="1"/>
            </w:pPr>
            <w:r/>
            <w:r>
              <w:rPr>
                <w:rFonts w:ascii="Arial" w:hAnsi="Arial" w:cs="Arial"/>
                <w:b w:val="0"/>
                <w:color w:val="202124"/>
                <w:sz w:val="19"/>
              </w:rPr>
              <w:t>WIR والفاتورة والنشاط لا تتجاوز كمية البند؛ استثناء معتمد يتطلب سببًا وصلاحية.</w:t>
            </w:r>
          </w:p>
        </w:tc>
        <w:tc>
          <w:tcPr>
            <w:tcW w:type="dxa" w:w="1512"/>
            <w:vAlign w:val="center"/>
          </w:tcPr>
          <w:p>
            <w:pPr>
              <w:spacing w:after="0"/>
              <w:jc w:val="right"/>
              <w:bidi w:val="1"/>
            </w:pPr>
            <w:r/>
            <w:r>
              <w:rPr>
                <w:rFonts w:ascii="Arial" w:hAnsi="Arial" w:cs="Arial"/>
                <w:b w:val="0"/>
                <w:color w:val="202124"/>
                <w:sz w:val="19"/>
              </w:rPr>
              <w:t>منع أو طلب اعتماد استثنائي.</w:t>
            </w:r>
          </w:p>
        </w:tc>
      </w:tr>
      <w:tr>
        <w:tc>
          <w:tcPr>
            <w:tcW w:type="dxa" w:w="1512"/>
            <w:vAlign w:val="center"/>
          </w:tcPr>
          <w:p>
            <w:pPr>
              <w:spacing w:after="0"/>
              <w:jc w:val="right"/>
              <w:bidi w:val="1"/>
            </w:pPr>
            <w:r/>
            <w:r>
              <w:rPr>
                <w:rFonts w:ascii="Arial" w:hAnsi="Arial" w:cs="Arial"/>
                <w:b w:val="0"/>
                <w:color w:val="202124"/>
                <w:sz w:val="19"/>
              </w:rPr>
              <w:t>القيم</w:t>
            </w:r>
          </w:p>
        </w:tc>
        <w:tc>
          <w:tcPr>
            <w:tcW w:type="dxa" w:w="6048"/>
            <w:vAlign w:val="center"/>
          </w:tcPr>
          <w:p>
            <w:pPr>
              <w:spacing w:after="0"/>
              <w:jc w:val="right"/>
              <w:bidi w:val="1"/>
            </w:pPr>
            <w:r/>
            <w:r>
              <w:rPr>
                <w:rFonts w:ascii="Arial" w:hAnsi="Arial" w:cs="Arial"/>
                <w:b w:val="0"/>
                <w:color w:val="202124"/>
                <w:sz w:val="19"/>
              </w:rPr>
              <w:t>Amount = Qty × Rate، والقيمة المعدلة = الأصلية + التغييرات المعتمدة فقط.</w:t>
            </w:r>
          </w:p>
        </w:tc>
        <w:tc>
          <w:tcPr>
            <w:tcW w:type="dxa" w:w="1512"/>
            <w:vAlign w:val="center"/>
          </w:tcPr>
          <w:p>
            <w:pPr>
              <w:spacing w:after="0"/>
              <w:jc w:val="right"/>
              <w:bidi w:val="1"/>
            </w:pPr>
            <w:r/>
            <w:r>
              <w:rPr>
                <w:rFonts w:ascii="Arial" w:hAnsi="Arial" w:cs="Arial"/>
                <w:b w:val="0"/>
                <w:color w:val="202124"/>
                <w:sz w:val="19"/>
              </w:rPr>
              <w:t>حقل مشتق مقفل مع رابط لمصدره.</w:t>
            </w:r>
          </w:p>
        </w:tc>
      </w:tr>
      <w:tr>
        <w:tc>
          <w:tcPr>
            <w:tcW w:type="dxa" w:w="1512"/>
            <w:vAlign w:val="center"/>
          </w:tcPr>
          <w:p>
            <w:pPr>
              <w:spacing w:after="0"/>
              <w:jc w:val="right"/>
              <w:bidi w:val="1"/>
            </w:pPr>
            <w:r/>
            <w:r>
              <w:rPr>
                <w:rFonts w:ascii="Arial" w:hAnsi="Arial" w:cs="Arial"/>
                <w:b w:val="0"/>
                <w:color w:val="202124"/>
                <w:sz w:val="19"/>
              </w:rPr>
              <w:t>التواريخ</w:t>
            </w:r>
          </w:p>
        </w:tc>
        <w:tc>
          <w:tcPr>
            <w:tcW w:type="dxa" w:w="6048"/>
            <w:vAlign w:val="center"/>
          </w:tcPr>
          <w:p>
            <w:pPr>
              <w:spacing w:after="0"/>
              <w:jc w:val="right"/>
              <w:bidi w:val="1"/>
            </w:pPr>
            <w:r/>
            <w:r>
              <w:rPr>
                <w:rFonts w:ascii="Arial" w:hAnsi="Arial" w:cs="Arial"/>
                <w:b w:val="0"/>
                <w:color w:val="202124"/>
                <w:sz w:val="19"/>
              </w:rPr>
              <w:t>تاريخ WIR/تكلفة/فاتورة داخل نطاق العقد؛ النشاط داخل نطاق البند والعقد، والتغيير الزمني يحدّث التاريخ المعدل.</w:t>
            </w:r>
          </w:p>
        </w:tc>
        <w:tc>
          <w:tcPr>
            <w:tcW w:type="dxa" w:w="1512"/>
            <w:vAlign w:val="center"/>
          </w:tcPr>
          <w:p>
            <w:pPr>
              <w:spacing w:after="0"/>
              <w:jc w:val="right"/>
              <w:bidi w:val="1"/>
            </w:pPr>
            <w:r/>
            <w:r>
              <w:rPr>
                <w:rFonts w:ascii="Arial" w:hAnsi="Arial" w:cs="Arial"/>
                <w:b w:val="0"/>
                <w:color w:val="202124"/>
                <w:sz w:val="19"/>
              </w:rPr>
              <w:t>خطأ للحالات المستحيلة وتحذير للحالات القابلة للاعتماد.</w:t>
            </w:r>
          </w:p>
        </w:tc>
      </w:tr>
      <w:tr>
        <w:tc>
          <w:tcPr>
            <w:tcW w:type="dxa" w:w="1512"/>
            <w:vAlign w:val="center"/>
          </w:tcPr>
          <w:p>
            <w:pPr>
              <w:spacing w:after="0"/>
              <w:jc w:val="right"/>
              <w:bidi w:val="1"/>
            </w:pPr>
            <w:r/>
            <w:r>
              <w:rPr>
                <w:rFonts w:ascii="Arial" w:hAnsi="Arial" w:cs="Arial"/>
                <w:b w:val="0"/>
                <w:color w:val="202124"/>
                <w:sz w:val="19"/>
              </w:rPr>
              <w:t>الفترات</w:t>
            </w:r>
          </w:p>
        </w:tc>
        <w:tc>
          <w:tcPr>
            <w:tcW w:type="dxa" w:w="6048"/>
            <w:vAlign w:val="center"/>
          </w:tcPr>
          <w:p>
            <w:pPr>
              <w:spacing w:after="0"/>
              <w:jc w:val="right"/>
              <w:bidi w:val="1"/>
            </w:pPr>
            <w:r/>
            <w:r>
              <w:rPr>
                <w:rFonts w:ascii="Arial" w:hAnsi="Arial" w:cs="Arial"/>
                <w:b w:val="0"/>
                <w:color w:val="202124"/>
                <w:sz w:val="19"/>
              </w:rPr>
              <w:t>قفل Reporting Period يمنع تعديل البيانات المؤثرة، ويحول التعديل إلى طلب فتح فترة.</w:t>
            </w:r>
          </w:p>
        </w:tc>
        <w:tc>
          <w:tcPr>
            <w:tcW w:type="dxa" w:w="1512"/>
            <w:vAlign w:val="center"/>
          </w:tcPr>
          <w:p>
            <w:pPr>
              <w:spacing w:after="0"/>
              <w:jc w:val="right"/>
              <w:bidi w:val="1"/>
            </w:pPr>
            <w:r/>
            <w:r>
              <w:rPr>
                <w:rFonts w:ascii="Arial" w:hAnsi="Arial" w:cs="Arial"/>
                <w:b w:val="0"/>
                <w:color w:val="202124"/>
                <w:sz w:val="19"/>
              </w:rPr>
              <w:t>منع الحفظ وتسجيل محاولة التعديل.</w:t>
            </w:r>
          </w:p>
        </w:tc>
      </w:tr>
    </w:tbl>
    <w:p>
      <w:pPr>
        <w:spacing w:after="40"/>
      </w:pPr>
    </w:p>
    <w:p>
      <w:pPr>
        <w:spacing w:before="0" w:after="120" w:line="300" w:lineRule="auto"/>
        <w:jc w:val="right"/>
        <w:bidi w:val="1"/>
      </w:pPr>
      <w:r>
        <w:rPr>
          <w:rFonts w:ascii="Arial" w:hAnsi="Arial" w:cs="Arial"/>
          <w:b w:val="0"/>
          <w:color w:val="202124"/>
          <w:sz w:val="21"/>
        </w:rPr>
        <w:t>التنفيذ التقني المقترح: Validation Service موحد في TypeScript + قيود SQLite (UNIQUE / CHECK / FOREIGN KEY) للبيانات الأساسية + Triggers محدودة فقط للحقول المشتقة الحرجة + Audit Log غير قابل للتعديل. SQLite يدعم مفاتيح أجنبية وقيودًا وTriggers، لكن تفعيل القيود والتحقق داخل التطبيق يظلان ضروريين لكل اتصال بقاعدة البيانات.</w:t>
      </w:r>
    </w:p>
    <w:p>
      <w:pPr>
        <w:spacing w:before="320" w:after="140"/>
        <w:jc w:val="right"/>
        <w:bidi w:val="1"/>
      </w:pPr>
      <w:r>
        <w:rPr>
          <w:rFonts w:ascii="Arial" w:hAnsi="Arial" w:cs="Arial"/>
          <w:b/>
          <w:color w:val="2E74B5"/>
          <w:sz w:val="32"/>
        </w:rPr>
        <w:t>4. النماذج والتقارير والفواتير</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232"/>
            <w:vAlign w:val="center"/>
            <w:shd w:fill="E8EEF5"/>
          </w:tcPr>
          <w:p>
            <w:pPr>
              <w:spacing w:after="0"/>
              <w:jc w:val="right"/>
              <w:bidi w:val="1"/>
            </w:pPr>
            <w:r/>
            <w:r>
              <w:rPr>
                <w:rFonts w:ascii="Arial" w:hAnsi="Arial" w:cs="Arial"/>
                <w:b/>
                <w:color w:val="1F4D78"/>
                <w:sz w:val="19"/>
              </w:rPr>
              <w:t>المخرج</w:t>
            </w:r>
          </w:p>
        </w:tc>
        <w:tc>
          <w:tcPr>
            <w:tcW w:type="dxa" w:w="5472"/>
            <w:vAlign w:val="center"/>
            <w:shd w:fill="E8EEF5"/>
          </w:tcPr>
          <w:p>
            <w:pPr>
              <w:spacing w:after="0"/>
              <w:jc w:val="right"/>
              <w:bidi w:val="1"/>
            </w:pPr>
            <w:r/>
            <w:r>
              <w:rPr>
                <w:rFonts w:ascii="Arial" w:hAnsi="Arial" w:cs="Arial"/>
                <w:b/>
                <w:color w:val="1F4D78"/>
                <w:sz w:val="19"/>
              </w:rPr>
              <w:t>التصميم المقترح</w:t>
            </w:r>
          </w:p>
        </w:tc>
        <w:tc>
          <w:tcPr>
            <w:tcW w:type="dxa" w:w="1368"/>
            <w:vAlign w:val="center"/>
            <w:shd w:fill="E8EEF5"/>
          </w:tcPr>
          <w:p>
            <w:pPr>
              <w:spacing w:after="0"/>
              <w:jc w:val="right"/>
              <w:bidi w:val="1"/>
            </w:pPr>
            <w:r/>
            <w:r>
              <w:rPr>
                <w:rFonts w:ascii="Arial" w:hAnsi="Arial" w:cs="Arial"/>
                <w:b/>
                <w:color w:val="1F4D78"/>
                <w:sz w:val="19"/>
              </w:rPr>
              <w:t>الفائدة</w:t>
            </w:r>
          </w:p>
        </w:tc>
      </w:tr>
      <w:tr>
        <w:tc>
          <w:tcPr>
            <w:tcW w:type="dxa" w:w="2232"/>
            <w:vAlign w:val="center"/>
          </w:tcPr>
          <w:p>
            <w:pPr>
              <w:spacing w:after="0"/>
              <w:jc w:val="right"/>
              <w:bidi w:val="1"/>
            </w:pPr>
            <w:r/>
            <w:r>
              <w:rPr>
                <w:rFonts w:ascii="Arial" w:hAnsi="Arial" w:cs="Arial"/>
                <w:b w:val="0"/>
                <w:color w:val="202124"/>
                <w:sz w:val="19"/>
              </w:rPr>
              <w:t>Form Designer محدود</w:t>
            </w:r>
          </w:p>
        </w:tc>
        <w:tc>
          <w:tcPr>
            <w:tcW w:type="dxa" w:w="5472"/>
            <w:vAlign w:val="center"/>
          </w:tcPr>
          <w:p>
            <w:pPr>
              <w:spacing w:after="0"/>
              <w:jc w:val="right"/>
              <w:bidi w:val="1"/>
            </w:pPr>
            <w:r/>
            <w:r>
              <w:rPr>
                <w:rFonts w:ascii="Arial" w:hAnsi="Arial" w:cs="Arial"/>
                <w:b w:val="0"/>
                <w:color w:val="202124"/>
                <w:sz w:val="19"/>
              </w:rPr>
              <w:t>قوالب جاهزة لا محرر حر: Invoice، Payment Certificate، WIR، Variation Order، Cost Report، Cash Forecast.</w:t>
            </w:r>
          </w:p>
        </w:tc>
        <w:tc>
          <w:tcPr>
            <w:tcW w:type="dxa" w:w="1368"/>
            <w:vAlign w:val="center"/>
          </w:tcPr>
          <w:p>
            <w:pPr>
              <w:spacing w:after="0"/>
              <w:jc w:val="right"/>
              <w:bidi w:val="1"/>
            </w:pPr>
            <w:r/>
            <w:r>
              <w:rPr>
                <w:rFonts w:ascii="Arial" w:hAnsi="Arial" w:cs="Arial"/>
                <w:b w:val="0"/>
                <w:color w:val="202124"/>
                <w:sz w:val="19"/>
              </w:rPr>
              <w:t>سريع وآمن ويوحد شكل المستند.</w:t>
            </w:r>
          </w:p>
        </w:tc>
      </w:tr>
      <w:tr>
        <w:tc>
          <w:tcPr>
            <w:tcW w:type="dxa" w:w="2232"/>
            <w:vAlign w:val="center"/>
          </w:tcPr>
          <w:p>
            <w:pPr>
              <w:spacing w:after="0"/>
              <w:jc w:val="right"/>
              <w:bidi w:val="1"/>
            </w:pPr>
            <w:r/>
            <w:r>
              <w:rPr>
                <w:rFonts w:ascii="Arial" w:hAnsi="Arial" w:cs="Arial"/>
                <w:b w:val="0"/>
                <w:color w:val="202124"/>
                <w:sz w:val="19"/>
              </w:rPr>
              <w:t>Document Template</w:t>
            </w:r>
          </w:p>
        </w:tc>
        <w:tc>
          <w:tcPr>
            <w:tcW w:type="dxa" w:w="5472"/>
            <w:vAlign w:val="center"/>
          </w:tcPr>
          <w:p>
            <w:pPr>
              <w:spacing w:after="0"/>
              <w:jc w:val="right"/>
              <w:bidi w:val="1"/>
            </w:pPr>
            <w:r/>
            <w:r>
              <w:rPr>
                <w:rFonts w:ascii="Arial" w:hAnsi="Arial" w:cs="Arial"/>
                <w:b w:val="0"/>
                <w:color w:val="202124"/>
                <w:sz w:val="19"/>
              </w:rPr>
              <w:t>حقول Placeholder مثل {{project_name}} و{{invoice_number}} و{{total_amount}} و{{qr_code}}، مع قالب Word أو HTML للطباعة/PDF.</w:t>
            </w:r>
          </w:p>
        </w:tc>
        <w:tc>
          <w:tcPr>
            <w:tcW w:type="dxa" w:w="1368"/>
            <w:vAlign w:val="center"/>
          </w:tcPr>
          <w:p>
            <w:pPr>
              <w:spacing w:after="0"/>
              <w:jc w:val="right"/>
              <w:bidi w:val="1"/>
            </w:pPr>
            <w:r/>
            <w:r>
              <w:rPr>
                <w:rFonts w:ascii="Arial" w:hAnsi="Arial" w:cs="Arial"/>
                <w:b w:val="0"/>
                <w:color w:val="202124"/>
                <w:sz w:val="19"/>
              </w:rPr>
              <w:t>تغيير التصميم دون تغيير منطق البيانات.</w:t>
            </w:r>
          </w:p>
        </w:tc>
      </w:tr>
      <w:tr>
        <w:tc>
          <w:tcPr>
            <w:tcW w:type="dxa" w:w="2232"/>
            <w:vAlign w:val="center"/>
          </w:tcPr>
          <w:p>
            <w:pPr>
              <w:spacing w:after="0"/>
              <w:jc w:val="right"/>
              <w:bidi w:val="1"/>
            </w:pPr>
            <w:r/>
            <w:r>
              <w:rPr>
                <w:rFonts w:ascii="Arial" w:hAnsi="Arial" w:cs="Arial"/>
                <w:b w:val="0"/>
                <w:color w:val="202124"/>
                <w:sz w:val="19"/>
              </w:rPr>
              <w:t>Invoice Header + Lines</w:t>
            </w:r>
          </w:p>
        </w:tc>
        <w:tc>
          <w:tcPr>
            <w:tcW w:type="dxa" w:w="5472"/>
            <w:vAlign w:val="center"/>
          </w:tcPr>
          <w:p>
            <w:pPr>
              <w:spacing w:after="0"/>
              <w:jc w:val="right"/>
              <w:bidi w:val="1"/>
            </w:pPr>
            <w:r/>
            <w:r>
              <w:rPr>
                <w:rFonts w:ascii="Arial" w:hAnsi="Arial" w:cs="Arial"/>
                <w:b w:val="0"/>
                <w:color w:val="202124"/>
                <w:sz w:val="19"/>
              </w:rPr>
              <w:t>رأس واحد للفواتير: العميل/العقد/الفترة/الحالة/الإجمالي؛ وبنود مولدة من WIR وتبقى مقفلة بعد الاعتماد.</w:t>
            </w:r>
          </w:p>
        </w:tc>
        <w:tc>
          <w:tcPr>
            <w:tcW w:type="dxa" w:w="1368"/>
            <w:vAlign w:val="center"/>
          </w:tcPr>
          <w:p>
            <w:pPr>
              <w:spacing w:after="0"/>
              <w:jc w:val="right"/>
              <w:bidi w:val="1"/>
            </w:pPr>
            <w:r/>
            <w:r>
              <w:rPr>
                <w:rFonts w:ascii="Arial" w:hAnsi="Arial" w:cs="Arial"/>
                <w:b w:val="0"/>
                <w:color w:val="202124"/>
                <w:sz w:val="19"/>
              </w:rPr>
              <w:t>فاتورة قابلة للمراجعة والتتبع.</w:t>
            </w:r>
          </w:p>
        </w:tc>
      </w:tr>
      <w:tr>
        <w:tc>
          <w:tcPr>
            <w:tcW w:type="dxa" w:w="2232"/>
            <w:vAlign w:val="center"/>
          </w:tcPr>
          <w:p>
            <w:pPr>
              <w:spacing w:after="0"/>
              <w:jc w:val="right"/>
              <w:bidi w:val="1"/>
            </w:pPr>
            <w:r/>
            <w:r>
              <w:rPr>
                <w:rFonts w:ascii="Arial" w:hAnsi="Arial" w:cs="Arial"/>
                <w:b w:val="0"/>
                <w:color w:val="202124"/>
                <w:sz w:val="19"/>
              </w:rPr>
              <w:t>Approval &amp; numbering</w:t>
            </w:r>
          </w:p>
        </w:tc>
        <w:tc>
          <w:tcPr>
            <w:tcW w:type="dxa" w:w="5472"/>
            <w:vAlign w:val="center"/>
          </w:tcPr>
          <w:p>
            <w:pPr>
              <w:spacing w:after="0"/>
              <w:jc w:val="right"/>
              <w:bidi w:val="1"/>
            </w:pPr>
            <w:r/>
            <w:r>
              <w:rPr>
                <w:rFonts w:ascii="Arial" w:hAnsi="Arial" w:cs="Arial"/>
                <w:b w:val="0"/>
                <w:color w:val="202124"/>
                <w:sz w:val="19"/>
              </w:rPr>
              <w:t>Draft &gt; Submitted &gt; Approved &gt; Paid/Partially Paid/Cancelled؛ رقم مستند متسلسل حسب نوعه والعقد والسنة.</w:t>
            </w:r>
          </w:p>
        </w:tc>
        <w:tc>
          <w:tcPr>
            <w:tcW w:type="dxa" w:w="1368"/>
            <w:vAlign w:val="center"/>
          </w:tcPr>
          <w:p>
            <w:pPr>
              <w:spacing w:after="0"/>
              <w:jc w:val="right"/>
              <w:bidi w:val="1"/>
            </w:pPr>
            <w:r/>
            <w:r>
              <w:rPr>
                <w:rFonts w:ascii="Arial" w:hAnsi="Arial" w:cs="Arial"/>
                <w:b w:val="0"/>
                <w:color w:val="202124"/>
                <w:sz w:val="19"/>
              </w:rPr>
              <w:t>منع تكرار الفاتورة وسهولة التدقيق.</w:t>
            </w:r>
          </w:p>
        </w:tc>
      </w:tr>
    </w:tbl>
    <w:p>
      <w:pPr>
        <w:spacing w:after="40"/>
      </w:pPr>
    </w:p>
    <w:p>
      <w:pPr>
        <w:spacing w:before="320" w:after="140"/>
        <w:jc w:val="right"/>
        <w:bidi w:val="1"/>
      </w:pPr>
      <w:r>
        <w:rPr>
          <w:rFonts w:ascii="Arial" w:hAnsi="Arial" w:cs="Arial"/>
          <w:b/>
          <w:color w:val="2E74B5"/>
          <w:sz w:val="32"/>
        </w:rPr>
        <w:t>5. التدفقات النقدية الآلية</w:t>
      </w:r>
    </w:p>
    <w:p>
      <w:pPr>
        <w:spacing w:before="0" w:after="120" w:line="300" w:lineRule="auto"/>
        <w:jc w:val="right"/>
        <w:bidi w:val="1"/>
      </w:pPr>
      <w:r>
        <w:rPr>
          <w:rFonts w:ascii="Arial" w:hAnsi="Arial" w:cs="Arial"/>
          <w:b w:val="0"/>
          <w:color w:val="202124"/>
          <w:sz w:val="22"/>
        </w:rPr>
        <w:t>لا ينبغي أن يكون Cash Flow جدول إدخال مستقل للقيم التي مصدرها فاتورة أو أمر دفع. ينبغي تحويله إلى دفتر حركة مشتق (Cash Ledger) مع صفوف يدويّة فقط للتوقعات أو الحركات غير المرتبطة بمستند.</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880"/>
            <w:vAlign w:val="center"/>
            <w:shd w:fill="E8EEF5"/>
          </w:tcPr>
          <w:p>
            <w:pPr>
              <w:spacing w:after="0"/>
              <w:jc w:val="right"/>
              <w:bidi w:val="1"/>
            </w:pPr>
            <w:r/>
            <w:r>
              <w:rPr>
                <w:rFonts w:ascii="Arial" w:hAnsi="Arial" w:cs="Arial"/>
                <w:b/>
                <w:color w:val="1F4D78"/>
                <w:sz w:val="19"/>
              </w:rPr>
              <w:t>الحدث</w:t>
            </w:r>
          </w:p>
        </w:tc>
        <w:tc>
          <w:tcPr>
            <w:tcW w:type="dxa" w:w="5112"/>
            <w:vAlign w:val="center"/>
            <w:shd w:fill="E8EEF5"/>
          </w:tcPr>
          <w:p>
            <w:pPr>
              <w:spacing w:after="0"/>
              <w:jc w:val="right"/>
              <w:bidi w:val="1"/>
            </w:pPr>
            <w:r/>
            <w:r>
              <w:rPr>
                <w:rFonts w:ascii="Arial" w:hAnsi="Arial" w:cs="Arial"/>
                <w:b/>
                <w:color w:val="1F4D78"/>
                <w:sz w:val="19"/>
              </w:rPr>
              <w:t>حركة Cash Flow</w:t>
            </w:r>
          </w:p>
        </w:tc>
        <w:tc>
          <w:tcPr>
            <w:tcW w:type="dxa" w:w="1080"/>
            <w:vAlign w:val="center"/>
            <w:shd w:fill="E8EEF5"/>
          </w:tcPr>
          <w:p>
            <w:pPr>
              <w:spacing w:after="0"/>
              <w:jc w:val="right"/>
              <w:bidi w:val="1"/>
            </w:pPr>
            <w:r/>
            <w:r>
              <w:rPr>
                <w:rFonts w:ascii="Arial" w:hAnsi="Arial" w:cs="Arial"/>
                <w:b/>
                <w:color w:val="1F4D78"/>
                <w:sz w:val="19"/>
              </w:rPr>
              <w:t>الحالة</w:t>
            </w:r>
          </w:p>
        </w:tc>
      </w:tr>
      <w:tr>
        <w:tc>
          <w:tcPr>
            <w:tcW w:type="dxa" w:w="2880"/>
            <w:vAlign w:val="center"/>
          </w:tcPr>
          <w:p>
            <w:pPr>
              <w:spacing w:after="0"/>
              <w:jc w:val="right"/>
              <w:bidi w:val="1"/>
            </w:pPr>
            <w:r/>
            <w:r>
              <w:rPr>
                <w:rFonts w:ascii="Arial" w:hAnsi="Arial" w:cs="Arial"/>
                <w:b w:val="0"/>
                <w:color w:val="202124"/>
                <w:sz w:val="19"/>
              </w:rPr>
              <w:t>اعتماد فاتورة عميل</w:t>
            </w:r>
          </w:p>
        </w:tc>
        <w:tc>
          <w:tcPr>
            <w:tcW w:type="dxa" w:w="5112"/>
            <w:vAlign w:val="center"/>
          </w:tcPr>
          <w:p>
            <w:pPr>
              <w:spacing w:after="0"/>
              <w:jc w:val="right"/>
              <w:bidi w:val="1"/>
            </w:pPr>
            <w:r/>
            <w:r>
              <w:rPr>
                <w:rFonts w:ascii="Arial" w:hAnsi="Arial" w:cs="Arial"/>
                <w:b w:val="0"/>
                <w:color w:val="202124"/>
                <w:sz w:val="19"/>
              </w:rPr>
              <w:t>Receivable Forecast (+ inflow متوقع) بتاريخ الاستحقاق.</w:t>
            </w:r>
          </w:p>
        </w:tc>
        <w:tc>
          <w:tcPr>
            <w:tcW w:type="dxa" w:w="1080"/>
            <w:vAlign w:val="center"/>
          </w:tcPr>
          <w:p>
            <w:pPr>
              <w:spacing w:after="0"/>
              <w:jc w:val="right"/>
              <w:bidi w:val="1"/>
            </w:pPr>
            <w:r/>
            <w:r>
              <w:rPr>
                <w:rFonts w:ascii="Arial" w:hAnsi="Arial" w:cs="Arial"/>
                <w:b w:val="0"/>
                <w:color w:val="202124"/>
                <w:sz w:val="19"/>
              </w:rPr>
              <w:t>Forecast</w:t>
            </w:r>
          </w:p>
        </w:tc>
      </w:tr>
      <w:tr>
        <w:tc>
          <w:tcPr>
            <w:tcW w:type="dxa" w:w="2880"/>
            <w:vAlign w:val="center"/>
          </w:tcPr>
          <w:p>
            <w:pPr>
              <w:spacing w:after="0"/>
              <w:jc w:val="right"/>
              <w:bidi w:val="1"/>
            </w:pPr>
            <w:r/>
            <w:r>
              <w:rPr>
                <w:rFonts w:ascii="Arial" w:hAnsi="Arial" w:cs="Arial"/>
                <w:b w:val="0"/>
                <w:color w:val="202124"/>
                <w:sz w:val="19"/>
              </w:rPr>
              <w:t>تسجيل تحصيل العميل</w:t>
            </w:r>
          </w:p>
        </w:tc>
        <w:tc>
          <w:tcPr>
            <w:tcW w:type="dxa" w:w="5112"/>
            <w:vAlign w:val="center"/>
          </w:tcPr>
          <w:p>
            <w:pPr>
              <w:spacing w:after="0"/>
              <w:jc w:val="right"/>
              <w:bidi w:val="1"/>
            </w:pPr>
            <w:r/>
            <w:r>
              <w:rPr>
                <w:rFonts w:ascii="Arial" w:hAnsi="Arial" w:cs="Arial"/>
                <w:b w:val="0"/>
                <w:color w:val="202124"/>
                <w:sz w:val="19"/>
              </w:rPr>
              <w:t>Actual Inflow (+) يربط برقم الفاتورة ودفعة التحصيل.</w:t>
            </w:r>
          </w:p>
        </w:tc>
        <w:tc>
          <w:tcPr>
            <w:tcW w:type="dxa" w:w="1080"/>
            <w:vAlign w:val="center"/>
          </w:tcPr>
          <w:p>
            <w:pPr>
              <w:spacing w:after="0"/>
              <w:jc w:val="right"/>
              <w:bidi w:val="1"/>
            </w:pPr>
            <w:r/>
            <w:r>
              <w:rPr>
                <w:rFonts w:ascii="Arial" w:hAnsi="Arial" w:cs="Arial"/>
                <w:b w:val="0"/>
                <w:color w:val="202124"/>
                <w:sz w:val="19"/>
              </w:rPr>
              <w:t>Actual</w:t>
            </w:r>
          </w:p>
        </w:tc>
      </w:tr>
      <w:tr>
        <w:tc>
          <w:tcPr>
            <w:tcW w:type="dxa" w:w="2880"/>
            <w:vAlign w:val="center"/>
          </w:tcPr>
          <w:p>
            <w:pPr>
              <w:spacing w:after="0"/>
              <w:jc w:val="right"/>
              <w:bidi w:val="1"/>
            </w:pPr>
            <w:r/>
            <w:r>
              <w:rPr>
                <w:rFonts w:ascii="Arial" w:hAnsi="Arial" w:cs="Arial"/>
                <w:b w:val="0"/>
                <w:color w:val="202124"/>
                <w:sz w:val="19"/>
              </w:rPr>
              <w:t>اعتماد فاتورة مقاول باطن/مورد</w:t>
            </w:r>
          </w:p>
        </w:tc>
        <w:tc>
          <w:tcPr>
            <w:tcW w:type="dxa" w:w="5112"/>
            <w:vAlign w:val="center"/>
          </w:tcPr>
          <w:p>
            <w:pPr>
              <w:spacing w:after="0"/>
              <w:jc w:val="right"/>
              <w:bidi w:val="1"/>
            </w:pPr>
            <w:r/>
            <w:r>
              <w:rPr>
                <w:rFonts w:ascii="Arial" w:hAnsi="Arial" w:cs="Arial"/>
                <w:b w:val="0"/>
                <w:color w:val="202124"/>
                <w:sz w:val="19"/>
              </w:rPr>
              <w:t>Payable Forecast (- outflow متوقع) بتاريخ الاستحقاق.</w:t>
            </w:r>
          </w:p>
        </w:tc>
        <w:tc>
          <w:tcPr>
            <w:tcW w:type="dxa" w:w="1080"/>
            <w:vAlign w:val="center"/>
          </w:tcPr>
          <w:p>
            <w:pPr>
              <w:spacing w:after="0"/>
              <w:jc w:val="right"/>
              <w:bidi w:val="1"/>
            </w:pPr>
            <w:r/>
            <w:r>
              <w:rPr>
                <w:rFonts w:ascii="Arial" w:hAnsi="Arial" w:cs="Arial"/>
                <w:b w:val="0"/>
                <w:color w:val="202124"/>
                <w:sz w:val="19"/>
              </w:rPr>
              <w:t>Forecast</w:t>
            </w:r>
          </w:p>
        </w:tc>
      </w:tr>
      <w:tr>
        <w:tc>
          <w:tcPr>
            <w:tcW w:type="dxa" w:w="2880"/>
            <w:vAlign w:val="center"/>
          </w:tcPr>
          <w:p>
            <w:pPr>
              <w:spacing w:after="0"/>
              <w:jc w:val="right"/>
              <w:bidi w:val="1"/>
            </w:pPr>
            <w:r/>
            <w:r>
              <w:rPr>
                <w:rFonts w:ascii="Arial" w:hAnsi="Arial" w:cs="Arial"/>
                <w:b w:val="0"/>
                <w:color w:val="202124"/>
                <w:sz w:val="19"/>
              </w:rPr>
              <w:t>تسجيل الدفع</w:t>
            </w:r>
          </w:p>
        </w:tc>
        <w:tc>
          <w:tcPr>
            <w:tcW w:type="dxa" w:w="5112"/>
            <w:vAlign w:val="center"/>
          </w:tcPr>
          <w:p>
            <w:pPr>
              <w:spacing w:after="0"/>
              <w:jc w:val="right"/>
              <w:bidi w:val="1"/>
            </w:pPr>
            <w:r/>
            <w:r>
              <w:rPr>
                <w:rFonts w:ascii="Arial" w:hAnsi="Arial" w:cs="Arial"/>
                <w:b w:val="0"/>
                <w:color w:val="202124"/>
                <w:sz w:val="19"/>
              </w:rPr>
              <w:t>Actual Outflow (-) يربط بالفاتورة وأمر الدفع.</w:t>
            </w:r>
          </w:p>
        </w:tc>
        <w:tc>
          <w:tcPr>
            <w:tcW w:type="dxa" w:w="1080"/>
            <w:vAlign w:val="center"/>
          </w:tcPr>
          <w:p>
            <w:pPr>
              <w:spacing w:after="0"/>
              <w:jc w:val="right"/>
              <w:bidi w:val="1"/>
            </w:pPr>
            <w:r/>
            <w:r>
              <w:rPr>
                <w:rFonts w:ascii="Arial" w:hAnsi="Arial" w:cs="Arial"/>
                <w:b w:val="0"/>
                <w:color w:val="202124"/>
                <w:sz w:val="19"/>
              </w:rPr>
              <w:t>Actual</w:t>
            </w:r>
          </w:p>
        </w:tc>
      </w:tr>
      <w:tr>
        <w:tc>
          <w:tcPr>
            <w:tcW w:type="dxa" w:w="2880"/>
            <w:vAlign w:val="center"/>
          </w:tcPr>
          <w:p>
            <w:pPr>
              <w:spacing w:after="0"/>
              <w:jc w:val="right"/>
              <w:bidi w:val="1"/>
            </w:pPr>
            <w:r/>
            <w:r>
              <w:rPr>
                <w:rFonts w:ascii="Arial" w:hAnsi="Arial" w:cs="Arial"/>
                <w:b w:val="0"/>
                <w:color w:val="202124"/>
                <w:sz w:val="19"/>
              </w:rPr>
              <w:t>تعديل/إلغاء فاتورة</w:t>
            </w:r>
          </w:p>
        </w:tc>
        <w:tc>
          <w:tcPr>
            <w:tcW w:type="dxa" w:w="5112"/>
            <w:vAlign w:val="center"/>
          </w:tcPr>
          <w:p>
            <w:pPr>
              <w:spacing w:after="0"/>
              <w:jc w:val="right"/>
              <w:bidi w:val="1"/>
            </w:pPr>
            <w:r/>
            <w:r>
              <w:rPr>
                <w:rFonts w:ascii="Arial" w:hAnsi="Arial" w:cs="Arial"/>
                <w:b w:val="0"/>
                <w:color w:val="202124"/>
                <w:sz w:val="19"/>
              </w:rPr>
              <w:t>عكس أو تعديل الحركة المرتبطة مع Audit Trail؛ لا تحذف حركة نقدية مدفوعة.</w:t>
            </w:r>
          </w:p>
        </w:tc>
        <w:tc>
          <w:tcPr>
            <w:tcW w:type="dxa" w:w="1080"/>
            <w:vAlign w:val="center"/>
          </w:tcPr>
          <w:p>
            <w:pPr>
              <w:spacing w:after="0"/>
              <w:jc w:val="right"/>
              <w:bidi w:val="1"/>
            </w:pPr>
            <w:r/>
            <w:r>
              <w:rPr>
                <w:rFonts w:ascii="Arial" w:hAnsi="Arial" w:cs="Arial"/>
                <w:b w:val="0"/>
                <w:color w:val="202124"/>
                <w:sz w:val="19"/>
              </w:rPr>
              <w:t>Reversal</w:t>
            </w:r>
          </w:p>
        </w:tc>
      </w:tr>
    </w:tbl>
    <w:p>
      <w:pPr>
        <w:spacing w:after="40"/>
      </w:pPr>
    </w:p>
    <w:p>
      <w:pPr>
        <w:spacing w:before="0" w:after="120" w:line="300" w:lineRule="auto"/>
        <w:jc w:val="right"/>
        <w:bidi w:val="1"/>
      </w:pPr>
      <w:r>
        <w:rPr>
          <w:rFonts w:ascii="Arial" w:hAnsi="Arial" w:cs="Arial"/>
          <w:b w:val="0"/>
          <w:color w:val="202124"/>
          <w:sz w:val="22"/>
        </w:rPr>
        <w:t>النتيجة في Dashboard: Cash Position الحالي، المتوقع 30/60/90 يومًا، مستحقات العملاء، التزامات الموردين/الباطن، الفجوة النقدية، أعمار الفواتير، ونسبة التحصيل/الدفع. يجب أن تعرض الشاشة التفريق الواضح بين Forecast وActual.</w:t>
      </w:r>
    </w:p>
    <w:p>
      <w:pPr>
        <w:spacing w:before="320" w:after="140"/>
        <w:jc w:val="right"/>
        <w:bidi w:val="1"/>
      </w:pPr>
      <w:r>
        <w:rPr>
          <w:rFonts w:ascii="Arial" w:hAnsi="Arial" w:cs="Arial"/>
          <w:b/>
          <w:color w:val="2E74B5"/>
          <w:sz w:val="32"/>
        </w:rPr>
        <w:t>6. قاعدة بيانات العملاء والموردين والمقاولين</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088"/>
            <w:vAlign w:val="center"/>
            <w:shd w:fill="E8EEF5"/>
          </w:tcPr>
          <w:p>
            <w:pPr>
              <w:spacing w:after="0"/>
              <w:jc w:val="right"/>
              <w:bidi w:val="1"/>
            </w:pPr>
            <w:r/>
            <w:r>
              <w:rPr>
                <w:rFonts w:ascii="Arial" w:hAnsi="Arial" w:cs="Arial"/>
                <w:b/>
                <w:color w:val="1F4D78"/>
                <w:sz w:val="19"/>
              </w:rPr>
              <w:t>الكيان</w:t>
            </w:r>
          </w:p>
        </w:tc>
        <w:tc>
          <w:tcPr>
            <w:tcW w:type="dxa" w:w="4464"/>
            <w:vAlign w:val="center"/>
            <w:shd w:fill="E8EEF5"/>
          </w:tcPr>
          <w:p>
            <w:pPr>
              <w:spacing w:after="0"/>
              <w:jc w:val="right"/>
              <w:bidi w:val="1"/>
            </w:pPr>
            <w:r/>
            <w:r>
              <w:rPr>
                <w:rFonts w:ascii="Arial" w:hAnsi="Arial" w:cs="Arial"/>
                <w:b/>
                <w:color w:val="1F4D78"/>
                <w:sz w:val="19"/>
              </w:rPr>
              <w:t>البيانات الأساسية</w:t>
            </w:r>
          </w:p>
        </w:tc>
        <w:tc>
          <w:tcPr>
            <w:tcW w:type="dxa" w:w="2520"/>
            <w:vAlign w:val="center"/>
            <w:shd w:fill="E8EEF5"/>
          </w:tcPr>
          <w:p>
            <w:pPr>
              <w:spacing w:after="0"/>
              <w:jc w:val="right"/>
              <w:bidi w:val="1"/>
            </w:pPr>
            <w:r/>
            <w:r>
              <w:rPr>
                <w:rFonts w:ascii="Arial" w:hAnsi="Arial" w:cs="Arial"/>
                <w:b/>
                <w:color w:val="1F4D78"/>
                <w:sz w:val="19"/>
              </w:rPr>
              <w:t>الاستفادة لاحقًا</w:t>
            </w:r>
          </w:p>
        </w:tc>
      </w:tr>
      <w:tr>
        <w:tc>
          <w:tcPr>
            <w:tcW w:type="dxa" w:w="2088"/>
            <w:vAlign w:val="center"/>
          </w:tcPr>
          <w:p>
            <w:pPr>
              <w:spacing w:after="0"/>
              <w:jc w:val="right"/>
              <w:bidi w:val="1"/>
            </w:pPr>
            <w:r/>
            <w:r>
              <w:rPr>
                <w:rFonts w:ascii="Arial" w:hAnsi="Arial" w:cs="Arial"/>
                <w:b w:val="0"/>
                <w:color w:val="202124"/>
                <w:sz w:val="19"/>
              </w:rPr>
              <w:t>Client</w:t>
            </w:r>
          </w:p>
        </w:tc>
        <w:tc>
          <w:tcPr>
            <w:tcW w:type="dxa" w:w="4464"/>
            <w:vAlign w:val="center"/>
          </w:tcPr>
          <w:p>
            <w:pPr>
              <w:spacing w:after="0"/>
              <w:jc w:val="right"/>
              <w:bidi w:val="1"/>
            </w:pPr>
            <w:r/>
            <w:r>
              <w:rPr>
                <w:rFonts w:ascii="Arial" w:hAnsi="Arial" w:cs="Arial"/>
                <w:b w:val="0"/>
                <w:color w:val="202124"/>
                <w:sz w:val="19"/>
              </w:rPr>
              <w:t>الاسم القانوني، جهات الاتصال، شروط الدفع، المشاريع والعقود والفواتير.</w:t>
            </w:r>
          </w:p>
        </w:tc>
        <w:tc>
          <w:tcPr>
            <w:tcW w:type="dxa" w:w="2520"/>
            <w:vAlign w:val="center"/>
          </w:tcPr>
          <w:p>
            <w:pPr>
              <w:spacing w:after="0"/>
              <w:jc w:val="right"/>
              <w:bidi w:val="1"/>
            </w:pPr>
            <w:r/>
            <w:r>
              <w:rPr>
                <w:rFonts w:ascii="Arial" w:hAnsi="Arial" w:cs="Arial"/>
                <w:b w:val="0"/>
                <w:color w:val="202124"/>
                <w:sz w:val="19"/>
              </w:rPr>
              <w:t>تحليل التحصيل وسجل تعامل العميل.</w:t>
            </w:r>
          </w:p>
        </w:tc>
      </w:tr>
      <w:tr>
        <w:tc>
          <w:tcPr>
            <w:tcW w:type="dxa" w:w="2088"/>
            <w:vAlign w:val="center"/>
          </w:tcPr>
          <w:p>
            <w:pPr>
              <w:spacing w:after="0"/>
              <w:jc w:val="right"/>
              <w:bidi w:val="1"/>
            </w:pPr>
            <w:r/>
            <w:r>
              <w:rPr>
                <w:rFonts w:ascii="Arial" w:hAnsi="Arial" w:cs="Arial"/>
                <w:b w:val="0"/>
                <w:color w:val="202124"/>
                <w:sz w:val="19"/>
              </w:rPr>
              <w:t>Vendor / Supplier</w:t>
            </w:r>
          </w:p>
        </w:tc>
        <w:tc>
          <w:tcPr>
            <w:tcW w:type="dxa" w:w="4464"/>
            <w:vAlign w:val="center"/>
          </w:tcPr>
          <w:p>
            <w:pPr>
              <w:spacing w:after="0"/>
              <w:jc w:val="right"/>
              <w:bidi w:val="1"/>
            </w:pPr>
            <w:r/>
            <w:r>
              <w:rPr>
                <w:rFonts w:ascii="Arial" w:hAnsi="Arial" w:cs="Arial"/>
                <w:b w:val="0"/>
                <w:color w:val="202124"/>
                <w:sz w:val="19"/>
              </w:rPr>
              <w:t>التصنيف، المنتجات/الخدمات، جهات الاتصال، الضرائب، شروط الدفع، عروض الأسعار وأوامر الشراء.</w:t>
            </w:r>
          </w:p>
        </w:tc>
        <w:tc>
          <w:tcPr>
            <w:tcW w:type="dxa" w:w="2520"/>
            <w:vAlign w:val="center"/>
          </w:tcPr>
          <w:p>
            <w:pPr>
              <w:spacing w:after="0"/>
              <w:jc w:val="right"/>
              <w:bidi w:val="1"/>
            </w:pPr>
            <w:r/>
            <w:r>
              <w:rPr>
                <w:rFonts w:ascii="Arial" w:hAnsi="Arial" w:cs="Arial"/>
                <w:b w:val="0"/>
                <w:color w:val="202124"/>
                <w:sz w:val="19"/>
              </w:rPr>
              <w:t>مقارنة الموردين والأسعار والأداء.</w:t>
            </w:r>
          </w:p>
        </w:tc>
      </w:tr>
      <w:tr>
        <w:tc>
          <w:tcPr>
            <w:tcW w:type="dxa" w:w="2088"/>
            <w:vAlign w:val="center"/>
          </w:tcPr>
          <w:p>
            <w:pPr>
              <w:spacing w:after="0"/>
              <w:jc w:val="right"/>
              <w:bidi w:val="1"/>
            </w:pPr>
            <w:r/>
            <w:r>
              <w:rPr>
                <w:rFonts w:ascii="Arial" w:hAnsi="Arial" w:cs="Arial"/>
                <w:b w:val="0"/>
                <w:color w:val="202124"/>
                <w:sz w:val="19"/>
              </w:rPr>
              <w:t>Subcontractor</w:t>
            </w:r>
          </w:p>
        </w:tc>
        <w:tc>
          <w:tcPr>
            <w:tcW w:type="dxa" w:w="4464"/>
            <w:vAlign w:val="center"/>
          </w:tcPr>
          <w:p>
            <w:pPr>
              <w:spacing w:after="0"/>
              <w:jc w:val="right"/>
              <w:bidi w:val="1"/>
            </w:pPr>
            <w:r/>
            <w:r>
              <w:rPr>
                <w:rFonts w:ascii="Arial" w:hAnsi="Arial" w:cs="Arial"/>
                <w:b w:val="0"/>
                <w:color w:val="202124"/>
                <w:sz w:val="19"/>
              </w:rPr>
              <w:t>التخصص، التراخيص، مناطق العمل، الأسعار التاريخية، الأداء، الجودة، السلامة، الفواتير.</w:t>
            </w:r>
          </w:p>
        </w:tc>
        <w:tc>
          <w:tcPr>
            <w:tcW w:type="dxa" w:w="2520"/>
            <w:vAlign w:val="center"/>
          </w:tcPr>
          <w:p>
            <w:pPr>
              <w:spacing w:after="0"/>
              <w:jc w:val="right"/>
              <w:bidi w:val="1"/>
            </w:pPr>
            <w:r/>
            <w:r>
              <w:rPr>
                <w:rFonts w:ascii="Arial" w:hAnsi="Arial" w:cs="Arial"/>
                <w:b w:val="0"/>
                <w:color w:val="202124"/>
                <w:sz w:val="19"/>
              </w:rPr>
              <w:t>Prequalification واختيار المقاول ومراجعة الأسعار السابقة.</w:t>
            </w:r>
          </w:p>
        </w:tc>
      </w:tr>
      <w:tr>
        <w:tc>
          <w:tcPr>
            <w:tcW w:type="dxa" w:w="2088"/>
            <w:vAlign w:val="center"/>
          </w:tcPr>
          <w:p>
            <w:pPr>
              <w:spacing w:after="0"/>
              <w:jc w:val="right"/>
              <w:bidi w:val="1"/>
            </w:pPr>
            <w:r/>
            <w:r>
              <w:rPr>
                <w:rFonts w:ascii="Arial" w:hAnsi="Arial" w:cs="Arial"/>
                <w:b w:val="0"/>
                <w:color w:val="202124"/>
                <w:sz w:val="19"/>
              </w:rPr>
              <w:t>Rate History</w:t>
            </w:r>
          </w:p>
        </w:tc>
        <w:tc>
          <w:tcPr>
            <w:tcW w:type="dxa" w:w="4464"/>
            <w:vAlign w:val="center"/>
          </w:tcPr>
          <w:p>
            <w:pPr>
              <w:spacing w:after="0"/>
              <w:jc w:val="right"/>
              <w:bidi w:val="1"/>
            </w:pPr>
            <w:r/>
            <w:r>
              <w:rPr>
                <w:rFonts w:ascii="Arial" w:hAnsi="Arial" w:cs="Arial"/>
                <w:b w:val="0"/>
                <w:color w:val="202124"/>
                <w:sz w:val="19"/>
              </w:rPr>
              <w:t>الصنف/بند BOQ، الوحدة، السعر، التاريخ، المشروع، المورد/المقاول، العملة، الشروط.</w:t>
            </w:r>
          </w:p>
        </w:tc>
        <w:tc>
          <w:tcPr>
            <w:tcW w:type="dxa" w:w="2520"/>
            <w:vAlign w:val="center"/>
          </w:tcPr>
          <w:p>
            <w:pPr>
              <w:spacing w:after="0"/>
              <w:jc w:val="right"/>
              <w:bidi w:val="1"/>
            </w:pPr>
            <w:r/>
            <w:r>
              <w:rPr>
                <w:rFonts w:ascii="Arial" w:hAnsi="Arial" w:cs="Arial"/>
                <w:b w:val="0"/>
                <w:color w:val="202124"/>
                <w:sz w:val="19"/>
              </w:rPr>
              <w:t>مرجع تسعير عند إعداد مشروع أو Variation جديد.</w:t>
            </w:r>
          </w:p>
        </w:tc>
      </w:tr>
    </w:tbl>
    <w:p>
      <w:pPr>
        <w:spacing w:after="40"/>
      </w:pPr>
    </w:p>
    <w:p>
      <w:pPr>
        <w:spacing w:before="0" w:after="120" w:line="300" w:lineRule="auto"/>
        <w:jc w:val="right"/>
        <w:bidi w:val="1"/>
      </w:pPr>
      <w:r>
        <w:rPr>
          <w:rFonts w:ascii="Arial" w:hAnsi="Arial" w:cs="Arial"/>
          <w:b w:val="0"/>
          <w:color w:val="202124"/>
          <w:sz w:val="22"/>
        </w:rPr>
        <w:t>مهم: لا تنسخ اسم الشركة كنص في كل جدول. خزّن Party ID في السجل، واعرض الاسم المأخوذ من Master Data. استخدم Snapshot للاسم القانوني والرقم الضريبي داخل المستند المعتمد فقط لحماية التاريخ المالي.</w:t>
      </w:r>
    </w:p>
    <w:p>
      <w:pPr>
        <w:spacing w:before="320" w:after="140"/>
        <w:jc w:val="right"/>
        <w:bidi w:val="1"/>
      </w:pPr>
      <w:r>
        <w:rPr>
          <w:rFonts w:ascii="Arial" w:hAnsi="Arial" w:cs="Arial"/>
          <w:b/>
          <w:color w:val="2E74B5"/>
          <w:sz w:val="32"/>
        </w:rPr>
        <w:t>7. الذكاء الاصطناعي المجاني والمحلي</w:t>
      </w:r>
    </w:p>
    <w:p>
      <w:pPr>
        <w:spacing w:before="0" w:after="120" w:line="300" w:lineRule="auto"/>
        <w:jc w:val="right"/>
        <w:bidi w:val="1"/>
      </w:pPr>
      <w:r>
        <w:rPr>
          <w:rFonts w:ascii="Arial" w:hAnsi="Arial" w:cs="Arial"/>
          <w:b w:val="0"/>
          <w:color w:val="202124"/>
          <w:sz w:val="22"/>
        </w:rPr>
        <w:t>الخيار الموصى به: مساعد محلي اختياري يعمل عبر Ollama على Windows. يعمل النموذج على الجهاز ويقدم API محلية على localhost، لذلك لا توجد رسوم استخدام API ولا تخرج بيانات المشروع إلى مزود خارجي. الأداء والجودة يعتمدان على مواصفات الجهاز وحجم النموذج.</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232"/>
            <w:vAlign w:val="center"/>
            <w:shd w:fill="E8EEF5"/>
          </w:tcPr>
          <w:p>
            <w:pPr>
              <w:spacing w:after="0"/>
              <w:jc w:val="right"/>
              <w:bidi w:val="1"/>
            </w:pPr>
            <w:r/>
            <w:r>
              <w:rPr>
                <w:rFonts w:ascii="Arial" w:hAnsi="Arial" w:cs="Arial"/>
                <w:b/>
                <w:color w:val="1F4D78"/>
                <w:sz w:val="19"/>
              </w:rPr>
              <w:t>الاستخدام</w:t>
            </w:r>
          </w:p>
        </w:tc>
        <w:tc>
          <w:tcPr>
            <w:tcW w:type="dxa" w:w="4896"/>
            <w:vAlign w:val="center"/>
            <w:shd w:fill="E8EEF5"/>
          </w:tcPr>
          <w:p>
            <w:pPr>
              <w:spacing w:after="0"/>
              <w:jc w:val="right"/>
              <w:bidi w:val="1"/>
            </w:pPr>
            <w:r/>
            <w:r>
              <w:rPr>
                <w:rFonts w:ascii="Arial" w:hAnsi="Arial" w:cs="Arial"/>
                <w:b/>
                <w:color w:val="1F4D78"/>
                <w:sz w:val="19"/>
              </w:rPr>
              <w:t>مسموح للمساعد</w:t>
            </w:r>
          </w:p>
        </w:tc>
        <w:tc>
          <w:tcPr>
            <w:tcW w:type="dxa" w:w="1944"/>
            <w:vAlign w:val="center"/>
            <w:shd w:fill="E8EEF5"/>
          </w:tcPr>
          <w:p>
            <w:pPr>
              <w:spacing w:after="0"/>
              <w:jc w:val="right"/>
              <w:bidi w:val="1"/>
            </w:pPr>
            <w:r/>
            <w:r>
              <w:rPr>
                <w:rFonts w:ascii="Arial" w:hAnsi="Arial" w:cs="Arial"/>
                <w:b/>
                <w:color w:val="1F4D78"/>
                <w:sz w:val="19"/>
              </w:rPr>
              <w:t>ممنوع تلقائيًا</w:t>
            </w:r>
          </w:p>
        </w:tc>
      </w:tr>
      <w:tr>
        <w:tc>
          <w:tcPr>
            <w:tcW w:type="dxa" w:w="2232"/>
            <w:vAlign w:val="center"/>
          </w:tcPr>
          <w:p>
            <w:pPr>
              <w:spacing w:after="0"/>
              <w:jc w:val="right"/>
              <w:bidi w:val="1"/>
            </w:pPr>
            <w:r/>
            <w:r>
              <w:rPr>
                <w:rFonts w:ascii="Arial" w:hAnsi="Arial" w:cs="Arial"/>
                <w:b w:val="0"/>
                <w:color w:val="202124"/>
                <w:sz w:val="19"/>
              </w:rPr>
              <w:t>تحليل PMO</w:t>
            </w:r>
          </w:p>
        </w:tc>
        <w:tc>
          <w:tcPr>
            <w:tcW w:type="dxa" w:w="4896"/>
            <w:vAlign w:val="center"/>
          </w:tcPr>
          <w:p>
            <w:pPr>
              <w:spacing w:after="0"/>
              <w:jc w:val="right"/>
              <w:bidi w:val="1"/>
            </w:pPr>
            <w:r/>
            <w:r>
              <w:rPr>
                <w:rFonts w:ascii="Arial" w:hAnsi="Arial" w:cs="Arial"/>
                <w:b w:val="0"/>
                <w:color w:val="202124"/>
                <w:sz w:val="19"/>
              </w:rPr>
              <w:t>تلخيص المخاطر والتأخيرات والفروق بين PV/EV/AC، وصياغة قائمة أسئلة للمدير.</w:t>
            </w:r>
          </w:p>
        </w:tc>
        <w:tc>
          <w:tcPr>
            <w:tcW w:type="dxa" w:w="1944"/>
            <w:vAlign w:val="center"/>
          </w:tcPr>
          <w:p>
            <w:pPr>
              <w:spacing w:after="0"/>
              <w:jc w:val="right"/>
              <w:bidi w:val="1"/>
            </w:pPr>
            <w:r/>
            <w:r>
              <w:rPr>
                <w:rFonts w:ascii="Arial" w:hAnsi="Arial" w:cs="Arial"/>
                <w:b w:val="0"/>
                <w:color w:val="202124"/>
                <w:sz w:val="19"/>
              </w:rPr>
              <w:t>تعديل القيم أو اعتماد الفواتير أو تغيير التواريخ.</w:t>
            </w:r>
          </w:p>
        </w:tc>
      </w:tr>
      <w:tr>
        <w:tc>
          <w:tcPr>
            <w:tcW w:type="dxa" w:w="2232"/>
            <w:vAlign w:val="center"/>
          </w:tcPr>
          <w:p>
            <w:pPr>
              <w:spacing w:after="0"/>
              <w:jc w:val="right"/>
              <w:bidi w:val="1"/>
            </w:pPr>
            <w:r/>
            <w:r>
              <w:rPr>
                <w:rFonts w:ascii="Arial" w:hAnsi="Arial" w:cs="Arial"/>
                <w:b w:val="0"/>
                <w:color w:val="202124"/>
                <w:sz w:val="19"/>
              </w:rPr>
              <w:t>مساعد إدخال</w:t>
            </w:r>
          </w:p>
        </w:tc>
        <w:tc>
          <w:tcPr>
            <w:tcW w:type="dxa" w:w="4896"/>
            <w:vAlign w:val="center"/>
          </w:tcPr>
          <w:p>
            <w:pPr>
              <w:spacing w:after="0"/>
              <w:jc w:val="right"/>
              <w:bidi w:val="1"/>
            </w:pPr>
            <w:r/>
            <w:r>
              <w:rPr>
                <w:rFonts w:ascii="Arial" w:hAnsi="Arial" w:cs="Arial"/>
                <w:b w:val="0"/>
                <w:color w:val="202124"/>
                <w:sz w:val="19"/>
              </w:rPr>
              <w:t>اقتراح وصف بند، تصنيف تكلفة، تنبيه نقص الحقول أو اختلاف وحدة.</w:t>
            </w:r>
          </w:p>
        </w:tc>
        <w:tc>
          <w:tcPr>
            <w:tcW w:type="dxa" w:w="1944"/>
            <w:vAlign w:val="center"/>
          </w:tcPr>
          <w:p>
            <w:pPr>
              <w:spacing w:after="0"/>
              <w:jc w:val="right"/>
              <w:bidi w:val="1"/>
            </w:pPr>
            <w:r/>
            <w:r>
              <w:rPr>
                <w:rFonts w:ascii="Arial" w:hAnsi="Arial" w:cs="Arial"/>
                <w:b w:val="0"/>
                <w:color w:val="202124"/>
                <w:sz w:val="19"/>
              </w:rPr>
              <w:t>إنشاء سجلات نهائية دون مراجعة المستخدم.</w:t>
            </w:r>
          </w:p>
        </w:tc>
      </w:tr>
      <w:tr>
        <w:tc>
          <w:tcPr>
            <w:tcW w:type="dxa" w:w="2232"/>
            <w:vAlign w:val="center"/>
          </w:tcPr>
          <w:p>
            <w:pPr>
              <w:spacing w:after="0"/>
              <w:jc w:val="right"/>
              <w:bidi w:val="1"/>
            </w:pPr>
            <w:r/>
            <w:r>
              <w:rPr>
                <w:rFonts w:ascii="Arial" w:hAnsi="Arial" w:cs="Arial"/>
                <w:b w:val="0"/>
                <w:color w:val="202124"/>
                <w:sz w:val="19"/>
              </w:rPr>
              <w:t>بحث معرفي</w:t>
            </w:r>
          </w:p>
        </w:tc>
        <w:tc>
          <w:tcPr>
            <w:tcW w:type="dxa" w:w="4896"/>
            <w:vAlign w:val="center"/>
          </w:tcPr>
          <w:p>
            <w:pPr>
              <w:spacing w:after="0"/>
              <w:jc w:val="right"/>
              <w:bidi w:val="1"/>
            </w:pPr>
            <w:r/>
            <w:r>
              <w:rPr>
                <w:rFonts w:ascii="Arial" w:hAnsi="Arial" w:cs="Arial"/>
                <w:b w:val="0"/>
                <w:color w:val="202124"/>
                <w:sz w:val="19"/>
              </w:rPr>
              <w:t>البحث في مستندات المشروع والمراسلات المرفقة بعد اختيار المستخدم للملفات.</w:t>
            </w:r>
          </w:p>
        </w:tc>
        <w:tc>
          <w:tcPr>
            <w:tcW w:type="dxa" w:w="1944"/>
            <w:vAlign w:val="center"/>
          </w:tcPr>
          <w:p>
            <w:pPr>
              <w:spacing w:after="0"/>
              <w:jc w:val="right"/>
              <w:bidi w:val="1"/>
            </w:pPr>
            <w:r/>
            <w:r>
              <w:rPr>
                <w:rFonts w:ascii="Arial" w:hAnsi="Arial" w:cs="Arial"/>
                <w:b w:val="0"/>
                <w:color w:val="202124"/>
                <w:sz w:val="19"/>
              </w:rPr>
              <w:t>الوصول التلقائي لكل ملفات الجهاز.</w:t>
            </w:r>
          </w:p>
        </w:tc>
      </w:tr>
      <w:tr>
        <w:tc>
          <w:tcPr>
            <w:tcW w:type="dxa" w:w="2232"/>
            <w:vAlign w:val="center"/>
          </w:tcPr>
          <w:p>
            <w:pPr>
              <w:spacing w:after="0"/>
              <w:jc w:val="right"/>
              <w:bidi w:val="1"/>
            </w:pPr>
            <w:r/>
            <w:r>
              <w:rPr>
                <w:rFonts w:ascii="Arial" w:hAnsi="Arial" w:cs="Arial"/>
                <w:b w:val="0"/>
                <w:color w:val="202124"/>
                <w:sz w:val="19"/>
              </w:rPr>
              <w:t>تقارير</w:t>
            </w:r>
          </w:p>
        </w:tc>
        <w:tc>
          <w:tcPr>
            <w:tcW w:type="dxa" w:w="4896"/>
            <w:vAlign w:val="center"/>
          </w:tcPr>
          <w:p>
            <w:pPr>
              <w:spacing w:after="0"/>
              <w:jc w:val="right"/>
              <w:bidi w:val="1"/>
            </w:pPr>
            <w:r/>
            <w:r>
              <w:rPr>
                <w:rFonts w:ascii="Arial" w:hAnsi="Arial" w:cs="Arial"/>
                <w:b w:val="0"/>
                <w:color w:val="202124"/>
                <w:sz w:val="19"/>
              </w:rPr>
              <w:t>مسودة سرد تنفيذي أسبوعي أو ملاحظات على Variation مع مراجع للسجلات.</w:t>
            </w:r>
          </w:p>
        </w:tc>
        <w:tc>
          <w:tcPr>
            <w:tcW w:type="dxa" w:w="1944"/>
            <w:vAlign w:val="center"/>
          </w:tcPr>
          <w:p>
            <w:pPr>
              <w:spacing w:after="0"/>
              <w:jc w:val="right"/>
              <w:bidi w:val="1"/>
            </w:pPr>
            <w:r/>
            <w:r>
              <w:rPr>
                <w:rFonts w:ascii="Arial" w:hAnsi="Arial" w:cs="Arial"/>
                <w:b w:val="0"/>
                <w:color w:val="202124"/>
                <w:sz w:val="19"/>
              </w:rPr>
              <w:t>اعتبار النص المالي أو القانوني قرارًا نهائيًا.</w:t>
            </w:r>
          </w:p>
        </w:tc>
      </w:tr>
    </w:tbl>
    <w:p>
      <w:pPr>
        <w:spacing w:after="40"/>
      </w:pPr>
    </w:p>
    <w:p>
      <w:pPr>
        <w:spacing w:before="0" w:after="120" w:line="300" w:lineRule="auto"/>
        <w:jc w:val="right"/>
        <w:bidi w:val="1"/>
      </w:pPr>
      <w:r>
        <w:rPr>
          <w:rFonts w:ascii="Arial" w:hAnsi="Arial" w:cs="Arial"/>
          <w:b w:val="0"/>
          <w:color w:val="202124"/>
          <w:sz w:val="22"/>
        </w:rPr>
        <w:t>تصميم الأمان: يقرأ المساعد View آمنة ومختصرة من البيانات، يعيد النتيجة مع روابط السجلات المستخدمة، ويعمل بوضع Read-only افتراضيًا. أي إجراء مقترح يمر عبر Preview ثم موافقة المستخدم وقواعد الحوكمة نفسها. بديل أخف هو llama.cpp الذي يوفر خادمًا محليًا متوافقًا مع واجهات OpenAI، لكن Ollama أبسط للتثبيت والإدارة على Windows.</w:t>
      </w:r>
    </w:p>
    <w:p>
      <w:pPr>
        <w:spacing w:before="320" w:after="140"/>
        <w:jc w:val="right"/>
        <w:bidi w:val="1"/>
      </w:pPr>
      <w:r>
        <w:rPr>
          <w:rFonts w:ascii="Arial" w:hAnsi="Arial" w:cs="Arial"/>
          <w:b/>
          <w:color w:val="2E74B5"/>
          <w:sz w:val="32"/>
        </w:rPr>
        <w:t>8. خارطة التنفيذ بالأولوية</w:t>
      </w:r>
    </w:p>
    <w:p>
      <w:pPr>
        <w:pStyle w:val="ListNumber"/>
        <w:spacing w:after="80"/>
        <w:jc w:val="right"/>
        <w:bidi w:val="1"/>
      </w:pPr>
      <w:r>
        <w:rPr>
          <w:rFonts w:ascii="Arial" w:hAnsi="Arial" w:cs="Arial"/>
          <w:b w:val="0"/>
          <w:color w:val="202124"/>
          <w:sz w:val="21"/>
        </w:rPr>
        <w:t>مرحلة 1 - Data Governance Foundation: قاموس بيانات موحد، Validation Service، مفاتيح وعلاقات وقواعد تاريخ/كمية/قيمة، ورسائل خطأ مفهومة.</w:t>
      </w:r>
    </w:p>
    <w:p>
      <w:pPr>
        <w:pStyle w:val="ListNumber"/>
        <w:spacing w:after="80"/>
        <w:jc w:val="right"/>
        <w:bidi w:val="1"/>
      </w:pPr>
      <w:r>
        <w:rPr>
          <w:rFonts w:ascii="Arial" w:hAnsi="Arial" w:cs="Arial"/>
          <w:b w:val="0"/>
          <w:color w:val="202124"/>
          <w:sz w:val="21"/>
        </w:rPr>
        <w:t>مرحلة 2 - Master Data: Clients, Vendors, Subcontractors, Contacts, Rate History وربط تدريجي بالجداول الحالية دون كسر بياناتها.</w:t>
      </w:r>
    </w:p>
    <w:p>
      <w:pPr>
        <w:pStyle w:val="ListNumber"/>
        <w:spacing w:after="80"/>
        <w:jc w:val="right"/>
        <w:bidi w:val="1"/>
      </w:pPr>
      <w:r>
        <w:rPr>
          <w:rFonts w:ascii="Arial" w:hAnsi="Arial" w:cs="Arial"/>
          <w:b w:val="0"/>
          <w:color w:val="202124"/>
          <w:sz w:val="21"/>
        </w:rPr>
        <w:t>مرحلة 3 - Invoice &amp; Cash Ledger: حالات الفاتورة والمدفوعات، بنود التحصيل/الدفع، تدفق نقدي Forecast/Actual ولوحة سيولة.</w:t>
      </w:r>
    </w:p>
    <w:p>
      <w:pPr>
        <w:pStyle w:val="ListNumber"/>
        <w:spacing w:after="80"/>
        <w:jc w:val="right"/>
        <w:bidi w:val="1"/>
      </w:pPr>
      <w:r>
        <w:rPr>
          <w:rFonts w:ascii="Arial" w:hAnsi="Arial" w:cs="Arial"/>
          <w:b w:val="0"/>
          <w:color w:val="202124"/>
          <w:sz w:val="21"/>
        </w:rPr>
        <w:t>مرحلة 4 - Forms &amp; Reports: ستة قوالب معتمدة، معاينة، PDF/Excel، ترقيم واعتماد وإصدارات المستندات.</w:t>
      </w:r>
    </w:p>
    <w:p>
      <w:pPr>
        <w:pStyle w:val="ListNumber"/>
        <w:spacing w:after="80"/>
        <w:jc w:val="right"/>
        <w:bidi w:val="1"/>
      </w:pPr>
      <w:r>
        <w:rPr>
          <w:rFonts w:ascii="Arial" w:hAnsi="Arial" w:cs="Arial"/>
          <w:b w:val="0"/>
          <w:color w:val="202124"/>
          <w:sz w:val="21"/>
        </w:rPr>
        <w:t>مرحلة 5 - Usability: Command Bar، Saved Views، Undo/Redo، اختصارات وواجهة إدخال موجهة.</w:t>
      </w:r>
    </w:p>
    <w:p>
      <w:pPr>
        <w:pStyle w:val="ListNumber"/>
        <w:spacing w:after="80"/>
        <w:jc w:val="right"/>
        <w:bidi w:val="1"/>
      </w:pPr>
      <w:r>
        <w:rPr>
          <w:rFonts w:ascii="Arial" w:hAnsi="Arial" w:cs="Arial"/>
          <w:b w:val="0"/>
          <w:color w:val="202124"/>
          <w:sz w:val="21"/>
        </w:rPr>
        <w:t>مرحلة 6 - Local AI Pilot: شاشة PMO Copilot للقراءة والتحليل أولًا، بموديل محلي اختياري وسجل استخدام.</w:t>
      </w:r>
    </w:p>
    <w:p>
      <w:pPr>
        <w:pStyle w:val="ListNumber"/>
        <w:spacing w:after="80"/>
        <w:jc w:val="right"/>
        <w:bidi w:val="1"/>
      </w:pPr>
      <w:r>
        <w:rPr>
          <w:rFonts w:ascii="Arial" w:hAnsi="Arial" w:cs="Arial"/>
          <w:b w:val="0"/>
          <w:color w:val="202124"/>
          <w:sz w:val="21"/>
        </w:rPr>
        <w:t>مرحلة 7 - Regression &amp; UAT: بيانات مرجعية، اختبارات علاقات وحسابات، ثم تعميم الخصائص بعد قبول المستخدم.</w:t>
      </w:r>
    </w:p>
    <w:p>
      <w:pPr>
        <w:spacing w:before="320" w:after="140"/>
        <w:jc w:val="right"/>
        <w:bidi w:val="1"/>
      </w:pPr>
      <w:r>
        <w:rPr>
          <w:rFonts w:ascii="Arial" w:hAnsi="Arial" w:cs="Arial"/>
          <w:b/>
          <w:color w:val="2E74B5"/>
          <w:sz w:val="32"/>
        </w:rPr>
        <w:t>9. قرار مقترح للبدء</w:t>
      </w:r>
    </w:p>
    <w:p>
      <w:pPr>
        <w:spacing w:before="0" w:after="120" w:line="300" w:lineRule="auto"/>
        <w:jc w:val="right"/>
        <w:bidi w:val="1"/>
      </w:pPr>
      <w:r>
        <w:rPr>
          <w:rFonts w:ascii="Arial" w:hAnsi="Arial" w:cs="Arial"/>
          <w:b/>
          <w:color w:val="1F4D78"/>
          <w:sz w:val="22"/>
        </w:rPr>
        <w:t>ابدأ بالمرحلة الأولى ثم الثالثة: لا معنى لتدفق نقدي آلي أو ذكاء اصطناعي إذا كانت القيم والعلاقات غير محكومة مركزيًا. بعد تثبيت الحوكمة، يكون ربط الفواتير والمدفوعات بالسيولة هو أعلى عائد مباشر للإدارة. قاعدة بيانات الأطراف وقوالب المستندات تنفذ بالتوازي بعد توحيد Party ID وحالات المستندات.</w:t>
      </w:r>
    </w:p>
    <w:p>
      <w:pPr>
        <w:spacing w:before="0" w:after="120" w:line="300" w:lineRule="auto"/>
        <w:jc w:val="right"/>
        <w:bidi w:val="1"/>
      </w:pPr>
      <w:r>
        <w:rPr>
          <w:rFonts w:ascii="Arial" w:hAnsi="Arial" w:cs="Arial"/>
          <w:b w:val="0"/>
          <w:color w:val="5F6368"/>
          <w:sz w:val="20"/>
        </w:rPr>
        <w:t>مصادر تقنية مرجعية: وثائق SQLite الرسمية للمفاتيح الأجنبية وTriggers؛ وثائق Ollama الرسمية لـ Windows والـ API المحلي؛ README الرسمي لـ llama.cpp للخادم المحلي المتوافق مع OpenAI.</w:t>
      </w:r>
    </w:p>
    <w:sectPr w:rsidR="00FC693F" w:rsidRPr="0006063C" w:rsidSect="00034616">
      <w:headerReference w:type="default" r:id="rId9"/>
      <w:footerReference w:type="default" r:id="rId10"/>
      <w:pgSz w:w="12240" w:h="15840"/>
      <w:pgMar w:top="1224" w:right="1224" w:bottom="1224"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5F6368"/>
        <w:sz w:val="18"/>
      </w:rPr>
      <w:t>14 أغسطس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val="0"/>
        <w:color w:val="5F6368"/>
        <w:sz w:val="18"/>
      </w:rPr>
      <w:t>BuildTrack | تقرير تطوير وتحكم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