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Output for 04c.1dropoutPredictin_v2.rev.02</w:t>
      </w:r>
    </w:p>
    <w:p>
      <w:pPr>
        <w:pStyle w:val="Heading1"/>
      </w:pPr>
      <w:r>
        <w:t>Console Output</w:t>
      </w:r>
    </w:p>
    <w:p>
      <w:r>
        <w:t>The accuracy of the model with dropout (p=0.7):  0.865</w:t>
        <w:br/>
      </w:r>
    </w:p>
    <w:p>
      <w:r>
        <w:drawing>
          <wp:inline xmlns:a="http://schemas.openxmlformats.org/drawingml/2006/main" xmlns:pic="http://schemas.openxmlformats.org/drawingml/2006/picture">
            <wp:extent cx="5029200" cy="82445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c.1dropoutPredictin_v2.rev.02_los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82445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c.1dropoutPredictin_v2.rev.02_da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c.1dropoutPredictin_v2.rev.02_decis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