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115A2" w14:textId="77777777" w:rsidR="004303DC" w:rsidRPr="00664C23" w:rsidRDefault="00000000" w:rsidP="00664C23">
      <w:pPr>
        <w:pStyle w:val="a4"/>
        <w:rPr>
          <w:sz w:val="52"/>
          <w:szCs w:val="52"/>
        </w:rPr>
      </w:pPr>
      <w:bookmarkStart w:id="0" w:name="brand-story-of-itrix"/>
      <w:r w:rsidRPr="00664C23">
        <w:rPr>
          <w:sz w:val="52"/>
          <w:szCs w:val="52"/>
        </w:rPr>
        <w:t>Brand Story of itriX</w:t>
      </w:r>
    </w:p>
    <w:p w14:paraId="72C7D0C0" w14:textId="77777777" w:rsidR="004303DC" w:rsidRDefault="00000000">
      <w:pPr>
        <w:pStyle w:val="FirstParagraph"/>
      </w:pPr>
      <w:r>
        <w:t>Most company names begin with a capital letter.</w:t>
      </w:r>
    </w:p>
    <w:p w14:paraId="76A03AFA" w14:textId="77777777" w:rsidR="004303DC" w:rsidRDefault="00000000">
      <w:pPr>
        <w:pStyle w:val="a0"/>
      </w:pPr>
      <w:r>
        <w:rPr>
          <w:b/>
          <w:bCs/>
        </w:rPr>
        <w:t>itriX</w:t>
      </w:r>
      <w:r>
        <w:t xml:space="preserve"> ends with one.</w:t>
      </w:r>
    </w:p>
    <w:p w14:paraId="7C0371F1" w14:textId="77777777" w:rsidR="004303DC" w:rsidRDefault="00000000">
      <w:pPr>
        <w:pStyle w:val="a0"/>
      </w:pPr>
      <w:r>
        <w:t>This distinctive structure reflects the company’s way of thinking. itriX does not begin from the assumption that the future of computing must simply become larger. It begins from a different question:</w:t>
      </w:r>
    </w:p>
    <w:p w14:paraId="2B3724C3" w14:textId="77777777" w:rsidR="004303DC" w:rsidRDefault="00000000">
      <w:pPr>
        <w:pStyle w:val="a8"/>
      </w:pPr>
      <w:r>
        <w:t>Can computation itself be reconstructed before it is scaled?</w:t>
      </w:r>
    </w:p>
    <w:p w14:paraId="7D8A0A34" w14:textId="77777777" w:rsidR="004303DC" w:rsidRDefault="00000000">
      <w:pPr>
        <w:pStyle w:val="FirstParagraph"/>
      </w:pPr>
      <w:r>
        <w:t>For decades, progress in computing has been driven by more powerful hardware, larger data centers, faster chips, and greater energy consumption. This model has delivered remarkable achievements. However, in the Age of AI, the cost, energy demand, and complexity of computation are increasing at a speed that cannot be solved by brute-force scaling alone.</w:t>
      </w:r>
    </w:p>
    <w:p w14:paraId="33B66407" w14:textId="77777777" w:rsidR="004303DC" w:rsidRDefault="00000000">
      <w:pPr>
        <w:pStyle w:val="a0"/>
      </w:pPr>
      <w:r>
        <w:t>itriX exists to help create a more sustainable path.</w:t>
      </w:r>
    </w:p>
    <w:p w14:paraId="77283330" w14:textId="77777777" w:rsidR="004303DC" w:rsidRDefault="00000000">
      <w:pPr>
        <w:pStyle w:val="a0"/>
      </w:pPr>
      <w:r>
        <w:t xml:space="preserve">Its mission is to build </w:t>
      </w:r>
      <w:r>
        <w:rPr>
          <w:b/>
          <w:bCs/>
        </w:rPr>
        <w:t>Computational AI Infrastructure for Sustainable AI</w:t>
      </w:r>
      <w:r>
        <w:t>.</w:t>
      </w:r>
    </w:p>
    <w:p w14:paraId="5C409FB0" w14:textId="77777777" w:rsidR="004303DC" w:rsidRDefault="00000000">
      <w:pPr>
        <w:pStyle w:val="a0"/>
      </w:pPr>
      <w:r>
        <w:t>The itriX identity expresses this mission through a square-based letter system. Each character is constructed within a disciplined geometric frame. The square represents mathematical order, structural clarity, reproducibility, and computational rigor. The logo is not free-form typography; it is a constructed system.</w:t>
      </w:r>
    </w:p>
    <w:p w14:paraId="363B0877" w14:textId="77777777" w:rsidR="004303DC" w:rsidRDefault="00000000">
      <w:pPr>
        <w:pStyle w:val="a0"/>
      </w:pPr>
      <w:r>
        <w:t xml:space="preserve">The first </w:t>
      </w:r>
      <w:r>
        <w:rPr>
          <w:b/>
          <w:bCs/>
        </w:rPr>
        <w:t>i</w:t>
      </w:r>
      <w:r>
        <w:t xml:space="preserve"> represents </w:t>
      </w:r>
      <w:r>
        <w:rPr>
          <w:b/>
          <w:bCs/>
        </w:rPr>
        <w:t>Intelligence</w:t>
      </w:r>
      <w:r>
        <w:t>.</w:t>
      </w:r>
    </w:p>
    <w:p w14:paraId="11C09BCB" w14:textId="77777777" w:rsidR="004303DC" w:rsidRDefault="00000000">
      <w:pPr>
        <w:pStyle w:val="a0"/>
      </w:pPr>
      <w:r>
        <w:t>For itriX, intelligence begins with the ability to see the hidden structure of a problem. It means recognizing when computation has become inefficient, unstable, or unnecessarily costly, and identifying a better way to represent or process it.</w:t>
      </w:r>
    </w:p>
    <w:p w14:paraId="25257711" w14:textId="77777777" w:rsidR="004303DC" w:rsidRDefault="00000000">
      <w:pPr>
        <w:pStyle w:val="a0"/>
      </w:pPr>
      <w:r>
        <w:t xml:space="preserve">The </w:t>
      </w:r>
      <w:r>
        <w:rPr>
          <w:b/>
          <w:bCs/>
        </w:rPr>
        <w:t>t</w:t>
      </w:r>
      <w:r>
        <w:t xml:space="preserve"> represents </w:t>
      </w:r>
      <w:r>
        <w:rPr>
          <w:b/>
          <w:bCs/>
        </w:rPr>
        <w:t>Transformation</w:t>
      </w:r>
      <w:r>
        <w:t>.</w:t>
      </w:r>
    </w:p>
    <w:p w14:paraId="2955831F" w14:textId="77777777" w:rsidR="004303DC" w:rsidRDefault="00000000">
      <w:pPr>
        <w:pStyle w:val="a0"/>
      </w:pPr>
      <w:r>
        <w:t>Although the t is visually expressed through a plus-like mathematical form, it remains the letter t. Its shape reflects the role of transformation in the company’s philosophy. itriX does not merely add more computational force to an existing burden. It seeks to transform the computational structure itself, so that the same problem can be approached in a more efficient, stable, and scalable way.</w:t>
      </w:r>
    </w:p>
    <w:p w14:paraId="5093FBBA" w14:textId="77777777" w:rsidR="004303DC" w:rsidRDefault="00000000">
      <w:pPr>
        <w:pStyle w:val="a0"/>
      </w:pPr>
      <w:r>
        <w:t xml:space="preserve">The </w:t>
      </w:r>
      <w:r>
        <w:rPr>
          <w:b/>
          <w:bCs/>
        </w:rPr>
        <w:t>r</w:t>
      </w:r>
      <w:r>
        <w:t xml:space="preserve"> represents the company’s three core values: </w:t>
      </w:r>
      <w:r>
        <w:rPr>
          <w:b/>
          <w:bCs/>
        </w:rPr>
        <w:t>Reinvention, Rigor, and Relevance</w:t>
      </w:r>
      <w:r>
        <w:t>.</w:t>
      </w:r>
    </w:p>
    <w:p w14:paraId="582CE2A4" w14:textId="77777777" w:rsidR="004303DC" w:rsidRDefault="00000000">
      <w:pPr>
        <w:pStyle w:val="a0"/>
      </w:pPr>
      <w:r>
        <w:rPr>
          <w:b/>
          <w:bCs/>
        </w:rPr>
        <w:t>Reinvention</w:t>
      </w:r>
      <w:r>
        <w:t xml:space="preserve"> means that itriX is willing to redesign the structure of a problem rather than remain confined to existing assumptions.</w:t>
      </w:r>
    </w:p>
    <w:p w14:paraId="4CFF7FC6" w14:textId="77777777" w:rsidR="004303DC" w:rsidRDefault="00000000">
      <w:pPr>
        <w:pStyle w:val="a0"/>
      </w:pPr>
      <w:r>
        <w:rPr>
          <w:b/>
          <w:bCs/>
        </w:rPr>
        <w:lastRenderedPageBreak/>
        <w:t>Rigor</w:t>
      </w:r>
      <w:r>
        <w:t xml:space="preserve"> means that its technologies and solutions must be mathematically examined, explainable, and reproducible.</w:t>
      </w:r>
    </w:p>
    <w:p w14:paraId="00D5B2BD" w14:textId="77777777" w:rsidR="004303DC" w:rsidRDefault="00000000">
      <w:pPr>
        <w:pStyle w:val="a0"/>
      </w:pPr>
      <w:r>
        <w:rPr>
          <w:b/>
          <w:bCs/>
        </w:rPr>
        <w:t>Relevance</w:t>
      </w:r>
      <w:r>
        <w:t xml:space="preserve"> means that mathematical elegance is not enough. Technology must create meaningful value in real industrial, scientific, and AI infrastructure environments.</w:t>
      </w:r>
    </w:p>
    <w:p w14:paraId="2136AE0A" w14:textId="77777777" w:rsidR="004303DC" w:rsidRDefault="00000000">
      <w:pPr>
        <w:pStyle w:val="a0"/>
      </w:pPr>
      <w:r>
        <w:t xml:space="preserve">The second </w:t>
      </w:r>
      <w:r>
        <w:rPr>
          <w:b/>
          <w:bCs/>
        </w:rPr>
        <w:t>i</w:t>
      </w:r>
      <w:r>
        <w:t xml:space="preserve"> represents </w:t>
      </w:r>
      <w:r>
        <w:rPr>
          <w:b/>
          <w:bCs/>
        </w:rPr>
        <w:t>Integrity</w:t>
      </w:r>
      <w:r>
        <w:t>.</w:t>
      </w:r>
    </w:p>
    <w:p w14:paraId="49BF8402" w14:textId="77777777" w:rsidR="004303DC" w:rsidRDefault="00000000">
      <w:pPr>
        <w:pStyle w:val="a0"/>
      </w:pPr>
      <w:r>
        <w:t>In the Age of AI, intelligence must be matched by trust. Integrity means that itriX aims to build technology that can be verified, explained, and responsibly applied.</w:t>
      </w:r>
    </w:p>
    <w:p w14:paraId="533825EB" w14:textId="77777777" w:rsidR="004303DC" w:rsidRDefault="00000000">
      <w:pPr>
        <w:pStyle w:val="a0"/>
      </w:pPr>
      <w:r>
        <w:t xml:space="preserve">The final </w:t>
      </w:r>
      <w:r>
        <w:rPr>
          <w:b/>
          <w:bCs/>
        </w:rPr>
        <w:t>X</w:t>
      </w:r>
      <w:r>
        <w:t xml:space="preserve"> is the defining point of the identity.</w:t>
      </w:r>
    </w:p>
    <w:p w14:paraId="2C137ACB" w14:textId="77777777" w:rsidR="004303DC" w:rsidRDefault="00000000">
      <w:pPr>
        <w:pStyle w:val="a0"/>
      </w:pPr>
      <w:r>
        <w:t>The preceding letters express discipline, intelligence, transformation, values, and integrity. The X expresses the space where these principles become computational infrastructure.</w:t>
      </w:r>
    </w:p>
    <w:p w14:paraId="025A9019" w14:textId="77777777" w:rsidR="004303DC" w:rsidRDefault="00000000">
      <w:pPr>
        <w:pStyle w:val="a0"/>
      </w:pPr>
      <w:r>
        <w:t xml:space="preserve">The X represents a mathematical space where different ways of understanding computation meet. The patented technologies behind itriX have been described by their inventor as reflecting a unified view of </w:t>
      </w:r>
      <w:r>
        <w:rPr>
          <w:b/>
          <w:bCs/>
        </w:rPr>
        <w:t>linear algebra, topology, and geometry</w:t>
      </w:r>
      <w:r>
        <w:t>. In practical terms, this means that computation is not treated only as a sequence of operations. It can also be understood through structure, shape, continuity, transformation, and representation.</w:t>
      </w:r>
    </w:p>
    <w:p w14:paraId="6756B418" w14:textId="77777777" w:rsidR="004303DC" w:rsidRDefault="00000000">
      <w:pPr>
        <w:pStyle w:val="a0"/>
      </w:pPr>
      <w:r>
        <w:t>This is why the X is dimensional.</w:t>
      </w:r>
    </w:p>
    <w:p w14:paraId="0447F296" w14:textId="77777777" w:rsidR="004303DC" w:rsidRDefault="00000000">
      <w:pPr>
        <w:pStyle w:val="a0"/>
      </w:pPr>
      <w:r>
        <w:t>One direction of the X can be understood as the algebraic dimension: matrices, vectors, operators, and computational representation.</w:t>
      </w:r>
    </w:p>
    <w:p w14:paraId="57322441" w14:textId="77777777" w:rsidR="004303DC" w:rsidRDefault="00000000">
      <w:pPr>
        <w:pStyle w:val="a0"/>
      </w:pPr>
      <w:r>
        <w:t>Another direction can be understood as the geometric dimension: shape, distance, rotation, symmetry, and spatial structure.</w:t>
      </w:r>
    </w:p>
    <w:p w14:paraId="39A5C18F" w14:textId="77777777" w:rsidR="004303DC" w:rsidRDefault="00000000">
      <w:pPr>
        <w:pStyle w:val="a0"/>
      </w:pPr>
      <w:r>
        <w:t>The crossing point suggests the topological dimension: continuity, connection, and the preservation of essential structure through transformation.</w:t>
      </w:r>
    </w:p>
    <w:p w14:paraId="26FF4CAA" w14:textId="77777777" w:rsidR="004303DC" w:rsidRDefault="00000000">
      <w:pPr>
        <w:pStyle w:val="a0"/>
      </w:pPr>
      <w:r>
        <w:t>At the center of the X is the itriX reconstruction point.</w:t>
      </w:r>
    </w:p>
    <w:p w14:paraId="2B2CD4B3" w14:textId="77777777" w:rsidR="004303DC" w:rsidRDefault="00000000">
      <w:pPr>
        <w:pStyle w:val="a0"/>
      </w:pPr>
      <w:r>
        <w:t>This is where computation can be viewed from another angle, rotated into a better representation, and reconstructed into a form that is more suitable for execution. In this context, structures such as SPD and quantization are not merely technical details; they represent the broader idea that the way computation is formulated can determine how efficiently and reliably it can be performed.</w:t>
      </w:r>
    </w:p>
    <w:p w14:paraId="71E8A0AE" w14:textId="77777777" w:rsidR="004303DC" w:rsidRDefault="00000000">
      <w:pPr>
        <w:pStyle w:val="a0"/>
      </w:pPr>
      <w:r>
        <w:t xml:space="preserve">This philosophy is expressed through </w:t>
      </w:r>
      <w:r>
        <w:rPr>
          <w:b/>
          <w:bCs/>
        </w:rPr>
        <w:t>Alpha Compute</w:t>
      </w:r>
      <w:r>
        <w:t xml:space="preserve"> and </w:t>
      </w:r>
      <w:r>
        <w:rPr>
          <w:b/>
          <w:bCs/>
        </w:rPr>
        <w:t>Alpha Core</w:t>
      </w:r>
      <w:r>
        <w:t>.</w:t>
      </w:r>
    </w:p>
    <w:p w14:paraId="04692242" w14:textId="77777777" w:rsidR="004303DC" w:rsidRDefault="00000000">
      <w:pPr>
        <w:pStyle w:val="a0"/>
      </w:pPr>
      <w:r>
        <w:rPr>
          <w:b/>
          <w:bCs/>
        </w:rPr>
        <w:t>Alpha Compute</w:t>
      </w:r>
      <w:r>
        <w:t xml:space="preserve"> is the software-side adoption path. It helps customers analyze, restructure, and evaluate computation before it reaches hardware. Because it is software-oriented, it can often be adopted and tested with lower friction.</w:t>
      </w:r>
    </w:p>
    <w:p w14:paraId="5053F8F2" w14:textId="77777777" w:rsidR="004303DC" w:rsidRDefault="00000000">
      <w:pPr>
        <w:pStyle w:val="a0"/>
      </w:pPr>
      <w:r>
        <w:rPr>
          <w:b/>
          <w:bCs/>
        </w:rPr>
        <w:lastRenderedPageBreak/>
        <w:t>Alpha Core</w:t>
      </w:r>
      <w:r>
        <w:t xml:space="preserve"> is the deeper infrastructure path. It connects reconstructed computation to execution environments such as CPU, GPU, NPU, edge computers, and future AI hardware systems. Because it touches the hardware and runtime layer, it requires deeper technical validation and stronger strategic alignment.</w:t>
      </w:r>
    </w:p>
    <w:p w14:paraId="408233E1" w14:textId="77777777" w:rsidR="004303DC" w:rsidRDefault="00000000">
      <w:pPr>
        <w:pStyle w:val="a0"/>
      </w:pPr>
      <w:r>
        <w:t>Together, Alpha Compute and Alpha Core express one principle:</w:t>
      </w:r>
    </w:p>
    <w:p w14:paraId="5E0D2204" w14:textId="77777777" w:rsidR="004303DC" w:rsidRDefault="00000000">
      <w:pPr>
        <w:pStyle w:val="a8"/>
      </w:pPr>
      <w:r>
        <w:t>Sustainable AI requires better computational structure, not only more computational power.</w:t>
      </w:r>
    </w:p>
    <w:p w14:paraId="38DEE725" w14:textId="77777777" w:rsidR="004303DC" w:rsidRDefault="00000000">
      <w:pPr>
        <w:pStyle w:val="FirstParagraph"/>
      </w:pPr>
      <w:r>
        <w:t>The old model says:</w:t>
      </w:r>
    </w:p>
    <w:p w14:paraId="5A563B4D" w14:textId="77777777" w:rsidR="004303DC" w:rsidRDefault="00000000">
      <w:pPr>
        <w:pStyle w:val="a8"/>
      </w:pPr>
      <w:r>
        <w:t>Scale the hardware to meet the computation.</w:t>
      </w:r>
    </w:p>
    <w:p w14:paraId="392DD00A" w14:textId="77777777" w:rsidR="004303DC" w:rsidRDefault="00000000">
      <w:pPr>
        <w:pStyle w:val="FirstParagraph"/>
      </w:pPr>
      <w:r>
        <w:t>itriX asks a different question:</w:t>
      </w:r>
    </w:p>
    <w:p w14:paraId="2D92EC05" w14:textId="77777777" w:rsidR="004303DC" w:rsidRDefault="00000000">
      <w:pPr>
        <w:pStyle w:val="a8"/>
      </w:pPr>
      <w:r>
        <w:t>Can the computation be reconstructed before the hardware is scaled?</w:t>
      </w:r>
    </w:p>
    <w:p w14:paraId="7875543B" w14:textId="77777777" w:rsidR="004303DC" w:rsidRDefault="00000000">
      <w:pPr>
        <w:pStyle w:val="FirstParagraph"/>
      </w:pPr>
      <w:r>
        <w:t>This is the meaning of the capital X at the end of itriX.</w:t>
      </w:r>
    </w:p>
    <w:p w14:paraId="482D4229" w14:textId="77777777" w:rsidR="004303DC" w:rsidRDefault="00000000">
      <w:pPr>
        <w:pStyle w:val="a0"/>
      </w:pPr>
      <w:r>
        <w:t>It is not decoration. It is a statement about the future of computing. The X represents the space where mathematical insight, computational transformation, and infrastructure execution meet.</w:t>
      </w:r>
    </w:p>
    <w:p w14:paraId="0B4FF9F0" w14:textId="77777777" w:rsidR="004303DC" w:rsidRDefault="00000000">
      <w:pPr>
        <w:pStyle w:val="a0"/>
      </w:pPr>
      <w:r>
        <w:t>itriX transforms how computation is understood, structured, and executed so that the Age of AI can become more sustainable.</w:t>
      </w:r>
      <w:bookmarkEnd w:id="0"/>
    </w:p>
    <w:sectPr w:rsidR="004303DC">
      <w:footnotePr>
        <w:numRestart w:val="eachSect"/>
      </w:footnotePr>
      <w:pgSz w:w="12240" w:h="15840"/>
      <w:pgMar w:top="170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E6C5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61910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DC"/>
    <w:rsid w:val="004303DC"/>
    <w:rsid w:val="00664C23"/>
    <w:rsid w:val="00A437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F7A17"/>
  <w15:docId w15:val="{817E2C8A-11A3-4CEB-B782-1986A46E5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795</Words>
  <Characters>4624</Characters>
  <Application>Microsoft Office Word</Application>
  <DocSecurity>0</DocSecurity>
  <Lines>81</Lines>
  <Paragraphs>46</Paragraphs>
  <ScaleCrop>false</ScaleCrop>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 Park</dc:creator>
  <cp:keywords/>
  <cp:lastModifiedBy>DH Park</cp:lastModifiedBy>
  <cp:revision>2</cp:revision>
  <dcterms:created xsi:type="dcterms:W3CDTF">2026-05-29T00:20:00Z</dcterms:created>
  <dcterms:modified xsi:type="dcterms:W3CDTF">2026-05-29T00:20:00Z</dcterms:modified>
</cp:coreProperties>
</file>