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6BCD" w14:textId="77777777" w:rsidR="00921FFD" w:rsidRPr="00CC69B6" w:rsidRDefault="00000000">
      <w:pPr>
        <w:spacing w:before="1600"/>
        <w:jc w:val="center"/>
        <w:rPr>
          <w:lang w:val="fr-FR"/>
        </w:rPr>
      </w:pPr>
      <w:r w:rsidRPr="00CC69B6">
        <w:rPr>
          <w:b/>
          <w:color w:val="1F4E79"/>
          <w:sz w:val="44"/>
          <w:lang w:val="fr-FR"/>
        </w:rPr>
        <w:t>Quantisation as Compression vs Quantisation as Computation</w:t>
      </w:r>
    </w:p>
    <w:p w14:paraId="7DD46745" w14:textId="77777777" w:rsidR="00921FFD" w:rsidRDefault="00000000">
      <w:pPr>
        <w:jc w:val="center"/>
      </w:pPr>
      <w:r>
        <w:rPr>
          <w:color w:val="404040"/>
          <w:sz w:val="28"/>
        </w:rPr>
        <w:t xml:space="preserve">A Comparative Analysis of </w:t>
      </w:r>
      <w:proofErr w:type="spellStart"/>
      <w:r>
        <w:rPr>
          <w:color w:val="404040"/>
          <w:sz w:val="28"/>
        </w:rPr>
        <w:t>TurboQuant</w:t>
      </w:r>
      <w:proofErr w:type="spellEnd"/>
      <w:r>
        <w:rPr>
          <w:color w:val="404040"/>
          <w:sz w:val="28"/>
        </w:rPr>
        <w:t xml:space="preserve"> and FQNM</w:t>
      </w:r>
    </w:p>
    <w:p w14:paraId="588AAD10" w14:textId="77777777" w:rsidR="00921FFD" w:rsidRDefault="00000000">
      <w:pPr>
        <w:jc w:val="center"/>
        <w:rPr>
          <w:rFonts w:eastAsia="맑은 고딕"/>
          <w:i/>
          <w:sz w:val="22"/>
          <w:lang w:eastAsia="ko-KR"/>
        </w:rPr>
      </w:pPr>
      <w:r>
        <w:rPr>
          <w:i/>
          <w:sz w:val="22"/>
        </w:rPr>
        <w:t>Prepared for iTrix strategy and communication use</w:t>
      </w:r>
    </w:p>
    <w:p w14:paraId="17AB8520" w14:textId="3CBE4EF0" w:rsidR="00CC69B6" w:rsidRPr="00CC69B6" w:rsidRDefault="00CC69B6">
      <w:pPr>
        <w:jc w:val="center"/>
        <w:rPr>
          <w:rFonts w:eastAsia="맑은 고딕" w:hint="eastAsia"/>
          <w:lang w:eastAsia="ko-KR"/>
        </w:rPr>
      </w:pPr>
      <w:r>
        <w:rPr>
          <w:rFonts w:eastAsia="맑은 고딕" w:hint="eastAsia"/>
          <w:i/>
          <w:sz w:val="22"/>
          <w:lang w:eastAsia="ko-KR"/>
        </w:rPr>
        <w:t>Version_1.0</w:t>
      </w:r>
    </w:p>
    <w:p w14:paraId="5B1E2756" w14:textId="77777777" w:rsidR="00921FFD" w:rsidRDefault="00000000">
      <w:pPr>
        <w:jc w:val="center"/>
      </w:pPr>
      <w:r>
        <w:rPr>
          <w:sz w:val="20"/>
        </w:rPr>
        <w:t>May 22, 2026</w:t>
      </w:r>
    </w:p>
    <w:p w14:paraId="2ED7F6FE" w14:textId="77777777" w:rsidR="00921FFD" w:rsidRDefault="00921FFD"/>
    <w:tbl>
      <w:tblPr>
        <w:tblW w:w="0" w:type="auto"/>
        <w:jc w:val="center"/>
        <w:tblLook w:val="04A0" w:firstRow="1" w:lastRow="0" w:firstColumn="1" w:lastColumn="0" w:noHBand="0" w:noVBand="1"/>
      </w:tblPr>
      <w:tblGrid>
        <w:gridCol w:w="9749"/>
      </w:tblGrid>
      <w:tr w:rsidR="00921FFD" w14:paraId="4356845C" w14:textId="77777777">
        <w:trPr>
          <w:jc w:val="center"/>
        </w:trPr>
        <w:tc>
          <w:tcPr>
            <w:tcW w:w="9749" w:type="dxa"/>
            <w:shd w:val="clear" w:color="auto" w:fill="EAF2F8"/>
            <w:vAlign w:val="center"/>
          </w:tcPr>
          <w:p w14:paraId="2E2B4591" w14:textId="77777777" w:rsidR="00921FFD" w:rsidRDefault="00000000">
            <w:pPr>
              <w:spacing w:after="60"/>
            </w:pPr>
            <w:r>
              <w:rPr>
                <w:b/>
                <w:color w:val="1F4E79"/>
                <w:sz w:val="20"/>
              </w:rPr>
              <w:t>Central thesis</w:t>
            </w:r>
          </w:p>
          <w:p w14:paraId="4D18969B" w14:textId="77777777" w:rsidR="00921FFD" w:rsidRDefault="00000000">
            <w:pPr>
              <w:spacing w:after="0"/>
            </w:pPr>
            <w:r>
              <w:rPr>
                <w:sz w:val="20"/>
              </w:rPr>
              <w:t>TurboQuant and FQNM both use quantisation, but they operate at different layers. TurboQuant compresses vectors inside the existing AI stack. FQNM reformulates conservative numerical dynamics so that the computation itself is executed through quantised interaction rules.</w:t>
            </w:r>
          </w:p>
        </w:tc>
      </w:tr>
    </w:tbl>
    <w:p w14:paraId="6920A545" w14:textId="77777777" w:rsidR="00921FFD" w:rsidRDefault="00000000">
      <w:r>
        <w:br w:type="page"/>
      </w:r>
    </w:p>
    <w:p w14:paraId="24713ED4" w14:textId="77777777" w:rsidR="00921FFD" w:rsidRDefault="00000000">
      <w:pPr>
        <w:pStyle w:val="1"/>
      </w:pPr>
      <w:r>
        <w:lastRenderedPageBreak/>
        <w:t>Abstract</w:t>
      </w:r>
    </w:p>
    <w:p w14:paraId="27842109" w14:textId="77777777" w:rsidR="00921FFD" w:rsidRDefault="00000000">
      <w:r>
        <w:t>This paper compares TurboQuant: Online Vector Quantization with Near-optimal Distortion Rate and Continuum dynamics from quantised interaction rules, which introduces the Fast Quantised Numerical Method (FQNM). Both papers use quantisation as a route to computational efficiency, but they address fundamentally different problems. TurboQuant is a vector-compression method for high-dimensional AI infrastructure, especially KV cache quantisation and nearest-neighbor search. FQNM is a structure-preserving numerical framework for conservative dynamics, where integer transfer rules are the primitive computational mechanism and physical fields are reconstructed afterward. The comparison shows that TurboQuant is closer to near-term deployment in existing AI systems, while FQNM is more foundational and potentially relevant to simulation-heavy scientific and industrial workloads. The two approaches should therefore be understood not as direct competitors, but as technologies operating at different layers of the computational stack.</w:t>
      </w:r>
    </w:p>
    <w:p w14:paraId="12F41DD4" w14:textId="77777777" w:rsidR="00921FFD" w:rsidRDefault="00000000">
      <w:pPr>
        <w:pStyle w:val="1"/>
      </w:pPr>
      <w:r>
        <w:t>Executive Summary</w:t>
      </w:r>
    </w:p>
    <w:p w14:paraId="3A291366" w14:textId="77777777" w:rsidR="00921FFD" w:rsidRDefault="00000000">
      <w:pPr>
        <w:pStyle w:val="a0"/>
        <w:spacing w:after="40"/>
      </w:pPr>
      <w:r>
        <w:t>TurboQuant addresses the cost of storing, moving, and comparing high-dimensional vectors. Its commercial value lies in memory reduction, bandwidth savings, and lower latency for existing AI workloads.</w:t>
      </w:r>
    </w:p>
    <w:p w14:paraId="54DA1189" w14:textId="77777777" w:rsidR="00921FFD" w:rsidRDefault="00000000">
      <w:pPr>
        <w:pStyle w:val="a0"/>
        <w:spacing w:after="40"/>
      </w:pPr>
      <w:r>
        <w:t>FQNM addresses the representation and execution of conservative numerical dynamics. Its value proposition is not merely lower bit-width arithmetic, but exact discrete conservation through antisymmetric integer transfer.</w:t>
      </w:r>
    </w:p>
    <w:p w14:paraId="4CDF9AAC" w14:textId="77777777" w:rsidR="00921FFD" w:rsidRDefault="00000000">
      <w:pPr>
        <w:pStyle w:val="a0"/>
        <w:spacing w:after="40"/>
      </w:pPr>
      <w:r>
        <w:t>The overlap is conceptual rather than architectural: both papers show that carefully designed quantisation can preserve essential structure, but the structures being preserved are different.</w:t>
      </w:r>
    </w:p>
    <w:p w14:paraId="393D9386" w14:textId="77777777" w:rsidR="00921FFD" w:rsidRDefault="00000000">
      <w:pPr>
        <w:pStyle w:val="a0"/>
        <w:spacing w:after="40"/>
      </w:pPr>
      <w:r>
        <w:t>TurboQuant preserves vector geometry. FQNM preserves conservative dynamics.</w:t>
      </w:r>
    </w:p>
    <w:p w14:paraId="0A5149C2" w14:textId="77777777" w:rsidR="00921FFD" w:rsidRDefault="00000000">
      <w:pPr>
        <w:pStyle w:val="a0"/>
        <w:spacing w:after="40"/>
      </w:pPr>
      <w:r>
        <w:t>For iTrix, TurboQuant is useful evidence that quantisation is becoming central to AI efficiency, but FQNM should be positioned as a deeper computational-substrate innovation rather than another AI compression method.</w:t>
      </w:r>
    </w:p>
    <w:p w14:paraId="6B87554A" w14:textId="77777777" w:rsidR="00921FFD" w:rsidRDefault="00000000">
      <w:pPr>
        <w:pStyle w:val="1"/>
      </w:pPr>
      <w:r>
        <w:t>Comparison at a Glance</w:t>
      </w:r>
    </w:p>
    <w:tbl>
      <w:tblPr>
        <w:tblStyle w:val="af9"/>
        <w:tblW w:w="0" w:type="auto"/>
        <w:jc w:val="center"/>
        <w:tblLook w:val="04A0" w:firstRow="1" w:lastRow="0" w:firstColumn="1" w:lastColumn="0" w:noHBand="0" w:noVBand="1"/>
      </w:tblPr>
      <w:tblGrid>
        <w:gridCol w:w="3247"/>
        <w:gridCol w:w="3246"/>
        <w:gridCol w:w="3246"/>
      </w:tblGrid>
      <w:tr w:rsidR="00921FFD" w14:paraId="2424C4D3" w14:textId="77777777">
        <w:trPr>
          <w:jc w:val="center"/>
        </w:trPr>
        <w:tc>
          <w:tcPr>
            <w:tcW w:w="3250" w:type="dxa"/>
            <w:shd w:val="clear" w:color="auto" w:fill="1F4E79"/>
          </w:tcPr>
          <w:p w14:paraId="41DFF277" w14:textId="77777777" w:rsidR="00921FFD" w:rsidRDefault="00000000">
            <w:pPr>
              <w:spacing w:after="0"/>
            </w:pPr>
            <w:r>
              <w:rPr>
                <w:b/>
                <w:color w:val="FFFFFF"/>
                <w:sz w:val="17"/>
              </w:rPr>
              <w:t>Dimension</w:t>
            </w:r>
          </w:p>
        </w:tc>
        <w:tc>
          <w:tcPr>
            <w:tcW w:w="3250" w:type="dxa"/>
            <w:shd w:val="clear" w:color="auto" w:fill="1F4E79"/>
          </w:tcPr>
          <w:p w14:paraId="47659F5D" w14:textId="77777777" w:rsidR="00921FFD" w:rsidRDefault="00000000">
            <w:pPr>
              <w:spacing w:after="0"/>
            </w:pPr>
            <w:r>
              <w:rPr>
                <w:b/>
                <w:color w:val="FFFFFF"/>
                <w:sz w:val="17"/>
              </w:rPr>
              <w:t>TurboQuant</w:t>
            </w:r>
          </w:p>
        </w:tc>
        <w:tc>
          <w:tcPr>
            <w:tcW w:w="3250" w:type="dxa"/>
            <w:shd w:val="clear" w:color="auto" w:fill="1F4E79"/>
          </w:tcPr>
          <w:p w14:paraId="209F8E5A" w14:textId="77777777" w:rsidR="00921FFD" w:rsidRDefault="00000000">
            <w:pPr>
              <w:spacing w:after="0"/>
            </w:pPr>
            <w:r>
              <w:rPr>
                <w:b/>
                <w:color w:val="FFFFFF"/>
                <w:sz w:val="17"/>
              </w:rPr>
              <w:t>FQNM</w:t>
            </w:r>
          </w:p>
        </w:tc>
      </w:tr>
      <w:tr w:rsidR="00921FFD" w14:paraId="7246A7FA" w14:textId="77777777">
        <w:trPr>
          <w:jc w:val="center"/>
        </w:trPr>
        <w:tc>
          <w:tcPr>
            <w:tcW w:w="3250" w:type="dxa"/>
            <w:shd w:val="clear" w:color="auto" w:fill="F2F2F2"/>
          </w:tcPr>
          <w:p w14:paraId="319F99FC" w14:textId="77777777" w:rsidR="00921FFD" w:rsidRDefault="00000000">
            <w:pPr>
              <w:spacing w:after="0"/>
            </w:pPr>
            <w:r>
              <w:rPr>
                <w:b/>
                <w:sz w:val="16"/>
              </w:rPr>
              <w:t>Core function</w:t>
            </w:r>
          </w:p>
        </w:tc>
        <w:tc>
          <w:tcPr>
            <w:tcW w:w="3250" w:type="dxa"/>
          </w:tcPr>
          <w:p w14:paraId="52E32F63" w14:textId="77777777" w:rsidR="00921FFD" w:rsidRDefault="00000000">
            <w:pPr>
              <w:spacing w:after="0"/>
            </w:pPr>
            <w:r>
              <w:rPr>
                <w:sz w:val="16"/>
              </w:rPr>
              <w:t>Compress high-dimensional vectors with low distortion.</w:t>
            </w:r>
          </w:p>
        </w:tc>
        <w:tc>
          <w:tcPr>
            <w:tcW w:w="3250" w:type="dxa"/>
          </w:tcPr>
          <w:p w14:paraId="709DD6CF" w14:textId="77777777" w:rsidR="00921FFD" w:rsidRDefault="00000000">
            <w:pPr>
              <w:spacing w:after="0"/>
            </w:pPr>
            <w:r>
              <w:rPr>
                <w:sz w:val="16"/>
              </w:rPr>
              <w:t>Execute conservative dynamics through quantised integer transfer.</w:t>
            </w:r>
          </w:p>
        </w:tc>
      </w:tr>
      <w:tr w:rsidR="00921FFD" w14:paraId="24B717D5" w14:textId="77777777">
        <w:trPr>
          <w:jc w:val="center"/>
        </w:trPr>
        <w:tc>
          <w:tcPr>
            <w:tcW w:w="3250" w:type="dxa"/>
            <w:shd w:val="clear" w:color="auto" w:fill="F2F2F2"/>
          </w:tcPr>
          <w:p w14:paraId="1BA70780" w14:textId="77777777" w:rsidR="00921FFD" w:rsidRDefault="00000000">
            <w:pPr>
              <w:spacing w:after="0"/>
            </w:pPr>
            <w:r>
              <w:rPr>
                <w:b/>
                <w:sz w:val="16"/>
              </w:rPr>
              <w:t>Primary layer</w:t>
            </w:r>
          </w:p>
        </w:tc>
        <w:tc>
          <w:tcPr>
            <w:tcW w:w="3250" w:type="dxa"/>
          </w:tcPr>
          <w:p w14:paraId="71D77FB5" w14:textId="77777777" w:rsidR="00921FFD" w:rsidRDefault="00000000">
            <w:pPr>
              <w:spacing w:after="0"/>
            </w:pPr>
            <w:r>
              <w:rPr>
                <w:sz w:val="16"/>
              </w:rPr>
              <w:t>AI data-representation layer: embeddings, KV cache, vector search.</w:t>
            </w:r>
          </w:p>
        </w:tc>
        <w:tc>
          <w:tcPr>
            <w:tcW w:w="3250" w:type="dxa"/>
          </w:tcPr>
          <w:p w14:paraId="734B2428" w14:textId="77777777" w:rsidR="00921FFD" w:rsidRDefault="00000000">
            <w:pPr>
              <w:spacing w:after="0"/>
            </w:pPr>
            <w:r>
              <w:rPr>
                <w:sz w:val="16"/>
              </w:rPr>
              <w:t>Numerical-operator layer: conservation laws and finite-volume-like dynamics.</w:t>
            </w:r>
          </w:p>
        </w:tc>
      </w:tr>
      <w:tr w:rsidR="00921FFD" w14:paraId="5DD9C37A" w14:textId="77777777">
        <w:trPr>
          <w:jc w:val="center"/>
        </w:trPr>
        <w:tc>
          <w:tcPr>
            <w:tcW w:w="3250" w:type="dxa"/>
            <w:shd w:val="clear" w:color="auto" w:fill="F2F2F2"/>
          </w:tcPr>
          <w:p w14:paraId="1F19FF40" w14:textId="77777777" w:rsidR="00921FFD" w:rsidRDefault="00000000">
            <w:pPr>
              <w:spacing w:after="0"/>
            </w:pPr>
            <w:r>
              <w:rPr>
                <w:b/>
                <w:sz w:val="16"/>
              </w:rPr>
              <w:t>Computational object</w:t>
            </w:r>
          </w:p>
        </w:tc>
        <w:tc>
          <w:tcPr>
            <w:tcW w:w="3250" w:type="dxa"/>
          </w:tcPr>
          <w:p w14:paraId="43620EEB" w14:textId="77777777" w:rsidR="00921FFD" w:rsidRDefault="00000000">
            <w:pPr>
              <w:spacing w:after="0"/>
            </w:pPr>
            <w:r>
              <w:rPr>
                <w:sz w:val="16"/>
              </w:rPr>
              <w:t>Euclidean vectors and inner products.</w:t>
            </w:r>
          </w:p>
        </w:tc>
        <w:tc>
          <w:tcPr>
            <w:tcW w:w="3250" w:type="dxa"/>
          </w:tcPr>
          <w:p w14:paraId="23E330F4" w14:textId="77777777" w:rsidR="00921FFD" w:rsidRDefault="00000000">
            <w:pPr>
              <w:spacing w:after="0"/>
            </w:pPr>
            <w:r>
              <w:rPr>
                <w:sz w:val="16"/>
              </w:rPr>
              <w:t>Integer-valued cell states and antisymmetric flux transfer rules.</w:t>
            </w:r>
          </w:p>
        </w:tc>
      </w:tr>
      <w:tr w:rsidR="00921FFD" w14:paraId="0814E3D6" w14:textId="77777777">
        <w:trPr>
          <w:jc w:val="center"/>
        </w:trPr>
        <w:tc>
          <w:tcPr>
            <w:tcW w:w="3250" w:type="dxa"/>
            <w:shd w:val="clear" w:color="auto" w:fill="F2F2F2"/>
          </w:tcPr>
          <w:p w14:paraId="062CFA10" w14:textId="77777777" w:rsidR="00921FFD" w:rsidRDefault="00000000">
            <w:pPr>
              <w:spacing w:after="0"/>
            </w:pPr>
            <w:r>
              <w:rPr>
                <w:b/>
                <w:sz w:val="16"/>
              </w:rPr>
              <w:t>Main objective</w:t>
            </w:r>
          </w:p>
        </w:tc>
        <w:tc>
          <w:tcPr>
            <w:tcW w:w="3250" w:type="dxa"/>
          </w:tcPr>
          <w:p w14:paraId="0681EA05" w14:textId="77777777" w:rsidR="00921FFD" w:rsidRDefault="00000000">
            <w:pPr>
              <w:spacing w:after="0"/>
            </w:pPr>
            <w:r>
              <w:rPr>
                <w:sz w:val="16"/>
              </w:rPr>
              <w:t>Reduce memory, bandwidth, and latency while preserving vector geometry.</w:t>
            </w:r>
          </w:p>
        </w:tc>
        <w:tc>
          <w:tcPr>
            <w:tcW w:w="3250" w:type="dxa"/>
          </w:tcPr>
          <w:p w14:paraId="40FB69C1" w14:textId="77777777" w:rsidR="00921FFD" w:rsidRDefault="00000000">
            <w:pPr>
              <w:spacing w:after="0"/>
            </w:pPr>
            <w:r>
              <w:rPr>
                <w:sz w:val="16"/>
              </w:rPr>
              <w:t>Preserve conservative structure exactly at the discrete level while reconstructing continuum fields.</w:t>
            </w:r>
          </w:p>
        </w:tc>
      </w:tr>
      <w:tr w:rsidR="00921FFD" w14:paraId="66C05FD8" w14:textId="77777777">
        <w:trPr>
          <w:jc w:val="center"/>
        </w:trPr>
        <w:tc>
          <w:tcPr>
            <w:tcW w:w="3250" w:type="dxa"/>
            <w:shd w:val="clear" w:color="auto" w:fill="F2F2F2"/>
          </w:tcPr>
          <w:p w14:paraId="2475509A" w14:textId="77777777" w:rsidR="00921FFD" w:rsidRDefault="00000000">
            <w:pPr>
              <w:spacing w:after="0"/>
            </w:pPr>
            <w:r>
              <w:rPr>
                <w:b/>
                <w:sz w:val="16"/>
              </w:rPr>
              <w:t>Meaning of quantisation</w:t>
            </w:r>
          </w:p>
        </w:tc>
        <w:tc>
          <w:tcPr>
            <w:tcW w:w="3250" w:type="dxa"/>
          </w:tcPr>
          <w:p w14:paraId="43A1DED7" w14:textId="77777777" w:rsidR="00921FFD" w:rsidRDefault="00000000">
            <w:pPr>
              <w:spacing w:after="0"/>
            </w:pPr>
            <w:r>
              <w:rPr>
                <w:sz w:val="16"/>
              </w:rPr>
              <w:t>Compression of vector coordinates into low-bit representations.</w:t>
            </w:r>
          </w:p>
        </w:tc>
        <w:tc>
          <w:tcPr>
            <w:tcW w:w="3250" w:type="dxa"/>
          </w:tcPr>
          <w:p w14:paraId="33EEAF1B" w14:textId="77777777" w:rsidR="00921FFD" w:rsidRDefault="00000000">
            <w:pPr>
              <w:spacing w:after="0"/>
            </w:pPr>
            <w:r>
              <w:rPr>
                <w:sz w:val="16"/>
              </w:rPr>
              <w:t>Primitive computational substrate for evolving dynamics.</w:t>
            </w:r>
          </w:p>
        </w:tc>
      </w:tr>
      <w:tr w:rsidR="00921FFD" w14:paraId="59D0E0D3" w14:textId="77777777">
        <w:trPr>
          <w:jc w:val="center"/>
        </w:trPr>
        <w:tc>
          <w:tcPr>
            <w:tcW w:w="3250" w:type="dxa"/>
            <w:shd w:val="clear" w:color="auto" w:fill="F2F2F2"/>
          </w:tcPr>
          <w:p w14:paraId="7D29D4C8" w14:textId="77777777" w:rsidR="00921FFD" w:rsidRDefault="00000000">
            <w:pPr>
              <w:spacing w:after="0"/>
            </w:pPr>
            <w:r>
              <w:rPr>
                <w:b/>
                <w:sz w:val="16"/>
              </w:rPr>
              <w:t>Representative method</w:t>
            </w:r>
          </w:p>
        </w:tc>
        <w:tc>
          <w:tcPr>
            <w:tcW w:w="3250" w:type="dxa"/>
          </w:tcPr>
          <w:p w14:paraId="48D4EB66" w14:textId="77777777" w:rsidR="00921FFD" w:rsidRDefault="00000000">
            <w:pPr>
              <w:spacing w:after="0"/>
            </w:pPr>
            <w:r>
              <w:rPr>
                <w:sz w:val="16"/>
              </w:rPr>
              <w:t>Random rotation, scalar Lloyd-Max quantizers, and QJL residual correction.</w:t>
            </w:r>
          </w:p>
        </w:tc>
        <w:tc>
          <w:tcPr>
            <w:tcW w:w="3250" w:type="dxa"/>
          </w:tcPr>
          <w:p w14:paraId="2B5793E1" w14:textId="77777777" w:rsidR="00921FFD" w:rsidRDefault="00000000">
            <w:pPr>
              <w:spacing w:after="0"/>
            </w:pPr>
            <w:r>
              <w:rPr>
                <w:sz w:val="16"/>
              </w:rPr>
              <w:t>Integer flux tables, count-exact transfer, and reconstruction to physical observables.</w:t>
            </w:r>
          </w:p>
        </w:tc>
      </w:tr>
      <w:tr w:rsidR="00921FFD" w14:paraId="0F481BA2" w14:textId="77777777">
        <w:trPr>
          <w:jc w:val="center"/>
        </w:trPr>
        <w:tc>
          <w:tcPr>
            <w:tcW w:w="3250" w:type="dxa"/>
            <w:shd w:val="clear" w:color="auto" w:fill="F2F2F2"/>
          </w:tcPr>
          <w:p w14:paraId="3D4DE06F" w14:textId="77777777" w:rsidR="00921FFD" w:rsidRDefault="00000000">
            <w:pPr>
              <w:spacing w:after="0"/>
            </w:pPr>
            <w:r>
              <w:rPr>
                <w:b/>
                <w:sz w:val="16"/>
              </w:rPr>
              <w:t>Main guarantee</w:t>
            </w:r>
          </w:p>
        </w:tc>
        <w:tc>
          <w:tcPr>
            <w:tcW w:w="3250" w:type="dxa"/>
          </w:tcPr>
          <w:p w14:paraId="6FA7DDBC" w14:textId="77777777" w:rsidR="00921FFD" w:rsidRDefault="00000000">
            <w:pPr>
              <w:spacing w:after="0"/>
            </w:pPr>
            <w:r>
              <w:rPr>
                <w:sz w:val="16"/>
              </w:rPr>
              <w:t>Near-optimal distortion rate for MSE and unbiased inner-product estimation.</w:t>
            </w:r>
          </w:p>
        </w:tc>
        <w:tc>
          <w:tcPr>
            <w:tcW w:w="3250" w:type="dxa"/>
          </w:tcPr>
          <w:p w14:paraId="15F26637" w14:textId="77777777" w:rsidR="00921FFD" w:rsidRDefault="00000000">
            <w:pPr>
              <w:spacing w:after="0"/>
            </w:pPr>
            <w:r>
              <w:rPr>
                <w:sz w:val="16"/>
              </w:rPr>
              <w:t>Exact discrete conservation, consistency, stability, and convergence under stated assumptions.</w:t>
            </w:r>
          </w:p>
        </w:tc>
      </w:tr>
      <w:tr w:rsidR="00921FFD" w14:paraId="6F4042F5" w14:textId="77777777">
        <w:trPr>
          <w:jc w:val="center"/>
        </w:trPr>
        <w:tc>
          <w:tcPr>
            <w:tcW w:w="3250" w:type="dxa"/>
            <w:shd w:val="clear" w:color="auto" w:fill="F2F2F2"/>
          </w:tcPr>
          <w:p w14:paraId="5C58CC8C" w14:textId="77777777" w:rsidR="00921FFD" w:rsidRDefault="00000000">
            <w:pPr>
              <w:spacing w:after="0"/>
            </w:pPr>
            <w:r>
              <w:rPr>
                <w:b/>
                <w:sz w:val="16"/>
              </w:rPr>
              <w:t>Evidence in paper</w:t>
            </w:r>
          </w:p>
        </w:tc>
        <w:tc>
          <w:tcPr>
            <w:tcW w:w="3250" w:type="dxa"/>
          </w:tcPr>
          <w:p w14:paraId="55AC07A0" w14:textId="77777777" w:rsidR="00921FFD" w:rsidRDefault="00000000">
            <w:pPr>
              <w:spacing w:after="0"/>
            </w:pPr>
            <w:r>
              <w:rPr>
                <w:sz w:val="16"/>
              </w:rPr>
              <w:t>KV cache results, LongBench-style long-context tasks, and nearest-neighbor search.</w:t>
            </w:r>
          </w:p>
        </w:tc>
        <w:tc>
          <w:tcPr>
            <w:tcW w:w="3250" w:type="dxa"/>
          </w:tcPr>
          <w:p w14:paraId="43AD6D20" w14:textId="77777777" w:rsidR="00921FFD" w:rsidRDefault="00000000">
            <w:pPr>
              <w:spacing w:after="0"/>
            </w:pPr>
            <w:r>
              <w:rPr>
                <w:sz w:val="16"/>
              </w:rPr>
              <w:t>High-frequency transport and inviscid Burgers shock formation benchmarks.</w:t>
            </w:r>
          </w:p>
        </w:tc>
      </w:tr>
      <w:tr w:rsidR="00921FFD" w14:paraId="69887CC5" w14:textId="77777777">
        <w:trPr>
          <w:jc w:val="center"/>
        </w:trPr>
        <w:tc>
          <w:tcPr>
            <w:tcW w:w="3250" w:type="dxa"/>
            <w:shd w:val="clear" w:color="auto" w:fill="F2F2F2"/>
          </w:tcPr>
          <w:p w14:paraId="0F55A525" w14:textId="77777777" w:rsidR="00921FFD" w:rsidRDefault="00000000">
            <w:pPr>
              <w:spacing w:after="0"/>
            </w:pPr>
            <w:r>
              <w:rPr>
                <w:b/>
                <w:sz w:val="16"/>
              </w:rPr>
              <w:t>Commercial maturity</w:t>
            </w:r>
          </w:p>
        </w:tc>
        <w:tc>
          <w:tcPr>
            <w:tcW w:w="3250" w:type="dxa"/>
          </w:tcPr>
          <w:p w14:paraId="63AD44E5" w14:textId="77777777" w:rsidR="00921FFD" w:rsidRDefault="00000000">
            <w:pPr>
              <w:spacing w:after="0"/>
            </w:pPr>
            <w:r>
              <w:rPr>
                <w:sz w:val="16"/>
              </w:rPr>
              <w:t>Closer to near-term deployment inside existing AI infrastructure.</w:t>
            </w:r>
          </w:p>
        </w:tc>
        <w:tc>
          <w:tcPr>
            <w:tcW w:w="3250" w:type="dxa"/>
          </w:tcPr>
          <w:p w14:paraId="0938F7D6" w14:textId="77777777" w:rsidR="00921FFD" w:rsidRDefault="00000000">
            <w:pPr>
              <w:spacing w:after="0"/>
            </w:pPr>
            <w:r>
              <w:rPr>
                <w:sz w:val="16"/>
              </w:rPr>
              <w:t>More foundational; requires domain-specific PoCs and broader validation.</w:t>
            </w:r>
          </w:p>
        </w:tc>
      </w:tr>
      <w:tr w:rsidR="00921FFD" w14:paraId="6674D171" w14:textId="77777777">
        <w:trPr>
          <w:jc w:val="center"/>
        </w:trPr>
        <w:tc>
          <w:tcPr>
            <w:tcW w:w="3250" w:type="dxa"/>
            <w:shd w:val="clear" w:color="auto" w:fill="F2F2F2"/>
          </w:tcPr>
          <w:p w14:paraId="34277BF7" w14:textId="77777777" w:rsidR="00921FFD" w:rsidRDefault="00000000">
            <w:pPr>
              <w:spacing w:after="0"/>
            </w:pPr>
            <w:r>
              <w:rPr>
                <w:b/>
                <w:sz w:val="16"/>
              </w:rPr>
              <w:t>Strategic interpretation</w:t>
            </w:r>
          </w:p>
        </w:tc>
        <w:tc>
          <w:tcPr>
            <w:tcW w:w="3250" w:type="dxa"/>
          </w:tcPr>
          <w:p w14:paraId="69CB89DF" w14:textId="77777777" w:rsidR="00921FFD" w:rsidRDefault="00000000">
            <w:pPr>
              <w:spacing w:after="0"/>
            </w:pPr>
            <w:r>
              <w:rPr>
                <w:sz w:val="16"/>
              </w:rPr>
              <w:t>Improves the current AI stack.</w:t>
            </w:r>
          </w:p>
        </w:tc>
        <w:tc>
          <w:tcPr>
            <w:tcW w:w="3250" w:type="dxa"/>
          </w:tcPr>
          <w:p w14:paraId="4075135E" w14:textId="77777777" w:rsidR="00921FFD" w:rsidRDefault="00000000">
            <w:pPr>
              <w:spacing w:after="0"/>
            </w:pPr>
            <w:r>
              <w:rPr>
                <w:sz w:val="16"/>
              </w:rPr>
              <w:t>Proposes a different execution foundation for selected numerical workloads.</w:t>
            </w:r>
          </w:p>
        </w:tc>
      </w:tr>
    </w:tbl>
    <w:p w14:paraId="2A93C327" w14:textId="77777777" w:rsidR="00921FFD" w:rsidRDefault="00000000">
      <w:r>
        <w:br w:type="page"/>
      </w:r>
    </w:p>
    <w:p w14:paraId="01B2869D" w14:textId="77777777" w:rsidR="00921FFD" w:rsidRDefault="00000000">
      <w:pPr>
        <w:pStyle w:val="1"/>
      </w:pPr>
      <w:r>
        <w:lastRenderedPageBreak/>
        <w:t>1. Introduction</w:t>
      </w:r>
    </w:p>
    <w:p w14:paraId="38E2E78A" w14:textId="77777777" w:rsidR="00921FFD" w:rsidRDefault="00000000">
      <w:r>
        <w:t>The rapid growth of AI and scientific computing has placed increasing pressure on the energy, memory, and bandwidth limits of digital infrastructure. One response has been to reduce precision: represent more information with fewer bits while trying to preserve the properties that matter for the target workload. TurboQuant and FQNM both belong to this broader movement, but they take it in very different directions.</w:t>
      </w:r>
    </w:p>
    <w:p w14:paraId="73D95CF1" w14:textId="77777777" w:rsidR="00921FFD" w:rsidRDefault="00000000">
      <w:r>
        <w:t>TurboQuant remains within the current AI infrastructure paradigm. It improves how high-dimensional vectors are represented and compared. FQNM, by contrast, changes the computational object for a class of numerical problems. Instead of treating quantisation as a post-processing compression technique, FQNM treats quantised interaction as the way the dynamics are executed.</w:t>
      </w:r>
    </w:p>
    <w:p w14:paraId="74CF8927" w14:textId="77777777" w:rsidR="00921FFD" w:rsidRDefault="00000000">
      <w:r>
        <w:t>This distinction is commercially important. If TurboQuant is described as an efficient representation layer for existing AI systems, FQNM should be described as an alternative numerical substrate for selected conservative workloads. Using the same word, quantisation, for both can create confusion unless the difference in layer, target problem, and guarantee is made explicit.</w:t>
      </w:r>
    </w:p>
    <w:p w14:paraId="58CD83E5" w14:textId="77777777" w:rsidR="00921FFD" w:rsidRDefault="00000000">
      <w:pPr>
        <w:pStyle w:val="1"/>
      </w:pPr>
      <w:r>
        <w:t>2. Scope of Comparison</w:t>
      </w:r>
    </w:p>
    <w:p w14:paraId="5F49C33A" w14:textId="77777777" w:rsidR="00921FFD" w:rsidRDefault="00000000">
      <w:r>
        <w:t>This paper compares the two articles along seven dimensions: problem definition, computational object, mathematical mechanism, guarantees, empirical evidence, commercial readiness, and strategic relevance. The goal is not to declare one method universally superior. The goal is to identify what each article actually claims, where the claims overlap, and where the technologies diverge.</w:t>
      </w:r>
    </w:p>
    <w:tbl>
      <w:tblPr>
        <w:tblW w:w="0" w:type="auto"/>
        <w:jc w:val="center"/>
        <w:tblLook w:val="04A0" w:firstRow="1" w:lastRow="0" w:firstColumn="1" w:lastColumn="0" w:noHBand="0" w:noVBand="1"/>
      </w:tblPr>
      <w:tblGrid>
        <w:gridCol w:w="9749"/>
      </w:tblGrid>
      <w:tr w:rsidR="00921FFD" w14:paraId="53914900" w14:textId="77777777">
        <w:trPr>
          <w:jc w:val="center"/>
        </w:trPr>
        <w:tc>
          <w:tcPr>
            <w:tcW w:w="9749" w:type="dxa"/>
            <w:shd w:val="clear" w:color="auto" w:fill="F7F3E8"/>
            <w:vAlign w:val="center"/>
          </w:tcPr>
          <w:p w14:paraId="2BD37C83" w14:textId="77777777" w:rsidR="00921FFD" w:rsidRDefault="00000000">
            <w:pPr>
              <w:spacing w:after="60"/>
            </w:pPr>
            <w:r>
              <w:rPr>
                <w:b/>
                <w:color w:val="1F4E79"/>
                <w:sz w:val="20"/>
              </w:rPr>
              <w:t>Important framing point</w:t>
            </w:r>
          </w:p>
          <w:p w14:paraId="6B5C6B67" w14:textId="77777777" w:rsidR="00921FFD" w:rsidRDefault="00000000">
            <w:pPr>
              <w:spacing w:after="0"/>
            </w:pPr>
            <w:r>
              <w:rPr>
                <w:sz w:val="20"/>
              </w:rPr>
              <w:t>TurboQuant asks how to compress vectors while preserving geometry. FQNM asks whether conservative dynamics can be executed directly through integer interaction rules. These are different questions.</w:t>
            </w:r>
          </w:p>
        </w:tc>
      </w:tr>
    </w:tbl>
    <w:p w14:paraId="07AA6523" w14:textId="77777777" w:rsidR="00921FFD" w:rsidRDefault="00000000">
      <w:pPr>
        <w:pStyle w:val="1"/>
      </w:pPr>
      <w:r>
        <w:t>3. TurboQuant: Quantisation as Vector Compression</w:t>
      </w:r>
    </w:p>
    <w:p w14:paraId="2EF6A4EA" w14:textId="77777777" w:rsidR="00921FFD" w:rsidRDefault="00000000">
      <w:pPr>
        <w:pStyle w:val="21"/>
      </w:pPr>
      <w:r>
        <w:t>3.1 Problem addressed</w:t>
      </w:r>
    </w:p>
    <w:p w14:paraId="47217D7F" w14:textId="77777777" w:rsidR="00921FFD" w:rsidRDefault="00000000">
      <w:r>
        <w:t>TurboQuant starts from a practical bottleneck in modern AI systems: high-dimensional vectors are expensive to store, move, and compare. This cost appears in model serving, KV caches for decoder-only transformers, retrieval systems, vector databases, and nearest-neighbor search. The paper focuses on preserving vector geometry under compression, especially mean-squared error and inner-product distortion.</w:t>
      </w:r>
    </w:p>
    <w:p w14:paraId="6AD85ED4" w14:textId="77777777" w:rsidR="00921FFD" w:rsidRDefault="00000000">
      <w:pPr>
        <w:pStyle w:val="21"/>
      </w:pPr>
      <w:r>
        <w:t>3.2 Core method</w:t>
      </w:r>
    </w:p>
    <w:p w14:paraId="09BAE839" w14:textId="77777777" w:rsidR="00921FFD" w:rsidRDefault="00000000">
      <w:r>
        <w:t>The paper proposes two related algorithms. TurboQuantmse targets low reconstruction error. It randomly rotates input vectors, uses the resulting coordinate distribution, and applies scalar Lloyd-Max quantizers. TurboQuantprod targets inner-product estimation. Because MSE-optimized quantisation can bias inner products, the paper adds a one-bit Quantized Johnson-Lindenstrauss correction on the residual, producing an unbiased inner-product estimator.</w:t>
      </w:r>
    </w:p>
    <w:p w14:paraId="626B9A43" w14:textId="77777777" w:rsidR="00921FFD" w:rsidRDefault="00000000">
      <w:pPr>
        <w:pStyle w:val="21"/>
      </w:pPr>
      <w:r>
        <w:t>3.3 Evidence and claims</w:t>
      </w:r>
    </w:p>
    <w:p w14:paraId="5509E816" w14:textId="77777777" w:rsidR="00921FFD" w:rsidRDefault="00000000">
      <w:r>
        <w:t>The strongest claims are both theoretical and practical. Theoretically, the paper argues that TurboQuant approaches information-theoretic lower bounds on vector-quantization distortion within a small constant factor. Empirically, it reports quality neutrality for KV cache quantisation at 3.5 bits per channel, marginal degradation at 2.5 bits per channel, and strong nearest-neighbor search behavior with greatly reduced indexing overhead.</w:t>
      </w:r>
    </w:p>
    <w:p w14:paraId="78197579" w14:textId="77777777" w:rsidR="00921FFD" w:rsidRDefault="00000000">
      <w:pPr>
        <w:pStyle w:val="21"/>
      </w:pPr>
      <w:r>
        <w:t>3.4 Commercial meaning</w:t>
      </w:r>
    </w:p>
    <w:p w14:paraId="03BC88DD" w14:textId="77777777" w:rsidR="00921FFD" w:rsidRDefault="00000000">
      <w:r>
        <w:t xml:space="preserve">Commercially, TurboQuant is a near-term AI infrastructure technology. It is designed for compatibility with existing accelerator workflows and targets bottlenecks that operators already understand: memory footprint, HBM-SRAM movement, inference latency, and vector-search throughput. Its adoption path is </w:t>
      </w:r>
      <w:r>
        <w:lastRenderedPageBreak/>
        <w:t>therefore relatively clear: integrate it into model-serving stacks, KV-cache management, and vector-retrieval pipelines.</w:t>
      </w:r>
    </w:p>
    <w:p w14:paraId="72DB3AF5" w14:textId="77777777" w:rsidR="00921FFD" w:rsidRDefault="00000000">
      <w:pPr>
        <w:pStyle w:val="1"/>
      </w:pPr>
      <w:r>
        <w:t>4. FQNM: Quantisation as Numerical Computation</w:t>
      </w:r>
    </w:p>
    <w:p w14:paraId="5F71BD71" w14:textId="77777777" w:rsidR="00921FFD" w:rsidRDefault="00000000">
      <w:pPr>
        <w:pStyle w:val="21"/>
      </w:pPr>
      <w:r>
        <w:t>4.1 Problem addressed</w:t>
      </w:r>
    </w:p>
    <w:p w14:paraId="297D7C62" w14:textId="77777777" w:rsidR="00921FFD" w:rsidRDefault="00000000">
      <w:r>
        <w:t>FQNM starts from a different problem. Conservative dynamics, such as scalar conservation laws, are usually computed as floating-point approximations to continuum differential operators. Although classical finite-volume and high-order methods are powerful, the FQNM paper argues that floating-point arithmetic can obscure conservation through rounding drift, precision-dependent dissipation, and implementation-level artefacts.</w:t>
      </w:r>
    </w:p>
    <w:p w14:paraId="4E197765" w14:textId="77777777" w:rsidR="00921FFD" w:rsidRDefault="00000000">
      <w:pPr>
        <w:pStyle w:val="21"/>
      </w:pPr>
      <w:r>
        <w:t>4.2 Core method</w:t>
      </w:r>
    </w:p>
    <w:p w14:paraId="42063595" w14:textId="77777777" w:rsidR="00921FFD" w:rsidRDefault="00000000">
      <w:r>
        <w:t>FQNM reverses the usual viewpoint. Instead of beginning with continuous fields and then discretising them, it begins with integer-valued quantised states on a grid. The evolution proceeds through antisymmetric integer transfer: what leaves one cell enters another. The physical field is reconstructed after the integer-state evolution. Conservation is therefore not imposed as an external correction; it is built into the update rule.</w:t>
      </w:r>
    </w:p>
    <w:p w14:paraId="03427172" w14:textId="77777777" w:rsidR="00921FFD" w:rsidRDefault="00000000">
      <w:pPr>
        <w:pStyle w:val="21"/>
      </w:pPr>
      <w:r>
        <w:t>4.3 Evidence and claims</w:t>
      </w:r>
    </w:p>
    <w:p w14:paraId="2706CD80" w14:textId="77777777" w:rsidR="00921FFD" w:rsidRDefault="00000000">
      <w:r>
        <w:t>The FQNM paper establishes exact discrete conservation by construction and develops consistency, stability, and convergence results under stated assumptions for scalar conservation laws with monotone splitting. Its experiments focus on high-frequency transport and inviscid Burgers shock formation. The reported results emphasize accuracy near the Nyquist regime, robustness around shock formation, and preservation of grid-level structure.</w:t>
      </w:r>
    </w:p>
    <w:p w14:paraId="4B066BFD" w14:textId="77777777" w:rsidR="00921FFD" w:rsidRDefault="00000000">
      <w:pPr>
        <w:pStyle w:val="21"/>
      </w:pPr>
      <w:r>
        <w:t>4.4 Commercial meaning</w:t>
      </w:r>
    </w:p>
    <w:p w14:paraId="50699423" w14:textId="77777777" w:rsidR="00921FFD" w:rsidRDefault="00000000">
      <w:r>
        <w:t>Commercially, FQNM is more foundational than TurboQuant. It is not merely a lower-bit substitute for floating-point arithmetic. Its more ambitious claim is that certain numerical dynamics may be executed through quantised interaction rules rather than through real-valued approximations of continuum operators. The most relevant future markets are therefore simulation-heavy domains: computational fluid dynamics, transport, wave propagation, energy systems, semiconductor simulation, plasma, weather-related kernels, and other conservation-heavy workloads.</w:t>
      </w:r>
    </w:p>
    <w:p w14:paraId="7D64EAA3" w14:textId="77777777" w:rsidR="00921FFD" w:rsidRDefault="00000000">
      <w:pPr>
        <w:pStyle w:val="1"/>
      </w:pPr>
      <w:r>
        <w:t>5. The Central Technical Difference</w:t>
      </w:r>
    </w:p>
    <w:p w14:paraId="238A6CF2" w14:textId="77777777" w:rsidR="00921FFD" w:rsidRDefault="00000000">
      <w:r>
        <w:t>The essential distinction is simple but decisive: TurboQuant quantises data representations, while FQNM quantises the computational rule. TurboQuant compresses vectors so that existing AI computation becomes cheaper. FQNM proposes that, for certain conservative systems, the dynamics themselves can be represented and executed as integer transfers.</w:t>
      </w:r>
    </w:p>
    <w:tbl>
      <w:tblPr>
        <w:tblW w:w="0" w:type="auto"/>
        <w:jc w:val="center"/>
        <w:tblLook w:val="04A0" w:firstRow="1" w:lastRow="0" w:firstColumn="1" w:lastColumn="0" w:noHBand="0" w:noVBand="1"/>
      </w:tblPr>
      <w:tblGrid>
        <w:gridCol w:w="9749"/>
      </w:tblGrid>
      <w:tr w:rsidR="00921FFD" w14:paraId="77D47DC7" w14:textId="77777777">
        <w:trPr>
          <w:jc w:val="center"/>
        </w:trPr>
        <w:tc>
          <w:tcPr>
            <w:tcW w:w="9749" w:type="dxa"/>
            <w:shd w:val="clear" w:color="auto" w:fill="EAF2F8"/>
            <w:vAlign w:val="center"/>
          </w:tcPr>
          <w:p w14:paraId="108251F7" w14:textId="77777777" w:rsidR="00921FFD" w:rsidRDefault="00000000">
            <w:pPr>
              <w:spacing w:after="60"/>
            </w:pPr>
            <w:r>
              <w:rPr>
                <w:b/>
                <w:color w:val="1F4E79"/>
                <w:sz w:val="20"/>
              </w:rPr>
              <w:t>Plain-language distinction</w:t>
            </w:r>
          </w:p>
          <w:p w14:paraId="728F203B" w14:textId="77777777" w:rsidR="00921FFD" w:rsidRDefault="00000000">
            <w:pPr>
              <w:spacing w:after="0"/>
            </w:pPr>
            <w:r>
              <w:rPr>
                <w:sz w:val="20"/>
              </w:rPr>
              <w:t>TurboQuant makes the current AI machine lighter. FQNM asks whether part of the numerical machine should be rebuilt around a different primitive operation.</w:t>
            </w:r>
          </w:p>
        </w:tc>
      </w:tr>
    </w:tbl>
    <w:p w14:paraId="2DEA2F5C" w14:textId="77777777" w:rsidR="00921FFD" w:rsidRDefault="00000000">
      <w:r>
        <w:t>This difference affects every other aspect of the comparison. TurboQuant measures success by reconstruction error, inner-product bias, retrieval quality, model quality, and serving efficiency. FQNM measures success by exact discrete conservation, consistency with continuum dynamics, stability, convergence, and behavior on conservation-law stress tests.</w:t>
      </w:r>
    </w:p>
    <w:p w14:paraId="0C279DD6" w14:textId="77777777" w:rsidR="00921FFD" w:rsidRDefault="00000000">
      <w:pPr>
        <w:pStyle w:val="1"/>
      </w:pPr>
      <w:r>
        <w:t>6. Strategic Implications for iTrix</w:t>
      </w:r>
    </w:p>
    <w:p w14:paraId="66DEE42B" w14:textId="77777777" w:rsidR="00921FFD" w:rsidRDefault="00000000">
      <w:r>
        <w:t>For iTrix, the safest and strongest positioning is not to present FQNM as a direct replacement for TurboQuant. TurboQuant belongs to the family of AI efficiency tools that optimize the current stack. FQNM belongs to a deeper family of numerical-substrate technologies that challenge how certain classes of computation are represented and executed.</w:t>
      </w:r>
    </w:p>
    <w:p w14:paraId="0FE44620" w14:textId="77777777" w:rsidR="00921FFD" w:rsidRDefault="00000000">
      <w:r>
        <w:lastRenderedPageBreak/>
        <w:t>This distinction can be turned into a clear strategic narrative. TurboQuant confirms that the industry is moving beyond brute-force scaling and is actively seeking structure-preserving lower-bit representations. FQNM extends that logic from data representation to operator execution. The message is not that all quantisation is the same, but that the frontier of efficiency is moving downward in the stack - from model weights and vectors toward the mathematical primitives of computation.</w:t>
      </w:r>
    </w:p>
    <w:p w14:paraId="436300CF" w14:textId="77777777" w:rsidR="00921FFD" w:rsidRDefault="00000000">
      <w:r>
        <w:t>A commercially disciplined iTrix statement would be: TurboQuant demonstrates the importance of quantisation for AI infrastructure, especially where vector memory and bandwidth dominate. FQNM addresses a different and deeper layer: the execution of conservative numerical dynamics through quantised interaction rules. It should be validated through customer-specific proof-of-concept projects in simulation-heavy domains where conservation, robustness, and energy efficiency are economically meaningful.</w:t>
      </w:r>
    </w:p>
    <w:p w14:paraId="4822CE1B" w14:textId="77777777" w:rsidR="00921FFD" w:rsidRDefault="00000000">
      <w:pPr>
        <w:pStyle w:val="1"/>
      </w:pPr>
      <w:r>
        <w:t>7. Limitations and Validation Requirements</w:t>
      </w:r>
    </w:p>
    <w:p w14:paraId="7A49B187" w14:textId="77777777" w:rsidR="00921FFD" w:rsidRDefault="00000000">
      <w:pPr>
        <w:pStyle w:val="21"/>
      </w:pPr>
      <w:r>
        <w:t>7.1 TurboQuant limitations</w:t>
      </w:r>
    </w:p>
    <w:p w14:paraId="782C926F" w14:textId="77777777" w:rsidR="00921FFD" w:rsidRDefault="00000000">
      <w:pPr>
        <w:pStyle w:val="a0"/>
        <w:spacing w:after="40"/>
      </w:pPr>
      <w:r>
        <w:t>Its primary value is tied to workloads where high-dimensional vector storage, movement, or comparison is the bottleneck.</w:t>
      </w:r>
    </w:p>
    <w:p w14:paraId="60FA990B" w14:textId="77777777" w:rsidR="00921FFD" w:rsidRDefault="00000000">
      <w:pPr>
        <w:pStyle w:val="a0"/>
        <w:spacing w:after="40"/>
      </w:pPr>
      <w:r>
        <w:t>Production results will depend on model family, context length, hardware kernel implementation, serving stack, and acceptable quality thresholds.</w:t>
      </w:r>
    </w:p>
    <w:p w14:paraId="08CE2A6B" w14:textId="77777777" w:rsidR="00921FFD" w:rsidRDefault="00000000">
      <w:pPr>
        <w:pStyle w:val="a0"/>
        <w:spacing w:after="40"/>
      </w:pPr>
      <w:r>
        <w:t>It does not by itself reformulate numerical simulation or conservative PDE computation.</w:t>
      </w:r>
    </w:p>
    <w:p w14:paraId="683E022B" w14:textId="77777777" w:rsidR="00921FFD" w:rsidRDefault="00000000">
      <w:pPr>
        <w:pStyle w:val="21"/>
      </w:pPr>
      <w:r>
        <w:t>7.2 FQNM limitations</w:t>
      </w:r>
    </w:p>
    <w:p w14:paraId="2DE60769" w14:textId="77777777" w:rsidR="00921FFD" w:rsidRDefault="00000000">
      <w:pPr>
        <w:pStyle w:val="a0"/>
        <w:spacing w:after="40"/>
      </w:pPr>
      <w:r>
        <w:t>The article focuses on scalar conservation laws and selected one-dimensional benchmark regimes, even though it discusses formal extensions.</w:t>
      </w:r>
    </w:p>
    <w:p w14:paraId="6CB70E2D" w14:textId="77777777" w:rsidR="00921FFD" w:rsidRDefault="00000000">
      <w:pPr>
        <w:pStyle w:val="a0"/>
        <w:spacing w:after="40"/>
      </w:pPr>
      <w:r>
        <w:t>Industrial adoption will require broader validation on multidimensional, heterogeneous, stiff, turbulent, or coupled systems.</w:t>
      </w:r>
    </w:p>
    <w:p w14:paraId="45A7B5AE" w14:textId="77777777" w:rsidR="00921FFD" w:rsidRDefault="00000000">
      <w:pPr>
        <w:pStyle w:val="a0"/>
        <w:spacing w:after="40"/>
      </w:pPr>
      <w:r>
        <w:t>The commercial case must be built through measured gains in real workloads, not only through theoretical structural advantages.</w:t>
      </w:r>
    </w:p>
    <w:tbl>
      <w:tblPr>
        <w:tblW w:w="0" w:type="auto"/>
        <w:jc w:val="center"/>
        <w:tblLook w:val="04A0" w:firstRow="1" w:lastRow="0" w:firstColumn="1" w:lastColumn="0" w:noHBand="0" w:noVBand="1"/>
      </w:tblPr>
      <w:tblGrid>
        <w:gridCol w:w="9749"/>
      </w:tblGrid>
      <w:tr w:rsidR="00921FFD" w14:paraId="3C2EE0B5" w14:textId="77777777">
        <w:trPr>
          <w:jc w:val="center"/>
        </w:trPr>
        <w:tc>
          <w:tcPr>
            <w:tcW w:w="9749" w:type="dxa"/>
            <w:shd w:val="clear" w:color="auto" w:fill="FCE4D6"/>
            <w:vAlign w:val="center"/>
          </w:tcPr>
          <w:p w14:paraId="4DF1AC40" w14:textId="77777777" w:rsidR="00921FFD" w:rsidRDefault="00000000">
            <w:pPr>
              <w:spacing w:after="60"/>
            </w:pPr>
            <w:r>
              <w:rPr>
                <w:b/>
                <w:color w:val="1F4E79"/>
                <w:sz w:val="20"/>
              </w:rPr>
              <w:t>Recommended caution</w:t>
            </w:r>
          </w:p>
          <w:p w14:paraId="4B69FD7F" w14:textId="77777777" w:rsidR="00921FFD" w:rsidRDefault="00000000">
            <w:pPr>
              <w:spacing w:after="0"/>
            </w:pPr>
            <w:r>
              <w:rPr>
                <w:sz w:val="20"/>
              </w:rPr>
              <w:t>Do not claim that FQNM has already proven universal superiority over floating-point numerical methods. The stronger and more credible claim is that FQNM introduces a structurally different computation model with exact discrete conservation and promising early benchmark behavior.</w:t>
            </w:r>
          </w:p>
        </w:tc>
      </w:tr>
    </w:tbl>
    <w:p w14:paraId="6D6F44FC" w14:textId="77777777" w:rsidR="00921FFD" w:rsidRDefault="00000000">
      <w:pPr>
        <w:pStyle w:val="1"/>
      </w:pPr>
      <w:r>
        <w:t>8. Recommended Positioning</w:t>
      </w:r>
    </w:p>
    <w:p w14:paraId="60B67174" w14:textId="77777777" w:rsidR="00921FFD" w:rsidRDefault="00000000">
      <w:r>
        <w:t>A strong external-facing comparison can be built around the following points:</w:t>
      </w:r>
    </w:p>
    <w:p w14:paraId="522B5D5C" w14:textId="77777777" w:rsidR="00921FFD" w:rsidRDefault="00000000">
      <w:pPr>
        <w:pStyle w:val="a"/>
        <w:spacing w:after="40"/>
      </w:pPr>
      <w:r>
        <w:t>Use TurboQuant as evidence that quantisation is now a mainstream direction for AI efficiency.</w:t>
      </w:r>
    </w:p>
    <w:p w14:paraId="64A973AD" w14:textId="77777777" w:rsidR="00921FFD" w:rsidRDefault="00000000">
      <w:pPr>
        <w:pStyle w:val="a"/>
        <w:spacing w:after="40"/>
      </w:pPr>
      <w:r>
        <w:t>Clarify that TurboQuant is an AI vector-compression technique, not a general numerical-computation substrate.</w:t>
      </w:r>
    </w:p>
    <w:p w14:paraId="53C7AB35" w14:textId="77777777" w:rsidR="00921FFD" w:rsidRDefault="00000000">
      <w:pPr>
        <w:pStyle w:val="a"/>
        <w:spacing w:after="40"/>
      </w:pPr>
      <w:r>
        <w:t>Position FQNM as a deeper restructuring of conservative computation, where integer transfer is the primitive execution mechanism.</w:t>
      </w:r>
    </w:p>
    <w:p w14:paraId="2DFFF7A8" w14:textId="77777777" w:rsidR="00921FFD" w:rsidRDefault="00000000">
      <w:pPr>
        <w:pStyle w:val="a"/>
        <w:spacing w:after="40"/>
      </w:pPr>
      <w:r>
        <w:t>Avoid overstating current validation. Emphasize exact discrete conservation, theoretical consistency, and selected benchmark evidence while calling for domain-specific PoCs.</w:t>
      </w:r>
    </w:p>
    <w:p w14:paraId="4FCCB4FB" w14:textId="77777777" w:rsidR="00921FFD" w:rsidRDefault="00000000">
      <w:pPr>
        <w:pStyle w:val="a"/>
        <w:spacing w:after="40"/>
      </w:pPr>
      <w:r>
        <w:t>Target FQNM commercialization toward simulation-heavy customers where conservation errors, memory movement, energy cost, and runtime stability have direct economic value.</w:t>
      </w:r>
    </w:p>
    <w:p w14:paraId="7B47EFED" w14:textId="77777777" w:rsidR="00921FFD" w:rsidRDefault="00000000">
      <w:pPr>
        <w:pStyle w:val="1"/>
      </w:pPr>
      <w:r>
        <w:t>9. Conclusion</w:t>
      </w:r>
    </w:p>
    <w:p w14:paraId="11CC42C6" w14:textId="77777777" w:rsidR="00921FFD" w:rsidRDefault="00000000">
      <w:r>
        <w:t>TurboQuant and FQNM both demonstrate that careful quantisation can preserve important structure while reducing computational burden. But the preserved structures are different. TurboQuant preserves the geometry of high-dimensional vectors. FQNM preserves the conservative structure of numerical dynamics. TurboQuant improves the existing AI stack; FQNM proposes a different execution foundation for selected classes of numerical work.</w:t>
      </w:r>
    </w:p>
    <w:p w14:paraId="642A5A27" w14:textId="77777777" w:rsidR="00921FFD" w:rsidRDefault="00000000">
      <w:r>
        <w:lastRenderedPageBreak/>
        <w:t>The commercial implication is equally clear. TurboQuant is closer to immediate deployment in LLM serving and vector-search infrastructure. FQNM is earlier-stage but potentially more foundational for scientific and industrial simulation. The two articles should therefore be compared as examples of quantisation at different layers of computation: compression at the vector layer versus computation at the operator layer.</w:t>
      </w:r>
    </w:p>
    <w:p w14:paraId="47D17B29" w14:textId="77777777" w:rsidR="00921FFD" w:rsidRDefault="00000000">
      <w:pPr>
        <w:pStyle w:val="1"/>
      </w:pPr>
      <w:r>
        <w:t>References</w:t>
      </w:r>
    </w:p>
    <w:p w14:paraId="4A6EAA70" w14:textId="77777777" w:rsidR="00921FFD" w:rsidRDefault="00000000">
      <w:pPr>
        <w:ind w:left="360" w:hanging="360"/>
      </w:pPr>
      <w:r>
        <w:t>Zandieh, A., Daliri, M., Hadian, M., and Mirrokni, V. (2025). TurboQuant: Online Vector Quantization with Near-optimal Distortion Rate. arXiv:2504.19874v1.</w:t>
      </w:r>
    </w:p>
    <w:p w14:paraId="128D5CAA" w14:textId="77777777" w:rsidR="00921FFD" w:rsidRDefault="00000000">
      <w:pPr>
        <w:ind w:left="360" w:hanging="360"/>
      </w:pPr>
      <w:r>
        <w:t>Park, J., Ha, Y., and Kang, M. (2026). Continuum dynamics from quantised interaction rules. arXiv:2604.06947v1.</w:t>
      </w:r>
    </w:p>
    <w:sectPr w:rsidR="00921FFD" w:rsidSect="00034616">
      <w:headerReference w:type="default" r:id="rId8"/>
      <w:footerReference w:type="default" r:id="rId9"/>
      <w:pgSz w:w="11909" w:h="16834"/>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288DC" w14:textId="77777777" w:rsidR="00C431E8" w:rsidRDefault="00C431E8">
      <w:pPr>
        <w:spacing w:after="0" w:line="240" w:lineRule="auto"/>
      </w:pPr>
      <w:r>
        <w:separator/>
      </w:r>
    </w:p>
  </w:endnote>
  <w:endnote w:type="continuationSeparator" w:id="0">
    <w:p w14:paraId="4B6B3CFF" w14:textId="77777777" w:rsidR="00C431E8" w:rsidRDefault="00C43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618502"/>
      <w:docPartObj>
        <w:docPartGallery w:val="Page Numbers (Bottom of Page)"/>
        <w:docPartUnique/>
      </w:docPartObj>
    </w:sdtPr>
    <w:sdtContent>
      <w:p w14:paraId="5003B061" w14:textId="7B6F0AE0" w:rsidR="00CC69B6" w:rsidRDefault="00CC69B6">
        <w:pPr>
          <w:pStyle w:val="a6"/>
          <w:jc w:val="center"/>
        </w:pPr>
        <w:r>
          <w:fldChar w:fldCharType="begin"/>
        </w:r>
        <w:r>
          <w:instrText>PAGE   \* MERGEFORMAT</w:instrText>
        </w:r>
        <w:r>
          <w:fldChar w:fldCharType="separate"/>
        </w:r>
        <w:r>
          <w:rPr>
            <w:lang w:val="ko-KR" w:eastAsia="ko-KR"/>
          </w:rPr>
          <w:t>2</w:t>
        </w:r>
        <w:r>
          <w:fldChar w:fldCharType="end"/>
        </w:r>
      </w:p>
    </w:sdtContent>
  </w:sdt>
  <w:p w14:paraId="350036E8" w14:textId="0ED9AE62" w:rsidR="00921FFD" w:rsidRDefault="00921FFD">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4C5C2" w14:textId="77777777" w:rsidR="00C431E8" w:rsidRDefault="00C431E8">
      <w:pPr>
        <w:spacing w:after="0" w:line="240" w:lineRule="auto"/>
      </w:pPr>
      <w:r>
        <w:separator/>
      </w:r>
    </w:p>
  </w:footnote>
  <w:footnote w:type="continuationSeparator" w:id="0">
    <w:p w14:paraId="6846E7FB" w14:textId="77777777" w:rsidR="00C431E8" w:rsidRDefault="00C43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669D" w14:textId="77777777" w:rsidR="00921FFD" w:rsidRDefault="00000000">
    <w:pPr>
      <w:pStyle w:val="a5"/>
      <w:jc w:val="right"/>
    </w:pPr>
    <w:proofErr w:type="spellStart"/>
    <w:r>
      <w:rPr>
        <w:color w:val="808080"/>
        <w:sz w:val="16"/>
      </w:rPr>
      <w:t>TurboQuant</w:t>
    </w:r>
    <w:proofErr w:type="spellEnd"/>
    <w:r>
      <w:rPr>
        <w:color w:val="808080"/>
        <w:sz w:val="16"/>
      </w:rPr>
      <w:t xml:space="preserve"> vs FQNM - Comparison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3460195">
    <w:abstractNumId w:val="8"/>
  </w:num>
  <w:num w:numId="2" w16cid:durableId="13894838">
    <w:abstractNumId w:val="6"/>
  </w:num>
  <w:num w:numId="3" w16cid:durableId="271521436">
    <w:abstractNumId w:val="5"/>
  </w:num>
  <w:num w:numId="4" w16cid:durableId="2052336919">
    <w:abstractNumId w:val="4"/>
  </w:num>
  <w:num w:numId="5" w16cid:durableId="999043445">
    <w:abstractNumId w:val="7"/>
  </w:num>
  <w:num w:numId="6" w16cid:durableId="879244175">
    <w:abstractNumId w:val="3"/>
  </w:num>
  <w:num w:numId="7" w16cid:durableId="456752845">
    <w:abstractNumId w:val="2"/>
  </w:num>
  <w:num w:numId="8" w16cid:durableId="414788392">
    <w:abstractNumId w:val="1"/>
  </w:num>
  <w:num w:numId="9" w16cid:durableId="133086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501"/>
    <w:rsid w:val="00921FFD"/>
    <w:rsid w:val="00AA1D8D"/>
    <w:rsid w:val="00B47730"/>
    <w:rsid w:val="00C431E8"/>
    <w:rsid w:val="00CB0664"/>
    <w:rsid w:val="00CC6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319AF"/>
  <w14:defaultImageDpi w14:val="300"/>
  <w15:docId w15:val="{2591E60B-4F67-493F-B35C-78A03FBB0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rial" w:eastAsia="Arial" w:hAnsi="Arial"/>
      <w:sz w:val="21"/>
    </w:rPr>
  </w:style>
  <w:style w:type="paragraph" w:styleId="1">
    <w:name w:val="heading 1"/>
    <w:basedOn w:val="a1"/>
    <w:next w:val="a1"/>
    <w:link w:val="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4"/>
      <w:szCs w:val="26"/>
    </w:rPr>
  </w:style>
  <w:style w:type="paragraph" w:styleId="31">
    <w:name w:val="heading 3"/>
    <w:basedOn w:val="a1"/>
    <w:next w:val="a1"/>
    <w:link w:val="3Char"/>
    <w:uiPriority w:val="9"/>
    <w:unhideWhenUsed/>
    <w:qFormat/>
    <w:rsid w:val="00FC693F"/>
    <w:pPr>
      <w:keepNext/>
      <w:keepLines/>
      <w:spacing w:before="200" w:after="80"/>
      <w:outlineLvl w:val="2"/>
    </w:pPr>
    <w:rPr>
      <w:rFonts w:asciiTheme="majorHAnsi" w:eastAsiaTheme="majorEastAsia" w:hAnsiTheme="majorHAnsi" w:cstheme="majorBidi"/>
      <w:b/>
      <w:bCs/>
      <w:color w:val="40404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04040"/>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1947</Words>
  <Characters>13186</Characters>
  <Application>Microsoft Office Word</Application>
  <DocSecurity>0</DocSecurity>
  <Lines>239</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 Park</cp:lastModifiedBy>
  <cp:revision>2</cp:revision>
  <dcterms:created xsi:type="dcterms:W3CDTF">2026-05-22T02:23:00Z</dcterms:created>
  <dcterms:modified xsi:type="dcterms:W3CDTF">2026-05-22T02:23:00Z</dcterms:modified>
  <cp:category/>
</cp:coreProperties>
</file>