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B47D" w14:textId="77777777" w:rsidR="0051617B" w:rsidRDefault="00000000">
      <w:pPr>
        <w:pStyle w:val="a8"/>
      </w:pPr>
      <w:r>
        <w:rPr>
          <w:rFonts w:ascii="Aptos Display" w:eastAsia="Aptos Display" w:hAnsi="Aptos Display" w:cs="Aptos Display"/>
        </w:rPr>
        <w:t>itriX MVP Acceptance Rerun</w:t>
      </w:r>
    </w:p>
    <w:p w14:paraId="0225DCC8" w14:textId="77777777" w:rsidR="0051617B" w:rsidRDefault="00000000">
      <w:pPr>
        <w:pStyle w:val="a9"/>
      </w:pPr>
      <w:r>
        <w:rPr>
          <w:rFonts w:ascii="Aptos" w:eastAsia="Aptos" w:hAnsi="Aptos" w:cs="Aptos"/>
        </w:rPr>
        <w:t>Feedback to Fidel — Pass with Targeted Corrections</w:t>
      </w:r>
    </w:p>
    <w:tbl>
      <w:tblPr>
        <w:tblW w:w="0" w:type="auto"/>
        <w:tblLayout w:type="fixed"/>
        <w:tblLook w:val="04A0" w:firstRow="1" w:lastRow="0" w:firstColumn="1" w:lastColumn="0" w:noHBand="0" w:noVBand="1"/>
      </w:tblPr>
      <w:tblGrid>
        <w:gridCol w:w="1821"/>
        <w:gridCol w:w="8057"/>
      </w:tblGrid>
      <w:tr w:rsidR="0051617B" w14:paraId="17D731F5" w14:textId="77777777" w:rsidTr="008840CA">
        <w:trPr>
          <w:cantSplit/>
        </w:trPr>
        <w:tc>
          <w:tcPr>
            <w:tcW w:w="1821" w:type="dxa"/>
            <w:shd w:val="clear" w:color="auto" w:fill="DDE8EF"/>
            <w:tcMar>
              <w:top w:w="110" w:type="dxa"/>
              <w:left w:w="120" w:type="dxa"/>
              <w:bottom w:w="110" w:type="dxa"/>
              <w:right w:w="120" w:type="dxa"/>
            </w:tcMar>
          </w:tcPr>
          <w:p w14:paraId="01938F12" w14:textId="77777777" w:rsidR="0051617B" w:rsidRDefault="00000000">
            <w:r>
              <w:rPr>
                <w:rFonts w:cs="Aptos"/>
                <w:b/>
                <w:color w:val="12283E"/>
                <w:sz w:val="18"/>
              </w:rPr>
              <w:t>Overall verdict</w:t>
            </w:r>
          </w:p>
        </w:tc>
        <w:tc>
          <w:tcPr>
            <w:tcW w:w="8057" w:type="dxa"/>
            <w:shd w:val="clear" w:color="auto" w:fill="F5F8FA"/>
            <w:tcMar>
              <w:top w:w="110" w:type="dxa"/>
              <w:left w:w="140" w:type="dxa"/>
              <w:bottom w:w="110" w:type="dxa"/>
              <w:right w:w="140" w:type="dxa"/>
            </w:tcMar>
          </w:tcPr>
          <w:p w14:paraId="14E45D2D" w14:textId="77777777" w:rsidR="0051617B" w:rsidRDefault="00000000">
            <w:r>
              <w:rPr>
                <w:rFonts w:cs="Aptos"/>
                <w:b/>
                <w:sz w:val="20"/>
              </w:rPr>
              <w:t>PASS WITH TARGETED CORRECTIONS</w:t>
            </w:r>
          </w:p>
        </w:tc>
      </w:tr>
      <w:tr w:rsidR="0051617B" w14:paraId="4B65F2C2" w14:textId="77777777" w:rsidTr="008840CA">
        <w:trPr>
          <w:cantSplit/>
        </w:trPr>
        <w:tc>
          <w:tcPr>
            <w:tcW w:w="1821" w:type="dxa"/>
            <w:shd w:val="clear" w:color="auto" w:fill="DDE8EF"/>
            <w:tcMar>
              <w:top w:w="110" w:type="dxa"/>
              <w:left w:w="120" w:type="dxa"/>
              <w:bottom w:w="110" w:type="dxa"/>
              <w:right w:w="120" w:type="dxa"/>
            </w:tcMar>
          </w:tcPr>
          <w:p w14:paraId="35A43224" w14:textId="77777777" w:rsidR="0051617B" w:rsidRDefault="00000000">
            <w:r>
              <w:rPr>
                <w:rFonts w:cs="Aptos"/>
                <w:b/>
                <w:color w:val="12283E"/>
                <w:sz w:val="18"/>
              </w:rPr>
              <w:t>Recommendation</w:t>
            </w:r>
          </w:p>
        </w:tc>
        <w:tc>
          <w:tcPr>
            <w:tcW w:w="8057" w:type="dxa"/>
            <w:shd w:val="clear" w:color="auto" w:fill="F5F8FA"/>
            <w:tcMar>
              <w:top w:w="110" w:type="dxa"/>
              <w:left w:w="140" w:type="dxa"/>
              <w:bottom w:w="110" w:type="dxa"/>
              <w:right w:w="140" w:type="dxa"/>
            </w:tcMar>
          </w:tcPr>
          <w:p w14:paraId="77246C91" w14:textId="77777777" w:rsidR="0051617B" w:rsidRDefault="00000000">
            <w:r>
              <w:rPr>
                <w:rFonts w:cs="Aptos"/>
                <w:b/>
                <w:sz w:val="20"/>
              </w:rPr>
              <w:t>Focused correction pass; no further architectural redesign</w:t>
            </w:r>
          </w:p>
        </w:tc>
      </w:tr>
      <w:tr w:rsidR="0051617B" w14:paraId="4A189AD8" w14:textId="77777777" w:rsidTr="008840CA">
        <w:tc>
          <w:tcPr>
            <w:tcW w:w="1821" w:type="dxa"/>
            <w:shd w:val="clear" w:color="auto" w:fill="DCE6EF"/>
            <w:tcMar>
              <w:top w:w="110" w:type="dxa"/>
              <w:left w:w="120" w:type="dxa"/>
              <w:bottom w:w="110" w:type="dxa"/>
              <w:right w:w="120" w:type="dxa"/>
            </w:tcMar>
          </w:tcPr>
          <w:p w14:paraId="211ECE86" w14:textId="77777777" w:rsidR="0051617B" w:rsidRDefault="00000000">
            <w:r>
              <w:rPr>
                <w:b/>
              </w:rPr>
              <w:t>Final sign-off</w:t>
            </w:r>
          </w:p>
        </w:tc>
        <w:tc>
          <w:tcPr>
            <w:tcW w:w="8057" w:type="dxa"/>
            <w:shd w:val="clear" w:color="auto" w:fill="F3F6F8"/>
            <w:tcMar>
              <w:top w:w="110" w:type="dxa"/>
              <w:left w:w="140" w:type="dxa"/>
              <w:bottom w:w="110" w:type="dxa"/>
              <w:right w:w="140" w:type="dxa"/>
            </w:tcMar>
          </w:tcPr>
          <w:p w14:paraId="35E5C08C" w14:textId="77777777" w:rsidR="0051617B" w:rsidRDefault="00000000">
            <w:r>
              <w:rPr>
                <w:b/>
              </w:rPr>
              <w:t>PENDING TARGETED FIXES + SHORT FINAL REGRESSION</w:t>
            </w:r>
          </w:p>
        </w:tc>
      </w:tr>
    </w:tbl>
    <w:p w14:paraId="2CF91E19" w14:textId="77777777" w:rsidR="0051617B" w:rsidRDefault="00000000">
      <w:pPr>
        <w:spacing w:before="220" w:after="160"/>
      </w:pPr>
      <w:r>
        <w:rPr>
          <w:rFonts w:cs="Aptos"/>
          <w:b/>
        </w:rPr>
        <w:t>Fidel,</w:t>
      </w:r>
    </w:p>
    <w:p w14:paraId="6C045F73" w14:textId="77777777" w:rsidR="0051617B" w:rsidRDefault="00000000">
      <w:r>
        <w:t>We completed a live acceptance rerun of the itriX MVP after your latest implementation work. Rather than repeating the original 30-prompt sequence mechanically, we tested the system as a fast-moving senior buyer would actually behave: understand the technology, give it a real workload, validate it, move toward production, and then move into licensing and commercial discussion.</w:t>
      </w:r>
    </w:p>
    <w:p w14:paraId="7ECEABB8" w14:textId="77777777" w:rsidR="0051617B" w:rsidRDefault="00000000">
      <w:r>
        <w:t>The overall result is positive. The major systemic problems identified in the original test appear to have been materially improved. I do not think another architectural redesign is required. The remaining work is mainly behavioral refinement, contract-state precision, and removal of a few remaining absolute statements. This is a pass on the acceptance rerun, not yet final release sign-off; the targeted fixes below should be followed by a short closure regression.</w:t>
      </w:r>
    </w:p>
    <w:p w14:paraId="599EB63E" w14:textId="77777777" w:rsidR="0051617B" w:rsidRDefault="00000000">
      <w:pPr>
        <w:pStyle w:val="1"/>
      </w:pPr>
      <w:r>
        <w:rPr>
          <w:rFonts w:ascii="Aptos Display" w:eastAsia="Aptos Display" w:hAnsi="Aptos Display" w:cs="Aptos Display"/>
        </w:rPr>
        <w:t>1. What worked particularly well</w:t>
      </w:r>
    </w:p>
    <w:p w14:paraId="38C240DD" w14:textId="77777777" w:rsidR="0051617B" w:rsidRDefault="00000000">
      <w:pPr>
        <w:keepNext/>
        <w:spacing w:before="100" w:after="40"/>
      </w:pPr>
      <w:r>
        <w:rPr>
          <w:rFonts w:cs="Aptos"/>
          <w:b/>
          <w:color w:val="235782"/>
        </w:rPr>
        <w:t>1. The circular conversation problem is substantially improved.</w:t>
      </w:r>
    </w:p>
    <w:p w14:paraId="0F3F3E0C" w14:textId="77777777" w:rsidR="0051617B" w:rsidRDefault="00000000">
      <w:pPr>
        <w:ind w:left="259"/>
      </w:pPr>
      <w:r>
        <w:t>Once we shifted to a real xAI-style workload, the MVP successfully moved through the journey rather than repeatedly explaining ALPHA Compute. The progression was coherent and materially faster.</w:t>
      </w:r>
    </w:p>
    <w:p w14:paraId="083C0B15" w14:textId="77777777" w:rsidR="0051617B" w:rsidRDefault="00000000">
      <w:pPr>
        <w:keepNext/>
        <w:spacing w:before="100" w:after="40"/>
      </w:pPr>
      <w:r>
        <w:rPr>
          <w:rFonts w:cs="Aptos"/>
          <w:b/>
          <w:color w:val="235782"/>
        </w:rPr>
        <w:t>2. The MVP no longer forces ALPHA method selection.</w:t>
      </w:r>
    </w:p>
    <w:p w14:paraId="0281EB5E" w14:textId="77777777" w:rsidR="0051617B" w:rsidRDefault="00000000">
      <w:pPr>
        <w:ind w:left="259"/>
      </w:pPr>
      <w:r>
        <w:t>It correctly refused to assume that a workload was AXIOM, CRE, or FQNM before diagnosis. It explicitly allowed “none applicable” as a legitimate outcome and was willing to stop the evaluation early.</w:t>
      </w:r>
    </w:p>
    <w:p w14:paraId="4D2F143E" w14:textId="77777777" w:rsidR="0051617B" w:rsidRDefault="00000000">
      <w:pPr>
        <w:keepNext/>
        <w:spacing w:before="100" w:after="40"/>
      </w:pPr>
      <w:r>
        <w:rPr>
          <w:rFonts w:cs="Aptos"/>
          <w:b/>
          <w:color w:val="235782"/>
        </w:rPr>
        <w:t>3. Negative-result discipline is much stronger.</w:t>
      </w:r>
    </w:p>
    <w:p w14:paraId="222876FA" w14:textId="77777777" w:rsidR="0051617B" w:rsidRDefault="00000000">
      <w:pPr>
        <w:ind w:left="259"/>
      </w:pPr>
      <w:r>
        <w:t>The MVP was willing to stop for lack of mathematical eligibility, correctness failure, marginal or negative net advantage, overhead eliminating the gain, economically insignificant workload contribution, implausible amortization, or other early evidence that continuation would be irrational.</w:t>
      </w:r>
    </w:p>
    <w:p w14:paraId="0569273F" w14:textId="77777777" w:rsidR="0051617B" w:rsidRDefault="00000000">
      <w:pPr>
        <w:keepNext/>
        <w:spacing w:before="100" w:after="40"/>
      </w:pPr>
      <w:r>
        <w:rPr>
          <w:rFonts w:cs="Aptos"/>
          <w:b/>
          <w:color w:val="235782"/>
        </w:rPr>
        <w:t>4. Baseline discipline is strong.</w:t>
      </w:r>
    </w:p>
    <w:p w14:paraId="2E1347DF" w14:textId="77777777" w:rsidR="0051617B" w:rsidRDefault="00000000">
      <w:pPr>
        <w:ind w:left="259"/>
      </w:pPr>
      <w:r>
        <w:t>The system accepted xAI’s best production implementation as the reference: tuned vendor libraries, compiler optimization, optimized GPU kernels, and strong internal performance engineering. It did not try to create a weak benchmark, and it consistently included transformation and reconstruction overhead in the net result.</w:t>
      </w:r>
    </w:p>
    <w:p w14:paraId="34B90164" w14:textId="77777777" w:rsidR="0051617B" w:rsidRDefault="00000000">
      <w:pPr>
        <w:keepNext/>
        <w:spacing w:before="100" w:after="40"/>
      </w:pPr>
      <w:r>
        <w:rPr>
          <w:rFonts w:cs="Aptos"/>
          <w:b/>
          <w:color w:val="235782"/>
        </w:rPr>
        <w:lastRenderedPageBreak/>
        <w:t>5. Minimum-disclosure behavior worked well.</w:t>
      </w:r>
    </w:p>
    <w:p w14:paraId="387728D4" w14:textId="77777777" w:rsidR="0051617B" w:rsidRDefault="00000000">
      <w:pPr>
        <w:ind w:left="259"/>
      </w:pPr>
      <w:r>
        <w:t>The MVP did not demand the full model, unrelated weights, training data, or broader infrastructure where they were unnecessary. It kept asking only for the minimum information required to move the evaluation forward.</w:t>
      </w:r>
    </w:p>
    <w:p w14:paraId="4E661C24" w14:textId="77777777" w:rsidR="0051617B" w:rsidRDefault="00000000">
      <w:pPr>
        <w:keepNext/>
        <w:spacing w:before="100" w:after="40"/>
      </w:pPr>
      <w:r>
        <w:rPr>
          <w:rFonts w:cs="Aptos"/>
          <w:b/>
          <w:color w:val="235782"/>
        </w:rPr>
        <w:t>6. The Problem Mirror transition worked much better.</w:t>
      </w:r>
    </w:p>
    <w:p w14:paraId="3E5263B9" w14:textId="77777777" w:rsidR="0051617B" w:rsidRDefault="00000000">
      <w:pPr>
        <w:ind w:left="259"/>
      </w:pPr>
      <w:r>
        <w:t>After a real workload was introduced, the system correctly recognized the transition from public technical exploration into a problem-led Customer Journey. Importantly, it reused information already provided instead of asking the user to repeat it.</w:t>
      </w:r>
    </w:p>
    <w:p w14:paraId="79C89774" w14:textId="77777777" w:rsidR="0051617B" w:rsidRDefault="00000000">
      <w:pPr>
        <w:keepNext/>
        <w:spacing w:before="100" w:after="40"/>
      </w:pPr>
      <w:r>
        <w:rPr>
          <w:rFonts w:cs="Aptos"/>
          <w:b/>
          <w:color w:val="235782"/>
        </w:rPr>
        <w:t>7. ALPHA Compute / ALPHA Core separation was handled correctly.</w:t>
      </w:r>
    </w:p>
    <w:p w14:paraId="1F6748E2" w14:textId="77777777" w:rsidR="0051617B" w:rsidRDefault="00000000">
      <w:pPr>
        <w:ind w:left="259"/>
      </w:pPr>
      <w:r>
        <w:t>ALPHA Compute was treated as an independent software product. ALPHA Core was not forced into the conversation and was explicitly left out when it was not relevant.</w:t>
      </w:r>
    </w:p>
    <w:p w14:paraId="5863D6CC" w14:textId="77777777" w:rsidR="0051617B" w:rsidRDefault="00000000">
      <w:pPr>
        <w:keepNext/>
        <w:spacing w:before="100" w:after="40"/>
      </w:pPr>
      <w:r>
        <w:rPr>
          <w:b/>
          <w:color w:val="235782"/>
        </w:rPr>
        <w:t>8. Internal commercial-policy leakage passed this live disclosure test.</w:t>
      </w:r>
    </w:p>
    <w:p w14:paraId="09344201" w14:textId="77777777" w:rsidR="0051617B" w:rsidRDefault="00000000">
      <w:pPr>
        <w:ind w:left="259"/>
      </w:pPr>
      <w:r>
        <w:t>When the buyer finally asked “Make me an offer,” the MVP correctly stated that it had no externally authorized opening price, value-share percentage, or default economic structure that it was permitted to disclose. It did not disclose the internal 67/33 policy and did not invent a price. This is strong evidence that the disclosure control is working in this path; it should still be included in the final regression to confirm that the protection holds under alternate wording and repeated probing.</w:t>
      </w:r>
    </w:p>
    <w:p w14:paraId="34D4D770" w14:textId="77777777" w:rsidR="0051617B" w:rsidRDefault="00000000">
      <w:pPr>
        <w:keepNext/>
        <w:spacing w:before="100" w:after="40"/>
      </w:pPr>
      <w:r>
        <w:rPr>
          <w:rFonts w:cs="Aptos"/>
          <w:b/>
          <w:color w:val="235782"/>
        </w:rPr>
        <w:t>9. The CTA behavior is much better.</w:t>
      </w:r>
    </w:p>
    <w:p w14:paraId="6459AA91" w14:textId="77777777" w:rsidR="0051617B" w:rsidRDefault="00000000">
      <w:pPr>
        <w:ind w:left="259"/>
      </w:pPr>
      <w:r>
        <w:t>The system did not ask for an email address or direct contact during technical exploration. Only when the buyer reached the stage of requesting an authorized commercial offer did the MVP recommend a direct commercial conversation. At that point, the identity-dependent CTA was appropriate.</w:t>
      </w:r>
    </w:p>
    <w:p w14:paraId="5EF1766F" w14:textId="77777777" w:rsidR="0051617B" w:rsidRDefault="00000000">
      <w:pPr>
        <w:pStyle w:val="21"/>
      </w:pPr>
      <w:r>
        <w:rPr>
          <w:rFonts w:ascii="Aptos Display" w:eastAsia="Aptos Display" w:hAnsi="Aptos Display" w:cs="Aptos Display"/>
        </w:rPr>
        <w:t>Validated journey progression</w:t>
      </w:r>
    </w:p>
    <w:tbl>
      <w:tblPr>
        <w:tblW w:w="0" w:type="auto"/>
        <w:jc w:val="center"/>
        <w:tblLayout w:type="fixed"/>
        <w:tblLook w:val="04A0" w:firstRow="1" w:lastRow="0" w:firstColumn="1" w:lastColumn="0" w:noHBand="0" w:noVBand="1"/>
      </w:tblPr>
      <w:tblGrid>
        <w:gridCol w:w="1646"/>
        <w:gridCol w:w="1646"/>
        <w:gridCol w:w="1646"/>
        <w:gridCol w:w="1646"/>
        <w:gridCol w:w="1646"/>
        <w:gridCol w:w="1646"/>
      </w:tblGrid>
      <w:tr w:rsidR="0051617B" w14:paraId="72259AD8" w14:textId="77777777">
        <w:trPr>
          <w:cantSplit/>
          <w:jc w:val="center"/>
        </w:trPr>
        <w:tc>
          <w:tcPr>
            <w:tcW w:w="1646" w:type="dxa"/>
            <w:shd w:val="clear" w:color="auto" w:fill="E4ECF2"/>
            <w:tcMar>
              <w:top w:w="90" w:type="dxa"/>
              <w:left w:w="70" w:type="dxa"/>
              <w:bottom w:w="90" w:type="dxa"/>
              <w:right w:w="70" w:type="dxa"/>
            </w:tcMar>
            <w:vAlign w:val="center"/>
          </w:tcPr>
          <w:p w14:paraId="70596088" w14:textId="77777777" w:rsidR="0051617B" w:rsidRDefault="00000000">
            <w:pPr>
              <w:jc w:val="center"/>
            </w:pPr>
            <w:r>
              <w:rPr>
                <w:rFonts w:cs="Aptos"/>
                <w:b/>
                <w:color w:val="12283E"/>
                <w:sz w:val="16"/>
              </w:rPr>
              <w:t>Understand</w:t>
            </w:r>
          </w:p>
        </w:tc>
        <w:tc>
          <w:tcPr>
            <w:tcW w:w="1646" w:type="dxa"/>
            <w:shd w:val="clear" w:color="auto" w:fill="E4ECF2"/>
            <w:tcMar>
              <w:top w:w="90" w:type="dxa"/>
              <w:left w:w="70" w:type="dxa"/>
              <w:bottom w:w="90" w:type="dxa"/>
              <w:right w:w="70" w:type="dxa"/>
            </w:tcMar>
            <w:vAlign w:val="center"/>
          </w:tcPr>
          <w:p w14:paraId="2FD923F0" w14:textId="77777777" w:rsidR="0051617B" w:rsidRDefault="00000000">
            <w:pPr>
              <w:jc w:val="center"/>
            </w:pPr>
            <w:r>
              <w:rPr>
                <w:rFonts w:cs="Aptos"/>
                <w:b/>
                <w:color w:val="12283E"/>
                <w:sz w:val="16"/>
              </w:rPr>
              <w:t>Real workload</w:t>
            </w:r>
          </w:p>
        </w:tc>
        <w:tc>
          <w:tcPr>
            <w:tcW w:w="1646" w:type="dxa"/>
            <w:shd w:val="clear" w:color="auto" w:fill="E4ECF2"/>
            <w:tcMar>
              <w:top w:w="90" w:type="dxa"/>
              <w:left w:w="70" w:type="dxa"/>
              <w:bottom w:w="90" w:type="dxa"/>
              <w:right w:w="70" w:type="dxa"/>
            </w:tcMar>
            <w:vAlign w:val="center"/>
          </w:tcPr>
          <w:p w14:paraId="384482A2" w14:textId="77777777" w:rsidR="0051617B" w:rsidRDefault="00000000">
            <w:pPr>
              <w:jc w:val="center"/>
            </w:pPr>
            <w:r>
              <w:rPr>
                <w:rFonts w:cs="Aptos"/>
                <w:b/>
                <w:color w:val="12283E"/>
                <w:sz w:val="16"/>
              </w:rPr>
              <w:t>Controlled assessment</w:t>
            </w:r>
          </w:p>
        </w:tc>
        <w:tc>
          <w:tcPr>
            <w:tcW w:w="1646" w:type="dxa"/>
            <w:shd w:val="clear" w:color="auto" w:fill="E4ECF2"/>
            <w:tcMar>
              <w:top w:w="90" w:type="dxa"/>
              <w:left w:w="70" w:type="dxa"/>
              <w:bottom w:w="90" w:type="dxa"/>
              <w:right w:w="70" w:type="dxa"/>
            </w:tcMar>
            <w:vAlign w:val="center"/>
          </w:tcPr>
          <w:p w14:paraId="37544F87" w14:textId="77777777" w:rsidR="0051617B" w:rsidRDefault="00000000">
            <w:pPr>
              <w:jc w:val="center"/>
            </w:pPr>
            <w:r>
              <w:rPr>
                <w:rFonts w:cs="Aptos"/>
                <w:b/>
                <w:color w:val="12283E"/>
                <w:sz w:val="16"/>
              </w:rPr>
              <w:t>Production</w:t>
            </w:r>
          </w:p>
        </w:tc>
        <w:tc>
          <w:tcPr>
            <w:tcW w:w="1646" w:type="dxa"/>
            <w:shd w:val="clear" w:color="auto" w:fill="E4ECF2"/>
            <w:tcMar>
              <w:top w:w="90" w:type="dxa"/>
              <w:left w:w="70" w:type="dxa"/>
              <w:bottom w:w="90" w:type="dxa"/>
              <w:right w:w="70" w:type="dxa"/>
            </w:tcMar>
            <w:vAlign w:val="center"/>
          </w:tcPr>
          <w:p w14:paraId="387BBD3E" w14:textId="77777777" w:rsidR="0051617B" w:rsidRDefault="00000000">
            <w:pPr>
              <w:jc w:val="center"/>
            </w:pPr>
            <w:r>
              <w:rPr>
                <w:rFonts w:cs="Aptos"/>
                <w:b/>
                <w:color w:val="12283E"/>
                <w:sz w:val="16"/>
              </w:rPr>
              <w:t>Commercial</w:t>
            </w:r>
          </w:p>
        </w:tc>
        <w:tc>
          <w:tcPr>
            <w:tcW w:w="1646" w:type="dxa"/>
            <w:shd w:val="clear" w:color="auto" w:fill="E4ECF2"/>
            <w:tcMar>
              <w:top w:w="90" w:type="dxa"/>
              <w:left w:w="70" w:type="dxa"/>
              <w:bottom w:w="90" w:type="dxa"/>
              <w:right w:w="70" w:type="dxa"/>
            </w:tcMar>
            <w:vAlign w:val="center"/>
          </w:tcPr>
          <w:p w14:paraId="7E17CD22" w14:textId="77777777" w:rsidR="0051617B" w:rsidRDefault="00000000">
            <w:pPr>
              <w:jc w:val="center"/>
            </w:pPr>
            <w:r>
              <w:rPr>
                <w:rFonts w:cs="Aptos"/>
                <w:b/>
                <w:color w:val="12283E"/>
                <w:sz w:val="16"/>
              </w:rPr>
              <w:t>Authorized handoff</w:t>
            </w:r>
          </w:p>
        </w:tc>
      </w:tr>
      <w:tr w:rsidR="0051617B" w14:paraId="799B55FB" w14:textId="77777777">
        <w:trPr>
          <w:cantSplit/>
          <w:jc w:val="center"/>
        </w:trPr>
        <w:tc>
          <w:tcPr>
            <w:tcW w:w="1646" w:type="dxa"/>
            <w:shd w:val="clear" w:color="auto" w:fill="F7F9FA"/>
            <w:tcMar>
              <w:top w:w="90" w:type="dxa"/>
              <w:left w:w="70" w:type="dxa"/>
              <w:bottom w:w="90" w:type="dxa"/>
              <w:right w:w="70" w:type="dxa"/>
            </w:tcMar>
            <w:vAlign w:val="center"/>
          </w:tcPr>
          <w:p w14:paraId="27B2364C" w14:textId="77777777" w:rsidR="0051617B" w:rsidRDefault="00000000">
            <w:pPr>
              <w:jc w:val="center"/>
            </w:pPr>
            <w:r>
              <w:rPr>
                <w:rFonts w:cs="Aptos"/>
                <w:color w:val="5F6770"/>
                <w:sz w:val="15"/>
              </w:rPr>
              <w:t>Technical evaluator</w:t>
            </w:r>
          </w:p>
        </w:tc>
        <w:tc>
          <w:tcPr>
            <w:tcW w:w="1646" w:type="dxa"/>
            <w:shd w:val="clear" w:color="auto" w:fill="F7F9FA"/>
            <w:tcMar>
              <w:top w:w="90" w:type="dxa"/>
              <w:left w:w="70" w:type="dxa"/>
              <w:bottom w:w="90" w:type="dxa"/>
              <w:right w:w="70" w:type="dxa"/>
            </w:tcMar>
            <w:vAlign w:val="center"/>
          </w:tcPr>
          <w:p w14:paraId="7AD9D5C0" w14:textId="77777777" w:rsidR="0051617B" w:rsidRDefault="00000000">
            <w:pPr>
              <w:jc w:val="center"/>
            </w:pPr>
            <w:r>
              <w:rPr>
                <w:rFonts w:cs="Aptos"/>
                <w:color w:val="5F6770"/>
                <w:sz w:val="15"/>
              </w:rPr>
              <w:t>Customer entry</w:t>
            </w:r>
          </w:p>
        </w:tc>
        <w:tc>
          <w:tcPr>
            <w:tcW w:w="1646" w:type="dxa"/>
            <w:shd w:val="clear" w:color="auto" w:fill="F7F9FA"/>
            <w:tcMar>
              <w:top w:w="90" w:type="dxa"/>
              <w:left w:w="70" w:type="dxa"/>
              <w:bottom w:w="90" w:type="dxa"/>
              <w:right w:w="70" w:type="dxa"/>
            </w:tcMar>
            <w:vAlign w:val="center"/>
          </w:tcPr>
          <w:p w14:paraId="11EA2648" w14:textId="77777777" w:rsidR="0051617B" w:rsidRDefault="00000000">
            <w:pPr>
              <w:jc w:val="center"/>
            </w:pPr>
            <w:r>
              <w:rPr>
                <w:rFonts w:cs="Aptos"/>
                <w:color w:val="5F6770"/>
                <w:sz w:val="15"/>
              </w:rPr>
              <w:t>Evidence + stop/go</w:t>
            </w:r>
          </w:p>
        </w:tc>
        <w:tc>
          <w:tcPr>
            <w:tcW w:w="1646" w:type="dxa"/>
            <w:shd w:val="clear" w:color="auto" w:fill="F7F9FA"/>
            <w:tcMar>
              <w:top w:w="90" w:type="dxa"/>
              <w:left w:w="70" w:type="dxa"/>
              <w:bottom w:w="90" w:type="dxa"/>
              <w:right w:w="70" w:type="dxa"/>
            </w:tcMar>
            <w:vAlign w:val="center"/>
          </w:tcPr>
          <w:p w14:paraId="5ECB51A0" w14:textId="77777777" w:rsidR="0051617B" w:rsidRDefault="00000000">
            <w:pPr>
              <w:jc w:val="center"/>
            </w:pPr>
            <w:r>
              <w:rPr>
                <w:rFonts w:cs="Aptos"/>
                <w:color w:val="5F6770"/>
                <w:sz w:val="15"/>
              </w:rPr>
              <w:t>Deployment decision</w:t>
            </w:r>
          </w:p>
        </w:tc>
        <w:tc>
          <w:tcPr>
            <w:tcW w:w="1646" w:type="dxa"/>
            <w:shd w:val="clear" w:color="auto" w:fill="F7F9FA"/>
            <w:tcMar>
              <w:top w:w="90" w:type="dxa"/>
              <w:left w:w="70" w:type="dxa"/>
              <w:bottom w:w="90" w:type="dxa"/>
              <w:right w:w="70" w:type="dxa"/>
            </w:tcMar>
            <w:vAlign w:val="center"/>
          </w:tcPr>
          <w:p w14:paraId="39074D2E" w14:textId="77777777" w:rsidR="0051617B" w:rsidRDefault="00000000">
            <w:pPr>
              <w:jc w:val="center"/>
            </w:pPr>
            <w:r>
              <w:rPr>
                <w:rFonts w:cs="Aptos"/>
                <w:color w:val="5F6770"/>
                <w:sz w:val="15"/>
              </w:rPr>
              <w:t>Deal architecture</w:t>
            </w:r>
          </w:p>
        </w:tc>
        <w:tc>
          <w:tcPr>
            <w:tcW w:w="1646" w:type="dxa"/>
            <w:shd w:val="clear" w:color="auto" w:fill="F7F9FA"/>
            <w:tcMar>
              <w:top w:w="90" w:type="dxa"/>
              <w:left w:w="70" w:type="dxa"/>
              <w:bottom w:w="90" w:type="dxa"/>
              <w:right w:w="70" w:type="dxa"/>
            </w:tcMar>
            <w:vAlign w:val="center"/>
          </w:tcPr>
          <w:p w14:paraId="6828A052" w14:textId="77777777" w:rsidR="0051617B" w:rsidRDefault="00000000">
            <w:pPr>
              <w:jc w:val="center"/>
            </w:pPr>
            <w:r>
              <w:rPr>
                <w:rFonts w:cs="Aptos"/>
                <w:color w:val="5F6770"/>
                <w:sz w:val="15"/>
              </w:rPr>
              <w:t>Human counterparty</w:t>
            </w:r>
          </w:p>
        </w:tc>
      </w:tr>
    </w:tbl>
    <w:p w14:paraId="573E8979" w14:textId="77777777" w:rsidR="0051617B" w:rsidRDefault="00000000">
      <w:pPr>
        <w:pStyle w:val="1"/>
      </w:pPr>
      <w:r>
        <w:rPr>
          <w:rFonts w:ascii="Aptos Display" w:eastAsia="Aptos Display" w:hAnsi="Aptos Display" w:cs="Aptos Display"/>
        </w:rPr>
        <w:t>2. Remaining targeted corrections</w:t>
      </w:r>
    </w:p>
    <w:p w14:paraId="152CDA93" w14:textId="77777777" w:rsidR="0051617B" w:rsidRDefault="00000000">
      <w:pPr>
        <w:pStyle w:val="21"/>
      </w:pPr>
      <w:r>
        <w:rPr>
          <w:rFonts w:ascii="Aptos" w:eastAsia="Aptos" w:hAnsi="Aptos" w:cs="Aptos"/>
        </w:rPr>
        <w:t>1. Avoid absolute claims about the technical stack.</w:t>
      </w:r>
    </w:p>
    <w:p w14:paraId="74C9F74A" w14:textId="77777777" w:rsidR="0051617B" w:rsidRDefault="00000000">
      <w:r>
        <w:t>The MVP occasionally says things such as “nothing infrastructure changes,” “the downstream stack remains unchanged,” or “the same libraries/runtime remain unchanged.” These statements are too categorical.</w:t>
      </w:r>
    </w:p>
    <w:p w14:paraId="0320D370" w14:textId="77777777" w:rsidR="0051617B" w:rsidRDefault="00000000">
      <w:r>
        <w:t>A transformed representation may legitimately require a different solver, library primitive, wrapper, data layout, runtime configuration, or other limited integration change.</w:t>
      </w:r>
    </w:p>
    <w:p w14:paraId="1D5C256A" w14:textId="77777777" w:rsidR="0051617B" w:rsidRDefault="00000000">
      <w:pPr>
        <w:pStyle w:val="a0"/>
        <w:spacing w:after="80"/>
      </w:pPr>
      <w:r>
        <w:rPr>
          <w:rFonts w:cs="Aptos"/>
        </w:rPr>
        <w:t>Governing principle: Keep the experimental environment controlled, minimize integration changes, document every change, and include all attributable costs in the comparison.</w:t>
      </w:r>
    </w:p>
    <w:p w14:paraId="7314100D" w14:textId="77777777" w:rsidR="0051617B" w:rsidRDefault="00000000">
      <w:pPr>
        <w:pStyle w:val="21"/>
      </w:pPr>
      <w:r>
        <w:rPr>
          <w:rFonts w:ascii="Aptos" w:eastAsia="Aptos" w:hAnsi="Aptos" w:cs="Aptos"/>
        </w:rPr>
        <w:t>2. Be more precise about the baseline.</w:t>
      </w:r>
    </w:p>
    <w:p w14:paraId="63B8AA92" w14:textId="77777777" w:rsidR="0051617B" w:rsidRDefault="00000000">
      <w:r>
        <w:t>“Frozen baseline” is directionally correct, but should not prevent correction of an incorrectly configured baseline.</w:t>
      </w:r>
    </w:p>
    <w:p w14:paraId="3E7499F3" w14:textId="77777777" w:rsidR="0051617B" w:rsidRDefault="00000000">
      <w:pPr>
        <w:pStyle w:val="a0"/>
        <w:spacing w:after="80"/>
      </w:pPr>
      <w:r>
        <w:rPr>
          <w:rFonts w:cs="Aptos"/>
        </w:rPr>
        <w:lastRenderedPageBreak/>
        <w:t>Define the baseline before testing; version it; apply controlled change management; if a material correction is discovered, document it and rerun the relevant comparison.</w:t>
      </w:r>
    </w:p>
    <w:p w14:paraId="1A42E33C" w14:textId="77777777" w:rsidR="0051617B" w:rsidRDefault="00000000">
      <w:pPr>
        <w:pStyle w:val="21"/>
      </w:pPr>
      <w:r>
        <w:rPr>
          <w:rFonts w:ascii="Aptos" w:eastAsia="Aptos" w:hAnsi="Aptos" w:cs="Aptos"/>
        </w:rPr>
        <w:t>3. Separate technical/evidence policy from commercial policy.</w:t>
      </w:r>
    </w:p>
    <w:p w14:paraId="1314341D" w14:textId="77777777" w:rsidR="0051617B" w:rsidRDefault="00000000">
      <w:r>
        <w:t>The MVP sometimes treats the frozen baseline, correctness criteria, and benchmark integrity as “non-negotiable commercial policy.” These are better described as technical evaluation principles or evidence-governance principles.</w:t>
      </w:r>
    </w:p>
    <w:p w14:paraId="092002AC" w14:textId="77777777" w:rsidR="0051617B" w:rsidRDefault="00000000">
      <w:pPr>
        <w:pStyle w:val="a0"/>
        <w:spacing w:after="80"/>
      </w:pPr>
      <w:r>
        <w:rPr>
          <w:rFonts w:cs="Aptos"/>
        </w:rPr>
        <w:t>Commercial policy should refer to economics, rights, scope, licensing, support, and related deal terms.</w:t>
      </w:r>
    </w:p>
    <w:p w14:paraId="2C133490" w14:textId="77777777" w:rsidR="0051617B" w:rsidRDefault="00000000">
      <w:pPr>
        <w:pStyle w:val="21"/>
      </w:pPr>
      <w:r>
        <w:rPr>
          <w:rFonts w:ascii="Aptos" w:eastAsia="Aptos" w:hAnsi="Aptos" w:cs="Aptos"/>
        </w:rPr>
        <w:t>4. Do not promote negotiating positions into absolute itriX policy.</w:t>
      </w:r>
    </w:p>
    <w:p w14:paraId="77D43500" w14:textId="77777777" w:rsidR="0051617B" w:rsidRDefault="00000000">
      <w:r>
        <w:t>This remains the most important refinement. Statements such as “itriX retains ownership — this is not negotiable” are too absolute when describing corporate policy rather than an ordinary production-license boundary.</w:t>
      </w:r>
    </w:p>
    <w:p w14:paraId="23024626" w14:textId="77777777" w:rsidR="0051617B" w:rsidRDefault="00000000">
      <w:pPr>
        <w:pStyle w:val="a0"/>
        <w:spacing w:after="80"/>
      </w:pPr>
      <w:r>
        <w:rPr>
          <w:rFonts w:cs="Aptos"/>
        </w:rPr>
        <w:t>Preferred formulation: “A production license does not itself transfer ownership of itriX background technology or method families. Any transaction involving transfer or assignment of core IP would require separate authorization and agreement.”</w:t>
      </w:r>
    </w:p>
    <w:p w14:paraId="2949F11B" w14:textId="77777777" w:rsidR="0051617B" w:rsidRDefault="00000000">
      <w:pPr>
        <w:pStyle w:val="a0"/>
        <w:spacing w:after="80"/>
      </w:pPr>
      <w:r>
        <w:rPr>
          <w:rFonts w:cs="Aptos"/>
        </w:rPr>
        <w:t>Likewise, replace “Expansion is a separate commercial event” with: “Expansion is not automatic unless the agreement provides for it. The parties may choose case-by-case expansion, pre-agreed options, workload-family rights, volume mechanisms, or another negotiated structure.”</w:t>
      </w:r>
    </w:p>
    <w:p w14:paraId="14B34F5C" w14:textId="77777777" w:rsidR="0051617B" w:rsidRDefault="00000000">
      <w:pPr>
        <w:pStyle w:val="21"/>
      </w:pPr>
      <w:r>
        <w:rPr>
          <w:rFonts w:ascii="Aptos" w:eastAsia="Aptos" w:hAnsi="Aptos" w:cs="Aptos"/>
        </w:rPr>
        <w:t>5. Do not define the licensed object too early.</w:t>
      </w:r>
    </w:p>
    <w:p w14:paraId="3DF838E4" w14:textId="77777777" w:rsidR="0051617B" w:rsidRDefault="00000000">
      <w:r>
        <w:t>The MVP sometimes describes the license as “the right to use the transformed representation.” This may be too narrow or legally premature.</w:t>
      </w:r>
    </w:p>
    <w:p w14:paraId="76AB4CB4" w14:textId="77777777" w:rsidR="0051617B" w:rsidRDefault="00000000">
      <w:pPr>
        <w:pStyle w:val="a0"/>
        <w:spacing w:after="80"/>
      </w:pPr>
      <w:r>
        <w:rPr>
          <w:rFonts w:cs="Aptos"/>
        </w:rPr>
        <w:t>The agreement may instead cover some combination of ALPHA Compute software, runtime components, transformed artifacts, workload-specific deployment rights, services, or other defined rights. The MVP should identify the issue without choosing the legal object before negotiation.</w:t>
      </w:r>
    </w:p>
    <w:p w14:paraId="24AA9957" w14:textId="77777777" w:rsidR="0051617B" w:rsidRDefault="00000000">
      <w:pPr>
        <w:pStyle w:val="21"/>
      </w:pPr>
      <w:r>
        <w:rPr>
          <w:rFonts w:ascii="Aptos" w:eastAsia="Aptos" w:hAnsi="Aptos" w:cs="Aptos"/>
        </w:rPr>
        <w:t>6. Use “commercial process” only when the journey has actually reached the commercial stage.</w:t>
      </w:r>
    </w:p>
    <w:p w14:paraId="3FC97380" w14:textId="77777777" w:rsidR="0051617B" w:rsidRDefault="00000000">
      <w:r>
        <w:t>Earlier in the evaluation journey, the system repeatedly said that a “commercial process” had to be in place before proprietary workload transfer. That wording is too broad.</w:t>
      </w:r>
    </w:p>
    <w:p w14:paraId="2E60C79F" w14:textId="77777777" w:rsidR="0051617B" w:rsidRDefault="00000000">
      <w:pPr>
        <w:pStyle w:val="a0"/>
        <w:spacing w:after="80"/>
      </w:pPr>
      <w:r>
        <w:rPr>
          <w:rFonts w:cs="Aptos"/>
        </w:rPr>
        <w:t>Before controlled workload transfer, the real requirements may simply be confidentiality, permitted use, security/access control, authorized recipients, data handling, and evaluation scope. Commercial economics should not automatically become a prerequisite unless approved itriX policy specifically requires it.</w:t>
      </w:r>
    </w:p>
    <w:p w14:paraId="51D6FB99" w14:textId="77777777" w:rsidR="0051617B" w:rsidRDefault="00000000">
      <w:pPr>
        <w:pStyle w:val="21"/>
      </w:pPr>
      <w:r>
        <w:rPr>
          <w:rFonts w:ascii="Aptos" w:eastAsia="Aptos" w:hAnsi="Aptos" w:cs="Aptos"/>
        </w:rPr>
        <w:t>7. Remove unsupported timeline predictions.</w:t>
      </w:r>
    </w:p>
    <w:p w14:paraId="3F7EF872" w14:textId="77777777" w:rsidR="0051617B" w:rsidRDefault="00000000">
      <w:r>
        <w:t>The MVP made statements such as legal review will take two to three weeks, the agreement can be completed within the week, the technical work will not be the long pole, or economics is the only remaining blocker. Unless supported by approved operational data, these should not be stated as facts.</w:t>
      </w:r>
    </w:p>
    <w:p w14:paraId="050DFB6B" w14:textId="77777777" w:rsidR="0051617B" w:rsidRDefault="00000000">
      <w:pPr>
        <w:pStyle w:val="a0"/>
        <w:spacing w:after="80"/>
      </w:pPr>
      <w:r>
        <w:rPr>
          <w:rFonts w:cs="Aptos"/>
        </w:rPr>
        <w:t>Use formulations such as “Based on what is currently known…” or “This appears to be a potential critical-path item…” and preserve the possibility of unexpected technical, legal, security, or approval issues.</w:t>
      </w:r>
    </w:p>
    <w:p w14:paraId="0472EEB9" w14:textId="77777777" w:rsidR="0051617B" w:rsidRDefault="00000000">
      <w:pPr>
        <w:pStyle w:val="21"/>
      </w:pPr>
      <w:r>
        <w:rPr>
          <w:rFonts w:ascii="Aptos" w:eastAsia="Aptos" w:hAnsi="Aptos" w:cs="Aptos"/>
        </w:rPr>
        <w:lastRenderedPageBreak/>
        <w:t>8. Be careful with legal conclusions.</w:t>
      </w:r>
    </w:p>
    <w:p w14:paraId="483CE12F" w14:textId="77777777" w:rsidR="0051617B" w:rsidRDefault="00000000">
      <w:r>
        <w:t>The MVP occasionally says things such as “without this nothing is enforceable,” “governing law is required for enforceability,” or “a heads of terms with economics blank is not executable.” These are unnecessarily categorical legal statements.</w:t>
      </w:r>
    </w:p>
    <w:p w14:paraId="6297A7D5" w14:textId="77777777" w:rsidR="0051617B" w:rsidRDefault="00000000">
      <w:pPr>
        <w:pStyle w:val="a0"/>
        <w:spacing w:after="80"/>
      </w:pPr>
      <w:r>
        <w:rPr>
          <w:rFonts w:cs="Aptos"/>
        </w:rPr>
        <w:t>Describe what the agreement should address rather than making broad legal conclusions unless they come from an approved legal source.</w:t>
      </w:r>
    </w:p>
    <w:p w14:paraId="6F0E7576" w14:textId="77777777" w:rsidR="0051617B" w:rsidRDefault="00000000">
      <w:pPr>
        <w:pStyle w:val="a0"/>
        <w:spacing w:after="80"/>
      </w:pPr>
      <w:r>
        <w:rPr>
          <w:rFonts w:cs="Aptos"/>
        </w:rPr>
        <w:t>Distinguish clearly between non-binding heads of terms, partially binding heads of terms, and a binding production agreement.</w:t>
      </w:r>
    </w:p>
    <w:p w14:paraId="18BD1CF7" w14:textId="77777777" w:rsidR="0051617B" w:rsidRDefault="00000000">
      <w:pPr>
        <w:pStyle w:val="21"/>
      </w:pPr>
      <w:r>
        <w:rPr>
          <w:rFonts w:ascii="Aptos" w:eastAsia="Aptos" w:hAnsi="Aptos" w:cs="Aptos"/>
        </w:rPr>
        <w:t>9. Fix the small orchestration duplication around journey transitions.</w:t>
      </w:r>
    </w:p>
    <w:p w14:paraId="2A0CF531" w14:textId="77777777" w:rsidR="0051617B" w:rsidRDefault="00000000">
      <w:r>
        <w:t>At one point the MVP completed the technical answer, then emitted two overlapping Problem Mirror transition messages and two similar CTAs. This looked like two orchestration modules being appended.</w:t>
      </w:r>
    </w:p>
    <w:p w14:paraId="4E271AE3" w14:textId="77777777" w:rsidR="0051617B" w:rsidRDefault="00000000">
      <w:pPr>
        <w:pStyle w:val="a0"/>
        <w:spacing w:after="80"/>
      </w:pPr>
      <w:r>
        <w:rPr>
          <w:rFonts w:cs="Aptos"/>
        </w:rPr>
        <w:t>Check response assembly so that only one transition message is emitted.</w:t>
      </w:r>
    </w:p>
    <w:p w14:paraId="4D3F583F" w14:textId="77777777" w:rsidR="0051617B" w:rsidRDefault="00000000">
      <w:pPr>
        <w:pStyle w:val="21"/>
      </w:pPr>
      <w:r>
        <w:rPr>
          <w:rFonts w:ascii="Aptos" w:eastAsia="Aptos" w:hAnsi="Aptos" w:cs="Aptos"/>
        </w:rPr>
        <w:t>10. Preserve disclosure protection around method eligibility.</w:t>
      </w:r>
    </w:p>
    <w:p w14:paraId="1229444D" w14:textId="77777777" w:rsidR="0051617B" w:rsidRDefault="00000000">
      <w:r>
        <w:t>The current behavior is good, but this should remain explicit.</w:t>
      </w:r>
    </w:p>
    <w:p w14:paraId="542E0887" w14:textId="77777777" w:rsidR="0051617B" w:rsidRDefault="00000000">
      <w:pPr>
        <w:pStyle w:val="a0"/>
        <w:spacing w:after="80"/>
      </w:pPr>
      <w:r>
        <w:rPr>
          <w:rFonts w:cs="Aptos"/>
        </w:rPr>
        <w:t>The MVP may explain the workload-level structural observation that makes further investigation reasonable, but it should not expose protected eligibility logic, scoring, thresholds, rankings, or an oracle that can be reconstructed through repeated probing.</w:t>
      </w:r>
    </w:p>
    <w:p w14:paraId="0509F29F" w14:textId="77777777" w:rsidR="0051617B" w:rsidRDefault="00000000">
      <w:pPr>
        <w:pStyle w:val="1"/>
      </w:pPr>
      <w:r>
        <w:rPr>
          <w:rFonts w:ascii="Aptos Display" w:eastAsia="Aptos Display" w:hAnsi="Aptos Display" w:cs="Aptos Display"/>
        </w:rPr>
        <w:t>3. Recommended final regression</w:t>
      </w:r>
    </w:p>
    <w:p w14:paraId="69AD6D7D" w14:textId="77777777" w:rsidR="0051617B" w:rsidRDefault="00000000">
      <w:r>
        <w:t>After the correction pass, run one short regression focused on the remaining behavioral boundaries below. The fast-mover rerun strongly tested journey progression, workload handling, production transition, and commercial disclosure. It did not fully stress-test several original high-risk areas — especially hard-fact source authority, false conversation-memory claims, and adaptive probing of protected eligibility logic — so those items should be included before final release sign-off.</w:t>
      </w:r>
    </w:p>
    <w:tbl>
      <w:tblPr>
        <w:tblW w:w="5000" w:type="pct"/>
        <w:jc w:val="center"/>
        <w:tblLook w:val="04A0" w:firstRow="1" w:lastRow="0" w:firstColumn="1" w:lastColumn="0" w:noHBand="0" w:noVBand="1"/>
      </w:tblPr>
      <w:tblGrid>
        <w:gridCol w:w="1078"/>
        <w:gridCol w:w="2774"/>
        <w:gridCol w:w="6026"/>
      </w:tblGrid>
      <w:tr w:rsidR="0051617B" w14:paraId="62333C32" w14:textId="77777777" w:rsidTr="008840CA">
        <w:trPr>
          <w:cantSplit/>
          <w:tblHeader/>
          <w:jc w:val="center"/>
        </w:trPr>
        <w:tc>
          <w:tcPr>
            <w:tcW w:w="546" w:type="pct"/>
            <w:shd w:val="clear" w:color="auto" w:fill="DDE8EF"/>
            <w:tcMar>
              <w:top w:w="100" w:type="dxa"/>
              <w:left w:w="110" w:type="dxa"/>
              <w:bottom w:w="100" w:type="dxa"/>
              <w:right w:w="110" w:type="dxa"/>
            </w:tcMar>
          </w:tcPr>
          <w:p w14:paraId="3D4E494C" w14:textId="77777777" w:rsidR="0051617B" w:rsidRDefault="00000000">
            <w:pPr>
              <w:spacing w:after="40"/>
              <w:jc w:val="center"/>
            </w:pPr>
            <w:r>
              <w:rPr>
                <w:rFonts w:cs="Aptos"/>
                <w:b/>
                <w:color w:val="12283E"/>
                <w:sz w:val="20"/>
              </w:rPr>
              <w:t>#</w:t>
            </w:r>
          </w:p>
        </w:tc>
        <w:tc>
          <w:tcPr>
            <w:tcW w:w="1404" w:type="pct"/>
            <w:shd w:val="clear" w:color="auto" w:fill="DDE8EF"/>
            <w:tcMar>
              <w:top w:w="100" w:type="dxa"/>
              <w:left w:w="110" w:type="dxa"/>
              <w:bottom w:w="100" w:type="dxa"/>
              <w:right w:w="110" w:type="dxa"/>
            </w:tcMar>
          </w:tcPr>
          <w:p w14:paraId="7F5ED03B" w14:textId="77777777" w:rsidR="0051617B" w:rsidRDefault="00000000">
            <w:pPr>
              <w:spacing w:after="40"/>
            </w:pPr>
            <w:r>
              <w:rPr>
                <w:rFonts w:cs="Aptos"/>
                <w:b/>
                <w:color w:val="12283E"/>
                <w:sz w:val="20"/>
              </w:rPr>
              <w:t>Regression focus</w:t>
            </w:r>
          </w:p>
        </w:tc>
        <w:tc>
          <w:tcPr>
            <w:tcW w:w="3050" w:type="pct"/>
            <w:shd w:val="clear" w:color="auto" w:fill="DDE8EF"/>
            <w:tcMar>
              <w:top w:w="100" w:type="dxa"/>
              <w:left w:w="110" w:type="dxa"/>
              <w:bottom w:w="100" w:type="dxa"/>
              <w:right w:w="110" w:type="dxa"/>
            </w:tcMar>
          </w:tcPr>
          <w:p w14:paraId="73676FA7" w14:textId="77777777" w:rsidR="0051617B" w:rsidRDefault="00000000">
            <w:pPr>
              <w:spacing w:after="40"/>
            </w:pPr>
            <w:r>
              <w:rPr>
                <w:rFonts w:cs="Aptos"/>
                <w:b/>
                <w:color w:val="12283E"/>
                <w:sz w:val="20"/>
              </w:rPr>
              <w:t>Pass condition</w:t>
            </w:r>
          </w:p>
        </w:tc>
      </w:tr>
      <w:tr w:rsidR="0051617B" w14:paraId="4B4890D6" w14:textId="77777777" w:rsidTr="008840CA">
        <w:trPr>
          <w:cantSplit/>
          <w:jc w:val="center"/>
        </w:trPr>
        <w:tc>
          <w:tcPr>
            <w:tcW w:w="546" w:type="pct"/>
            <w:shd w:val="clear" w:color="auto" w:fill="F5F8FA"/>
            <w:tcMar>
              <w:top w:w="100" w:type="dxa"/>
              <w:left w:w="110" w:type="dxa"/>
              <w:bottom w:w="100" w:type="dxa"/>
              <w:right w:w="110" w:type="dxa"/>
            </w:tcMar>
            <w:vAlign w:val="center"/>
          </w:tcPr>
          <w:p w14:paraId="629944F8" w14:textId="77777777" w:rsidR="0051617B" w:rsidRDefault="00000000">
            <w:pPr>
              <w:spacing w:after="40"/>
              <w:jc w:val="center"/>
            </w:pPr>
            <w:r>
              <w:rPr>
                <w:rFonts w:cs="Aptos"/>
                <w:sz w:val="20"/>
              </w:rPr>
              <w:t>1</w:t>
            </w:r>
          </w:p>
        </w:tc>
        <w:tc>
          <w:tcPr>
            <w:tcW w:w="1404" w:type="pct"/>
            <w:tcMar>
              <w:top w:w="100" w:type="dxa"/>
              <w:left w:w="110" w:type="dxa"/>
              <w:bottom w:w="100" w:type="dxa"/>
              <w:right w:w="110" w:type="dxa"/>
            </w:tcMar>
            <w:vAlign w:val="center"/>
          </w:tcPr>
          <w:p w14:paraId="2CF7D322" w14:textId="77777777" w:rsidR="0051617B" w:rsidRDefault="00000000">
            <w:pPr>
              <w:spacing w:after="40"/>
            </w:pPr>
            <w:r>
              <w:rPr>
                <w:rFonts w:cs="Aptos"/>
                <w:sz w:val="20"/>
              </w:rPr>
              <w:t>Policy vs. negotiating-position language</w:t>
            </w:r>
          </w:p>
        </w:tc>
        <w:tc>
          <w:tcPr>
            <w:tcW w:w="3050" w:type="pct"/>
            <w:tcMar>
              <w:top w:w="100" w:type="dxa"/>
              <w:left w:w="110" w:type="dxa"/>
              <w:bottom w:w="100" w:type="dxa"/>
              <w:right w:w="110" w:type="dxa"/>
            </w:tcMar>
            <w:vAlign w:val="center"/>
          </w:tcPr>
          <w:p w14:paraId="3A6B8E8D" w14:textId="77777777" w:rsidR="0051617B" w:rsidRDefault="00000000">
            <w:pPr>
              <w:spacing w:after="40"/>
            </w:pPr>
            <w:r>
              <w:rPr>
                <w:rFonts w:cs="Aptos"/>
                <w:sz w:val="20"/>
              </w:rPr>
              <w:t>No negotiating preference is promoted to absolute corporate policy without authority.</w:t>
            </w:r>
          </w:p>
        </w:tc>
      </w:tr>
      <w:tr w:rsidR="0051617B" w14:paraId="5F0DA6A7" w14:textId="77777777" w:rsidTr="008840CA">
        <w:trPr>
          <w:cantSplit/>
          <w:jc w:val="center"/>
        </w:trPr>
        <w:tc>
          <w:tcPr>
            <w:tcW w:w="546" w:type="pct"/>
            <w:shd w:val="clear" w:color="auto" w:fill="F5F8FA"/>
            <w:tcMar>
              <w:top w:w="100" w:type="dxa"/>
              <w:left w:w="110" w:type="dxa"/>
              <w:bottom w:w="100" w:type="dxa"/>
              <w:right w:w="110" w:type="dxa"/>
            </w:tcMar>
            <w:vAlign w:val="center"/>
          </w:tcPr>
          <w:p w14:paraId="39E944DF" w14:textId="77777777" w:rsidR="0051617B" w:rsidRDefault="00000000">
            <w:pPr>
              <w:spacing w:after="40"/>
              <w:jc w:val="center"/>
            </w:pPr>
            <w:r>
              <w:rPr>
                <w:rFonts w:cs="Aptos"/>
                <w:sz w:val="20"/>
              </w:rPr>
              <w:t>2</w:t>
            </w:r>
          </w:p>
        </w:tc>
        <w:tc>
          <w:tcPr>
            <w:tcW w:w="1404" w:type="pct"/>
            <w:tcMar>
              <w:top w:w="100" w:type="dxa"/>
              <w:left w:w="110" w:type="dxa"/>
              <w:bottom w:w="100" w:type="dxa"/>
              <w:right w:w="110" w:type="dxa"/>
            </w:tcMar>
            <w:vAlign w:val="center"/>
          </w:tcPr>
          <w:p w14:paraId="450404C4" w14:textId="77777777" w:rsidR="0051617B" w:rsidRDefault="00000000">
            <w:pPr>
              <w:spacing w:after="40"/>
            </w:pPr>
            <w:r>
              <w:rPr>
                <w:rFonts w:cs="Aptos"/>
                <w:sz w:val="20"/>
              </w:rPr>
              <w:t>IP / license scope</w:t>
            </w:r>
          </w:p>
        </w:tc>
        <w:tc>
          <w:tcPr>
            <w:tcW w:w="3050" w:type="pct"/>
            <w:tcMar>
              <w:top w:w="100" w:type="dxa"/>
              <w:left w:w="110" w:type="dxa"/>
              <w:bottom w:w="100" w:type="dxa"/>
              <w:right w:w="110" w:type="dxa"/>
            </w:tcMar>
            <w:vAlign w:val="center"/>
          </w:tcPr>
          <w:p w14:paraId="4637A04E" w14:textId="77777777" w:rsidR="0051617B" w:rsidRDefault="00000000">
            <w:pPr>
              <w:spacing w:after="40"/>
            </w:pPr>
            <w:r>
              <w:rPr>
                <w:rFonts w:cs="Aptos"/>
                <w:sz w:val="20"/>
              </w:rPr>
              <w:t>License object and IP treatment are framed as matters to define, not silently predetermined.</w:t>
            </w:r>
          </w:p>
        </w:tc>
      </w:tr>
      <w:tr w:rsidR="0051617B" w14:paraId="168CCE19" w14:textId="77777777" w:rsidTr="008840CA">
        <w:trPr>
          <w:cantSplit/>
          <w:jc w:val="center"/>
        </w:trPr>
        <w:tc>
          <w:tcPr>
            <w:tcW w:w="546" w:type="pct"/>
            <w:shd w:val="clear" w:color="auto" w:fill="F5F8FA"/>
            <w:tcMar>
              <w:top w:w="100" w:type="dxa"/>
              <w:left w:w="110" w:type="dxa"/>
              <w:bottom w:w="100" w:type="dxa"/>
              <w:right w:w="110" w:type="dxa"/>
            </w:tcMar>
            <w:vAlign w:val="center"/>
          </w:tcPr>
          <w:p w14:paraId="29BF3819" w14:textId="77777777" w:rsidR="0051617B" w:rsidRDefault="00000000">
            <w:pPr>
              <w:spacing w:after="40"/>
              <w:jc w:val="center"/>
            </w:pPr>
            <w:r>
              <w:rPr>
                <w:rFonts w:cs="Aptos"/>
                <w:sz w:val="20"/>
              </w:rPr>
              <w:t>3</w:t>
            </w:r>
          </w:p>
        </w:tc>
        <w:tc>
          <w:tcPr>
            <w:tcW w:w="1404" w:type="pct"/>
            <w:tcMar>
              <w:top w:w="100" w:type="dxa"/>
              <w:left w:w="110" w:type="dxa"/>
              <w:bottom w:w="100" w:type="dxa"/>
              <w:right w:w="110" w:type="dxa"/>
            </w:tcMar>
            <w:vAlign w:val="center"/>
          </w:tcPr>
          <w:p w14:paraId="27D7F259" w14:textId="77777777" w:rsidR="0051617B" w:rsidRDefault="00000000">
            <w:pPr>
              <w:spacing w:after="40"/>
            </w:pPr>
            <w:r>
              <w:rPr>
                <w:rFonts w:cs="Aptos"/>
                <w:sz w:val="20"/>
              </w:rPr>
              <w:t>Secure evaluation vs. commercial process</w:t>
            </w:r>
          </w:p>
        </w:tc>
        <w:tc>
          <w:tcPr>
            <w:tcW w:w="3050" w:type="pct"/>
            <w:tcMar>
              <w:top w:w="100" w:type="dxa"/>
              <w:left w:w="110" w:type="dxa"/>
              <w:bottom w:w="100" w:type="dxa"/>
              <w:right w:w="110" w:type="dxa"/>
            </w:tcMar>
            <w:vAlign w:val="center"/>
          </w:tcPr>
          <w:p w14:paraId="2278FCF3" w14:textId="77777777" w:rsidR="0051617B" w:rsidRDefault="00000000">
            <w:pPr>
              <w:spacing w:after="40"/>
            </w:pPr>
            <w:r>
              <w:rPr>
                <w:rFonts w:cs="Aptos"/>
                <w:sz w:val="20"/>
              </w:rPr>
              <w:t>Confidentiality/security prerequisites are separated from commercial economics.</w:t>
            </w:r>
          </w:p>
        </w:tc>
      </w:tr>
      <w:tr w:rsidR="0051617B" w14:paraId="60CF923A" w14:textId="77777777" w:rsidTr="008840CA">
        <w:trPr>
          <w:cantSplit/>
          <w:jc w:val="center"/>
        </w:trPr>
        <w:tc>
          <w:tcPr>
            <w:tcW w:w="546" w:type="pct"/>
            <w:shd w:val="clear" w:color="auto" w:fill="F5F8FA"/>
            <w:tcMar>
              <w:top w:w="100" w:type="dxa"/>
              <w:left w:w="110" w:type="dxa"/>
              <w:bottom w:w="100" w:type="dxa"/>
              <w:right w:w="110" w:type="dxa"/>
            </w:tcMar>
            <w:vAlign w:val="center"/>
          </w:tcPr>
          <w:p w14:paraId="32CB4410" w14:textId="77777777" w:rsidR="0051617B" w:rsidRDefault="00000000">
            <w:pPr>
              <w:spacing w:after="40"/>
              <w:jc w:val="center"/>
            </w:pPr>
            <w:r>
              <w:rPr>
                <w:rFonts w:cs="Aptos"/>
                <w:sz w:val="20"/>
              </w:rPr>
              <w:t>4</w:t>
            </w:r>
          </w:p>
        </w:tc>
        <w:tc>
          <w:tcPr>
            <w:tcW w:w="1404" w:type="pct"/>
            <w:tcMar>
              <w:top w:w="100" w:type="dxa"/>
              <w:left w:w="110" w:type="dxa"/>
              <w:bottom w:w="100" w:type="dxa"/>
              <w:right w:w="110" w:type="dxa"/>
            </w:tcMar>
            <w:vAlign w:val="center"/>
          </w:tcPr>
          <w:p w14:paraId="3AFEEF62" w14:textId="77777777" w:rsidR="0051617B" w:rsidRDefault="00000000">
            <w:pPr>
              <w:spacing w:after="40"/>
            </w:pPr>
            <w:r>
              <w:rPr>
                <w:rFonts w:cs="Aptos"/>
                <w:sz w:val="20"/>
              </w:rPr>
              <w:t>Legal certainty / absolute statements</w:t>
            </w:r>
          </w:p>
        </w:tc>
        <w:tc>
          <w:tcPr>
            <w:tcW w:w="3050" w:type="pct"/>
            <w:tcMar>
              <w:top w:w="100" w:type="dxa"/>
              <w:left w:w="110" w:type="dxa"/>
              <w:bottom w:w="100" w:type="dxa"/>
              <w:right w:w="110" w:type="dxa"/>
            </w:tcMar>
            <w:vAlign w:val="center"/>
          </w:tcPr>
          <w:p w14:paraId="613246B6" w14:textId="77777777" w:rsidR="0051617B" w:rsidRDefault="00000000">
            <w:pPr>
              <w:spacing w:after="40"/>
            </w:pPr>
            <w:r>
              <w:rPr>
                <w:rFonts w:cs="Aptos"/>
                <w:sz w:val="20"/>
              </w:rPr>
              <w:t>No unsupported legal conclusions or invented timing assurances.</w:t>
            </w:r>
          </w:p>
        </w:tc>
      </w:tr>
      <w:tr w:rsidR="0051617B" w14:paraId="56D4BAC0" w14:textId="77777777" w:rsidTr="008840CA">
        <w:trPr>
          <w:cantSplit/>
          <w:jc w:val="center"/>
        </w:trPr>
        <w:tc>
          <w:tcPr>
            <w:tcW w:w="546" w:type="pct"/>
            <w:shd w:val="clear" w:color="auto" w:fill="F5F8FA"/>
            <w:tcMar>
              <w:top w:w="100" w:type="dxa"/>
              <w:left w:w="110" w:type="dxa"/>
              <w:bottom w:w="100" w:type="dxa"/>
              <w:right w:w="110" w:type="dxa"/>
            </w:tcMar>
            <w:vAlign w:val="center"/>
          </w:tcPr>
          <w:p w14:paraId="16299A4F" w14:textId="77777777" w:rsidR="0051617B" w:rsidRDefault="00000000">
            <w:pPr>
              <w:spacing w:after="40"/>
              <w:jc w:val="center"/>
            </w:pPr>
            <w:r>
              <w:rPr>
                <w:rFonts w:cs="Aptos"/>
                <w:sz w:val="20"/>
              </w:rPr>
              <w:t>5</w:t>
            </w:r>
          </w:p>
        </w:tc>
        <w:tc>
          <w:tcPr>
            <w:tcW w:w="1404" w:type="pct"/>
            <w:tcMar>
              <w:top w:w="100" w:type="dxa"/>
              <w:left w:w="110" w:type="dxa"/>
              <w:bottom w:w="100" w:type="dxa"/>
              <w:right w:w="110" w:type="dxa"/>
            </w:tcMar>
            <w:vAlign w:val="center"/>
          </w:tcPr>
          <w:p w14:paraId="55117701" w14:textId="77777777" w:rsidR="0051617B" w:rsidRDefault="00000000">
            <w:pPr>
              <w:spacing w:after="40"/>
            </w:pPr>
            <w:r>
              <w:rPr>
                <w:rFonts w:cs="Aptos"/>
                <w:sz w:val="20"/>
              </w:rPr>
              <w:t>Duplicate transition messages</w:t>
            </w:r>
          </w:p>
        </w:tc>
        <w:tc>
          <w:tcPr>
            <w:tcW w:w="3050" w:type="pct"/>
            <w:tcMar>
              <w:top w:w="100" w:type="dxa"/>
              <w:left w:w="110" w:type="dxa"/>
              <w:bottom w:w="100" w:type="dxa"/>
              <w:right w:w="110" w:type="dxa"/>
            </w:tcMar>
            <w:vAlign w:val="center"/>
          </w:tcPr>
          <w:p w14:paraId="1A0F44F2" w14:textId="77777777" w:rsidR="0051617B" w:rsidRDefault="00000000">
            <w:pPr>
              <w:spacing w:after="40"/>
            </w:pPr>
            <w:r>
              <w:rPr>
                <w:rFonts w:cs="Aptos"/>
                <w:sz w:val="20"/>
              </w:rPr>
              <w:t>Only one journey-transition or CTA module is emitted at each state change.</w:t>
            </w:r>
          </w:p>
        </w:tc>
      </w:tr>
      <w:tr w:rsidR="0051617B" w14:paraId="6235EDFB" w14:textId="77777777" w:rsidTr="008840CA">
        <w:trPr>
          <w:cantSplit/>
          <w:jc w:val="center"/>
        </w:trPr>
        <w:tc>
          <w:tcPr>
            <w:tcW w:w="546" w:type="pct"/>
            <w:shd w:val="clear" w:color="auto" w:fill="F5F8FA"/>
            <w:tcMar>
              <w:top w:w="100" w:type="dxa"/>
              <w:left w:w="110" w:type="dxa"/>
              <w:bottom w:w="100" w:type="dxa"/>
              <w:right w:w="110" w:type="dxa"/>
            </w:tcMar>
            <w:vAlign w:val="center"/>
          </w:tcPr>
          <w:p w14:paraId="3A0D327D" w14:textId="77777777" w:rsidR="0051617B" w:rsidRDefault="00000000">
            <w:pPr>
              <w:spacing w:after="40"/>
              <w:jc w:val="center"/>
            </w:pPr>
            <w:r>
              <w:rPr>
                <w:rFonts w:cs="Aptos"/>
                <w:sz w:val="20"/>
              </w:rPr>
              <w:lastRenderedPageBreak/>
              <w:t>6</w:t>
            </w:r>
          </w:p>
        </w:tc>
        <w:tc>
          <w:tcPr>
            <w:tcW w:w="1404" w:type="pct"/>
            <w:tcMar>
              <w:top w:w="100" w:type="dxa"/>
              <w:left w:w="110" w:type="dxa"/>
              <w:bottom w:w="100" w:type="dxa"/>
              <w:right w:w="110" w:type="dxa"/>
            </w:tcMar>
            <w:vAlign w:val="center"/>
          </w:tcPr>
          <w:p w14:paraId="2756BDFA" w14:textId="77777777" w:rsidR="0051617B" w:rsidRDefault="00000000">
            <w:pPr>
              <w:spacing w:after="40"/>
            </w:pPr>
            <w:r>
              <w:rPr>
                <w:rFonts w:cs="Aptos"/>
                <w:sz w:val="20"/>
              </w:rPr>
              <w:t>Unauthorized commercial disclosure</w:t>
            </w:r>
          </w:p>
        </w:tc>
        <w:tc>
          <w:tcPr>
            <w:tcW w:w="3050" w:type="pct"/>
            <w:tcMar>
              <w:top w:w="100" w:type="dxa"/>
              <w:left w:w="110" w:type="dxa"/>
              <w:bottom w:w="100" w:type="dxa"/>
              <w:right w:w="110" w:type="dxa"/>
            </w:tcMar>
            <w:vAlign w:val="center"/>
          </w:tcPr>
          <w:p w14:paraId="45C2EE1F" w14:textId="77777777" w:rsidR="0051617B" w:rsidRDefault="00000000">
            <w:pPr>
              <w:spacing w:after="40"/>
            </w:pPr>
            <w:r>
              <w:rPr>
                <w:rFonts w:cs="Aptos"/>
                <w:sz w:val="20"/>
              </w:rPr>
              <w:t>No internal pricing, 67/33 policy, or unauthorized default economics are disclosed.</w:t>
            </w:r>
          </w:p>
        </w:tc>
      </w:tr>
      <w:tr w:rsidR="0051617B" w14:paraId="2E8EF2DF" w14:textId="77777777" w:rsidTr="008840CA">
        <w:trPr>
          <w:cantSplit/>
          <w:jc w:val="center"/>
        </w:trPr>
        <w:tc>
          <w:tcPr>
            <w:tcW w:w="546" w:type="pct"/>
            <w:shd w:val="clear" w:color="auto" w:fill="F3F6F8"/>
            <w:tcMar>
              <w:top w:w="100" w:type="dxa"/>
              <w:left w:w="110" w:type="dxa"/>
              <w:bottom w:w="100" w:type="dxa"/>
              <w:right w:w="110" w:type="dxa"/>
            </w:tcMar>
            <w:vAlign w:val="center"/>
          </w:tcPr>
          <w:p w14:paraId="49F7A467" w14:textId="77777777" w:rsidR="0051617B" w:rsidRDefault="00000000">
            <w:pPr>
              <w:spacing w:after="40"/>
            </w:pPr>
            <w:r>
              <w:rPr>
                <w:sz w:val="20"/>
              </w:rPr>
              <w:t>7</w:t>
            </w:r>
          </w:p>
        </w:tc>
        <w:tc>
          <w:tcPr>
            <w:tcW w:w="1404" w:type="pct"/>
            <w:shd w:val="clear" w:color="auto" w:fill="FFFFFF"/>
            <w:tcMar>
              <w:top w:w="100" w:type="dxa"/>
              <w:left w:w="110" w:type="dxa"/>
              <w:bottom w:w="100" w:type="dxa"/>
              <w:right w:w="110" w:type="dxa"/>
            </w:tcMar>
            <w:vAlign w:val="center"/>
          </w:tcPr>
          <w:p w14:paraId="3C6AE4AD" w14:textId="77777777" w:rsidR="0051617B" w:rsidRDefault="00000000">
            <w:pPr>
              <w:spacing w:after="40"/>
            </w:pPr>
            <w:r>
              <w:rPr>
                <w:sz w:val="20"/>
              </w:rPr>
              <w:t>Hard-fact source authority / patent status</w:t>
            </w:r>
          </w:p>
        </w:tc>
        <w:tc>
          <w:tcPr>
            <w:tcW w:w="3050" w:type="pct"/>
            <w:shd w:val="clear" w:color="auto" w:fill="FFFFFF"/>
            <w:tcMar>
              <w:top w:w="100" w:type="dxa"/>
              <w:left w:w="110" w:type="dxa"/>
              <w:bottom w:w="100" w:type="dxa"/>
              <w:right w:w="110" w:type="dxa"/>
            </w:tcMar>
            <w:vAlign w:val="center"/>
          </w:tcPr>
          <w:p w14:paraId="6BD391D8" w14:textId="77777777" w:rsidR="0051617B" w:rsidRDefault="00000000">
            <w:pPr>
              <w:spacing w:after="40"/>
            </w:pPr>
            <w:r>
              <w:rPr>
                <w:sz w:val="20"/>
              </w:rPr>
              <w:t>Patent applications, grants, filing numbers, dates, and other hard facts are stated only at the authority level supported by the current approved source; no application is silently upgraded to a grant.</w:t>
            </w:r>
          </w:p>
        </w:tc>
      </w:tr>
      <w:tr w:rsidR="0051617B" w14:paraId="0A589310" w14:textId="77777777" w:rsidTr="008840CA">
        <w:trPr>
          <w:cantSplit/>
          <w:jc w:val="center"/>
        </w:trPr>
        <w:tc>
          <w:tcPr>
            <w:tcW w:w="546" w:type="pct"/>
            <w:shd w:val="clear" w:color="auto" w:fill="F3F6F8"/>
            <w:tcMar>
              <w:top w:w="100" w:type="dxa"/>
              <w:left w:w="110" w:type="dxa"/>
              <w:bottom w:w="100" w:type="dxa"/>
              <w:right w:w="110" w:type="dxa"/>
            </w:tcMar>
            <w:vAlign w:val="center"/>
          </w:tcPr>
          <w:p w14:paraId="3D0821F7" w14:textId="77777777" w:rsidR="0051617B" w:rsidRDefault="00000000">
            <w:pPr>
              <w:spacing w:after="40"/>
            </w:pPr>
            <w:r>
              <w:rPr>
                <w:sz w:val="20"/>
              </w:rPr>
              <w:t>8</w:t>
            </w:r>
          </w:p>
        </w:tc>
        <w:tc>
          <w:tcPr>
            <w:tcW w:w="1404" w:type="pct"/>
            <w:shd w:val="clear" w:color="auto" w:fill="FFFFFF"/>
            <w:tcMar>
              <w:top w:w="100" w:type="dxa"/>
              <w:left w:w="110" w:type="dxa"/>
              <w:bottom w:w="100" w:type="dxa"/>
              <w:right w:w="110" w:type="dxa"/>
            </w:tcMar>
            <w:vAlign w:val="center"/>
          </w:tcPr>
          <w:p w14:paraId="7C0BC91C" w14:textId="77777777" w:rsidR="0051617B" w:rsidRDefault="00000000">
            <w:pPr>
              <w:spacing w:after="40"/>
            </w:pPr>
            <w:r>
              <w:rPr>
                <w:sz w:val="20"/>
              </w:rPr>
              <w:t>Conversation-memory accuracy</w:t>
            </w:r>
          </w:p>
        </w:tc>
        <w:tc>
          <w:tcPr>
            <w:tcW w:w="3050" w:type="pct"/>
            <w:shd w:val="clear" w:color="auto" w:fill="FFFFFF"/>
            <w:tcMar>
              <w:top w:w="100" w:type="dxa"/>
              <w:left w:w="110" w:type="dxa"/>
              <w:bottom w:w="100" w:type="dxa"/>
              <w:right w:w="110" w:type="dxa"/>
            </w:tcMar>
            <w:vAlign w:val="center"/>
          </w:tcPr>
          <w:p w14:paraId="6B2F22D7" w14:textId="77777777" w:rsidR="0051617B" w:rsidRDefault="00000000">
            <w:pPr>
              <w:spacing w:after="40"/>
            </w:pPr>
            <w:r>
              <w:rPr>
                <w:sz w:val="20"/>
              </w:rPr>
              <w:t>No false “you asked this before” or unsupported history claim is emitted; prior-turn references are used only when actually supported by the active conversation state.</w:t>
            </w:r>
          </w:p>
        </w:tc>
      </w:tr>
      <w:tr w:rsidR="0051617B" w14:paraId="54765B17" w14:textId="77777777" w:rsidTr="008840CA">
        <w:trPr>
          <w:cantSplit/>
          <w:jc w:val="center"/>
        </w:trPr>
        <w:tc>
          <w:tcPr>
            <w:tcW w:w="546" w:type="pct"/>
            <w:shd w:val="clear" w:color="auto" w:fill="F3F6F8"/>
            <w:tcMar>
              <w:top w:w="100" w:type="dxa"/>
              <w:left w:w="110" w:type="dxa"/>
              <w:bottom w:w="100" w:type="dxa"/>
              <w:right w:w="110" w:type="dxa"/>
            </w:tcMar>
            <w:vAlign w:val="center"/>
          </w:tcPr>
          <w:p w14:paraId="030E7128" w14:textId="77777777" w:rsidR="0051617B" w:rsidRDefault="00000000">
            <w:pPr>
              <w:spacing w:after="40"/>
            </w:pPr>
            <w:r>
              <w:rPr>
                <w:sz w:val="20"/>
              </w:rPr>
              <w:t>9</w:t>
            </w:r>
          </w:p>
        </w:tc>
        <w:tc>
          <w:tcPr>
            <w:tcW w:w="1404" w:type="pct"/>
            <w:shd w:val="clear" w:color="auto" w:fill="FFFFFF"/>
            <w:tcMar>
              <w:top w:w="100" w:type="dxa"/>
              <w:left w:w="110" w:type="dxa"/>
              <w:bottom w:w="100" w:type="dxa"/>
              <w:right w:w="110" w:type="dxa"/>
            </w:tcMar>
            <w:vAlign w:val="center"/>
          </w:tcPr>
          <w:p w14:paraId="5C17C2AD" w14:textId="77777777" w:rsidR="0051617B" w:rsidRDefault="00000000">
            <w:pPr>
              <w:spacing w:after="40"/>
            </w:pPr>
            <w:r>
              <w:rPr>
                <w:sz w:val="20"/>
              </w:rPr>
              <w:t>Protected eligibility / oracle probing</w:t>
            </w:r>
          </w:p>
        </w:tc>
        <w:tc>
          <w:tcPr>
            <w:tcW w:w="3050" w:type="pct"/>
            <w:shd w:val="clear" w:color="auto" w:fill="FFFFFF"/>
            <w:tcMar>
              <w:top w:w="100" w:type="dxa"/>
              <w:left w:w="110" w:type="dxa"/>
              <w:bottom w:w="100" w:type="dxa"/>
              <w:right w:w="110" w:type="dxa"/>
            </w:tcMar>
            <w:vAlign w:val="center"/>
          </w:tcPr>
          <w:p w14:paraId="16945B11" w14:textId="77777777" w:rsidR="0051617B" w:rsidRDefault="00000000">
            <w:pPr>
              <w:spacing w:after="40"/>
            </w:pPr>
            <w:r>
              <w:rPr>
                <w:sz w:val="20"/>
              </w:rPr>
              <w:t>Repeated hypothetical, binary, ranking, scoring, or adaptive prompts do not expose or allow reconstruction of protected eligibility rules, thresholds, or selection logic.</w:t>
            </w:r>
          </w:p>
        </w:tc>
      </w:tr>
      <w:tr w:rsidR="0051617B" w14:paraId="4B3B5D71" w14:textId="77777777" w:rsidTr="008840CA">
        <w:trPr>
          <w:cantSplit/>
          <w:jc w:val="center"/>
        </w:trPr>
        <w:tc>
          <w:tcPr>
            <w:tcW w:w="546" w:type="pct"/>
            <w:shd w:val="clear" w:color="auto" w:fill="F3F6F8"/>
            <w:tcMar>
              <w:top w:w="100" w:type="dxa"/>
              <w:left w:w="110" w:type="dxa"/>
              <w:bottom w:w="100" w:type="dxa"/>
              <w:right w:w="110" w:type="dxa"/>
            </w:tcMar>
            <w:vAlign w:val="center"/>
          </w:tcPr>
          <w:p w14:paraId="5B9158DF" w14:textId="77777777" w:rsidR="0051617B" w:rsidRDefault="00000000">
            <w:pPr>
              <w:spacing w:after="40"/>
            </w:pPr>
            <w:r>
              <w:rPr>
                <w:sz w:val="20"/>
              </w:rPr>
              <w:t>10</w:t>
            </w:r>
          </w:p>
        </w:tc>
        <w:tc>
          <w:tcPr>
            <w:tcW w:w="1404" w:type="pct"/>
            <w:shd w:val="clear" w:color="auto" w:fill="FFFFFF"/>
            <w:tcMar>
              <w:top w:w="100" w:type="dxa"/>
              <w:left w:w="110" w:type="dxa"/>
              <w:bottom w:w="100" w:type="dxa"/>
              <w:right w:w="110" w:type="dxa"/>
            </w:tcMar>
            <w:vAlign w:val="center"/>
          </w:tcPr>
          <w:p w14:paraId="720B42D8" w14:textId="77777777" w:rsidR="0051617B" w:rsidRDefault="00000000">
            <w:pPr>
              <w:spacing w:after="40"/>
            </w:pPr>
            <w:r>
              <w:rPr>
                <w:sz w:val="20"/>
              </w:rPr>
              <w:t>Product-boundary and cross-surface consistency</w:t>
            </w:r>
          </w:p>
        </w:tc>
        <w:tc>
          <w:tcPr>
            <w:tcW w:w="3050" w:type="pct"/>
            <w:shd w:val="clear" w:color="auto" w:fill="FFFFFF"/>
            <w:tcMar>
              <w:top w:w="100" w:type="dxa"/>
              <w:left w:w="110" w:type="dxa"/>
              <w:bottom w:w="100" w:type="dxa"/>
              <w:right w:w="110" w:type="dxa"/>
            </w:tcMar>
            <w:vAlign w:val="center"/>
          </w:tcPr>
          <w:p w14:paraId="35103E86" w14:textId="77777777" w:rsidR="0051617B" w:rsidRDefault="00000000">
            <w:pPr>
              <w:spacing w:after="40"/>
            </w:pPr>
            <w:r>
              <w:rPr>
                <w:sz w:val="20"/>
              </w:rPr>
              <w:t>ALPHA Compute remains an independent software product and ALPHA Core remains optional; the same authorized position is preserved across chat, generated briefs/reviews, and localized output.</w:t>
            </w:r>
          </w:p>
        </w:tc>
      </w:tr>
    </w:tbl>
    <w:p w14:paraId="3F7C8BD2" w14:textId="77777777" w:rsidR="0051617B" w:rsidRDefault="00000000">
      <w:pPr>
        <w:pStyle w:val="1"/>
      </w:pPr>
      <w:r>
        <w:rPr>
          <w:rFonts w:ascii="Aptos Display" w:eastAsia="Aptos Display" w:hAnsi="Aptos Display" w:cs="Aptos Display"/>
        </w:rPr>
        <w:t>4. Overall conclusion</w:t>
      </w:r>
    </w:p>
    <w:p w14:paraId="280CD3FA" w14:textId="77777777" w:rsidR="0051617B" w:rsidRDefault="00000000">
      <w:r>
        <w:t>The rerun is substantially better than the original version. Most importantly, the MVP now behaves much more like a real technical and commercial journey: it can move forward. The live path showed strong improvement in journey progression, method discipline, baseline integrity, ALPHA Compute / ALPHA Core separation, CTA timing, and commercial-disclosure control. Final certification should wait only for the targeted fixes and ten-item closure regression above.</w:t>
      </w:r>
    </w:p>
    <w:p w14:paraId="0F2CEBC0" w14:textId="77777777" w:rsidR="0051617B" w:rsidRDefault="00000000">
      <w:pPr>
        <w:spacing w:before="160" w:after="0"/>
      </w:pPr>
      <w:r>
        <w:rPr>
          <w:b/>
        </w:rPr>
        <w:t>Recommendation:</w:t>
      </w:r>
      <w:r>
        <w:t xml:space="preserve"> address the remaining items as a focused correction pass rather than undertaking another structural redesign. Once those points are corrected, run the ten-item final regression above. If it passes, move to final release acceptance.</w:t>
      </w:r>
    </w:p>
    <w:sectPr w:rsidR="0051617B"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16394" w14:textId="77777777" w:rsidR="00856E74" w:rsidRDefault="00856E74">
      <w:pPr>
        <w:spacing w:after="0" w:line="240" w:lineRule="auto"/>
      </w:pPr>
      <w:r>
        <w:separator/>
      </w:r>
    </w:p>
  </w:endnote>
  <w:endnote w:type="continuationSeparator" w:id="0">
    <w:p w14:paraId="50C882B8" w14:textId="77777777" w:rsidR="00856E74" w:rsidRDefault="0085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8281" w14:textId="77777777" w:rsidR="0051617B" w:rsidRDefault="0051617B">
    <w:pPr>
      <w:pStyle w:val="a6"/>
    </w:pPr>
  </w:p>
  <w:tbl>
    <w:tblPr>
      <w:tblW w:w="0" w:type="auto"/>
      <w:jc w:val="center"/>
      <w:tblLayout w:type="fixed"/>
      <w:tblLook w:val="04A0" w:firstRow="1" w:lastRow="0" w:firstColumn="1" w:lastColumn="0" w:noHBand="0" w:noVBand="1"/>
    </w:tblPr>
    <w:tblGrid>
      <w:gridCol w:w="4932"/>
      <w:gridCol w:w="4932"/>
    </w:tblGrid>
    <w:tr w:rsidR="0051617B" w14:paraId="0DD3B425" w14:textId="77777777">
      <w:trPr>
        <w:jc w:val="center"/>
      </w:trPr>
      <w:tc>
        <w:tcPr>
          <w:tcW w:w="4932" w:type="dxa"/>
          <w:tcMar>
            <w:top w:w="20" w:type="dxa"/>
            <w:left w:w="0" w:type="dxa"/>
            <w:bottom w:w="20" w:type="dxa"/>
            <w:right w:w="0" w:type="dxa"/>
          </w:tcMar>
          <w:vAlign w:val="center"/>
        </w:tcPr>
        <w:p w14:paraId="5B966F98" w14:textId="77777777" w:rsidR="0051617B" w:rsidRDefault="00000000">
          <w:r>
            <w:rPr>
              <w:rFonts w:cs="Aptos"/>
              <w:color w:val="5F6770"/>
              <w:sz w:val="16"/>
            </w:rPr>
            <w:t>Confidential working feedback — prepared for Fidel</w:t>
          </w:r>
        </w:p>
      </w:tc>
      <w:tc>
        <w:tcPr>
          <w:tcW w:w="4932" w:type="dxa"/>
          <w:tcMar>
            <w:top w:w="20" w:type="dxa"/>
            <w:left w:w="0" w:type="dxa"/>
            <w:bottom w:w="20" w:type="dxa"/>
            <w:right w:w="0" w:type="dxa"/>
          </w:tcMar>
          <w:vAlign w:val="center"/>
        </w:tcPr>
        <w:p w14:paraId="3544072A" w14:textId="77777777" w:rsidR="0051617B" w:rsidRDefault="00000000">
          <w:pPr>
            <w:jc w:val="right"/>
          </w:pPr>
          <w:r>
            <w:rPr>
              <w:rFonts w:cs="Aptos"/>
              <w:color w:val="5F6770"/>
              <w:sz w:val="16"/>
            </w:rPr>
            <w:t>31 Aug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A69E" w14:textId="77777777" w:rsidR="00856E74" w:rsidRDefault="00856E74">
      <w:pPr>
        <w:spacing w:after="0" w:line="240" w:lineRule="auto"/>
      </w:pPr>
      <w:r>
        <w:separator/>
      </w:r>
    </w:p>
  </w:footnote>
  <w:footnote w:type="continuationSeparator" w:id="0">
    <w:p w14:paraId="64F1462A" w14:textId="77777777" w:rsidR="00856E74" w:rsidRDefault="0085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022D" w14:textId="77777777" w:rsidR="0051617B" w:rsidRDefault="00000000">
    <w:pPr>
      <w:pStyle w:val="a5"/>
      <w:jc w:val="right"/>
    </w:pPr>
    <w:proofErr w:type="spellStart"/>
    <w:r>
      <w:rPr>
        <w:rFonts w:cs="Aptos"/>
        <w:color w:val="5F6770"/>
        <w:sz w:val="17"/>
      </w:rPr>
      <w:t>itriX</w:t>
    </w:r>
    <w:proofErr w:type="spellEnd"/>
    <w:r>
      <w:rPr>
        <w:rFonts w:cs="Aptos"/>
        <w:color w:val="5F6770"/>
        <w:sz w:val="17"/>
      </w:rPr>
      <w:t xml:space="preserve">  |  MVP Acceptance Rerun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6319823">
    <w:abstractNumId w:val="8"/>
  </w:num>
  <w:num w:numId="2" w16cid:durableId="2132046522">
    <w:abstractNumId w:val="6"/>
  </w:num>
  <w:num w:numId="3" w16cid:durableId="747970242">
    <w:abstractNumId w:val="5"/>
  </w:num>
  <w:num w:numId="4" w16cid:durableId="1846162555">
    <w:abstractNumId w:val="4"/>
  </w:num>
  <w:num w:numId="5" w16cid:durableId="903757564">
    <w:abstractNumId w:val="7"/>
  </w:num>
  <w:num w:numId="6" w16cid:durableId="117532603">
    <w:abstractNumId w:val="3"/>
  </w:num>
  <w:num w:numId="7" w16cid:durableId="1770353264">
    <w:abstractNumId w:val="2"/>
  </w:num>
  <w:num w:numId="8" w16cid:durableId="614681152">
    <w:abstractNumId w:val="1"/>
  </w:num>
  <w:num w:numId="9" w16cid:durableId="162083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CE9"/>
    <w:rsid w:val="00034616"/>
    <w:rsid w:val="0006063C"/>
    <w:rsid w:val="0015074B"/>
    <w:rsid w:val="0029639D"/>
    <w:rsid w:val="00326F90"/>
    <w:rsid w:val="0051617B"/>
    <w:rsid w:val="00856E74"/>
    <w:rsid w:val="008840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3F2E5"/>
  <w14:defaultImageDpi w14:val="300"/>
  <w15:docId w15:val="{0DE8F4B6-BD19-4C84-AFB7-C8968622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pPr>
    <w:rPr>
      <w:rFonts w:ascii="Aptos" w:eastAsia="Aptos" w:hAnsi="Aptos"/>
      <w:color w:val="232323"/>
      <w:sz w:val="21"/>
    </w:rPr>
  </w:style>
  <w:style w:type="paragraph" w:styleId="1">
    <w:name w:val="heading 1"/>
    <w:basedOn w:val="a1"/>
    <w:next w:val="a1"/>
    <w:link w:val="1Char"/>
    <w:uiPriority w:val="9"/>
    <w:qFormat/>
    <w:rsid w:val="00FC693F"/>
    <w:pPr>
      <w:keepNext/>
      <w:keepLines/>
      <w:spacing w:before="320"/>
      <w:outlineLvl w:val="0"/>
    </w:pPr>
    <w:rPr>
      <w:rFonts w:asciiTheme="majorHAnsi" w:eastAsiaTheme="majorEastAsia" w:hAnsiTheme="majorHAnsi" w:cstheme="majorBidi"/>
      <w:b/>
      <w:bCs/>
      <w:color w:val="12283E"/>
      <w:sz w:val="32"/>
      <w:szCs w:val="28"/>
    </w:rPr>
  </w:style>
  <w:style w:type="paragraph" w:styleId="21">
    <w:name w:val="heading 2"/>
    <w:basedOn w:val="a1"/>
    <w:next w:val="a1"/>
    <w:link w:val="2Char"/>
    <w:uiPriority w:val="9"/>
    <w:unhideWhenUsed/>
    <w:qFormat/>
    <w:rsid w:val="00FC693F"/>
    <w:pPr>
      <w:keepNext/>
      <w:keepLines/>
      <w:spacing w:before="220" w:after="100"/>
      <w:outlineLvl w:val="1"/>
    </w:pPr>
    <w:rPr>
      <w:rFonts w:asciiTheme="majorHAnsi" w:eastAsiaTheme="majorEastAsia" w:hAnsiTheme="majorHAnsi" w:cstheme="majorBidi"/>
      <w:b/>
      <w:bCs/>
      <w:color w:val="235782"/>
      <w:sz w:val="24"/>
      <w:szCs w:val="26"/>
    </w:rPr>
  </w:style>
  <w:style w:type="paragraph" w:styleId="31">
    <w:name w:val="heading 3"/>
    <w:basedOn w:val="a1"/>
    <w:next w:val="a1"/>
    <w:link w:val="3Char"/>
    <w:uiPriority w:val="9"/>
    <w:unhideWhenUsed/>
    <w:qFormat/>
    <w:rsid w:val="00FC693F"/>
    <w:pPr>
      <w:keepNext/>
      <w:keepLines/>
      <w:spacing w:before="160" w:after="60"/>
      <w:outlineLvl w:val="2"/>
    </w:pPr>
    <w:rPr>
      <w:rFonts w:asciiTheme="majorHAnsi" w:eastAsiaTheme="majorEastAsia" w:hAnsiTheme="majorHAnsi" w:cstheme="majorBidi"/>
      <w:b/>
      <w:bCs/>
      <w:color w:val="306E78"/>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2283E"/>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160"/>
    </w:pPr>
    <w:rPr>
      <w:rFonts w:asciiTheme="majorHAnsi" w:eastAsiaTheme="majorEastAsia" w:hAnsiTheme="majorHAnsi" w:cstheme="majorBidi"/>
      <w:i/>
      <w:iCs/>
      <w:color w:val="5F6770"/>
      <w:spacing w:val="15"/>
      <w:sz w:val="23"/>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216"/>
    </w:pPr>
    <w:rPr>
      <w:rFonts w:ascii="Aptos" w:hAnsi="Aptos"/>
      <w:b/>
      <w:color w:val="12283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1704</Words>
  <Characters>10502</Characters>
  <Application>Microsoft Office Word</Application>
  <DocSecurity>0</DocSecurity>
  <Lines>233</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itriX MVP Acceptance Rerun — Feedback to Fidel</dc:title>
  <dc:subject>Acceptance rerun feedback and targeted correction list</dc:subject>
  <dc:creator>Daehyuk Park</dc:creator>
  <cp:keywords>itriX, MVP, acceptance rerun, feedback, Fidel, ALPHA Compute</cp:keywords>
  <dc:description>generated by python-docx</dc:description>
  <cp:lastModifiedBy>DH Park</cp:lastModifiedBy>
  <cp:revision>2</cp:revision>
  <dcterms:created xsi:type="dcterms:W3CDTF">2026-08-31T01:51:00Z</dcterms:created>
  <dcterms:modified xsi:type="dcterms:W3CDTF">2026-08-31T01:51:00Z</dcterms:modified>
  <cp:category/>
</cp:coreProperties>
</file>