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CD47C" w14:textId="77777777" w:rsidR="000404DE" w:rsidRDefault="00000000">
      <w:pPr>
        <w:jc w:val="center"/>
      </w:pPr>
      <w:r>
        <w:rPr>
          <w:b/>
          <w:color w:val="4B5F78"/>
          <w:sz w:val="20"/>
        </w:rPr>
        <w:t>WHITE PAPER  ·  CONTROLLED KNOWLEDGE EDITION</w:t>
      </w:r>
    </w:p>
    <w:p w14:paraId="71D0738F" w14:textId="77777777" w:rsidR="000404DE" w:rsidRDefault="00000000">
      <w:pPr>
        <w:jc w:val="center"/>
      </w:pPr>
      <w:r>
        <w:rPr>
          <w:b/>
          <w:color w:val="14233C"/>
          <w:sz w:val="56"/>
        </w:rPr>
        <w:t>itriX Computational Infrastructure</w:t>
      </w:r>
      <w:r>
        <w:rPr>
          <w:b/>
          <w:color w:val="14233C"/>
          <w:sz w:val="56"/>
        </w:rPr>
        <w:br/>
        <w:t>for the Age of AI</w:t>
      </w:r>
    </w:p>
    <w:p w14:paraId="64EE1EF9" w14:textId="77777777" w:rsidR="000404DE" w:rsidRDefault="00000000">
      <w:pPr>
        <w:jc w:val="center"/>
      </w:pPr>
      <w:r>
        <w:rPr>
          <w:i/>
          <w:color w:val="3C556E"/>
          <w:sz w:val="28"/>
        </w:rPr>
        <w:t>Observe before reasoning. Represent before execution.</w:t>
      </w:r>
    </w:p>
    <w:p w14:paraId="1E271133" w14:textId="77777777" w:rsidR="000404DE" w:rsidRDefault="000404DE"/>
    <w:tbl>
      <w:tblPr>
        <w:tblW w:w="0" w:type="auto"/>
        <w:jc w:val="center"/>
        <w:tblLook w:val="04A0" w:firstRow="1" w:lastRow="0" w:firstColumn="1" w:lastColumn="0" w:noHBand="0" w:noVBand="1"/>
      </w:tblPr>
      <w:tblGrid>
        <w:gridCol w:w="9878"/>
      </w:tblGrid>
      <w:tr w:rsidR="000404DE" w14:paraId="17E3AF85" w14:textId="77777777">
        <w:trPr>
          <w:jc w:val="center"/>
        </w:trPr>
        <w:tc>
          <w:tcPr>
            <w:tcW w:w="9878" w:type="dxa"/>
            <w:shd w:val="clear" w:color="auto" w:fill="E8EEF5"/>
            <w:tcMar>
              <w:top w:w="140" w:type="dxa"/>
              <w:left w:w="160" w:type="dxa"/>
              <w:bottom w:w="140" w:type="dxa"/>
              <w:right w:w="160" w:type="dxa"/>
            </w:tcMar>
            <w:vAlign w:val="center"/>
          </w:tcPr>
          <w:p w14:paraId="5BCB83BA" w14:textId="77777777" w:rsidR="000404DE" w:rsidRDefault="00000000">
            <w:r>
              <w:rPr>
                <w:b/>
                <w:color w:val="324B69"/>
                <w:sz w:val="18"/>
              </w:rPr>
              <w:t>CORE THESIS</w:t>
            </w:r>
          </w:p>
          <w:p w14:paraId="29896B3C" w14:textId="77777777" w:rsidR="000404DE" w:rsidRDefault="00000000">
            <w:r>
              <w:rPr>
                <w:sz w:val="18"/>
              </w:rPr>
              <w:t>AI infrastructure should not force expensive intelligence to rediscover what matters from raw state, nor force software and hardware to execute an inefficient representation when a better valid structure exists. itriX addresses these two intervention points through PRISM/ASTOP on the observation side and ALPHA Compute/ALPHA Core on the computation side.</w:t>
            </w:r>
          </w:p>
        </w:tc>
      </w:tr>
    </w:tbl>
    <w:p w14:paraId="14D1492D" w14:textId="77777777" w:rsidR="000404DE" w:rsidRDefault="000404DE"/>
    <w:p w14:paraId="3BF0FE3E" w14:textId="77777777" w:rsidR="000404DE" w:rsidRDefault="00000000">
      <w:pPr>
        <w:jc w:val="center"/>
      </w:pPr>
      <w:r>
        <w:t>Version 3.5  |  August 2026</w:t>
      </w:r>
    </w:p>
    <w:p w14:paraId="27566186" w14:textId="77777777" w:rsidR="000404DE" w:rsidRDefault="00000000">
      <w:pPr>
        <w:jc w:val="center"/>
      </w:pPr>
      <w:r>
        <w:rPr>
          <w:sz w:val="20"/>
        </w:rPr>
        <w:t>주식회사</w:t>
      </w:r>
      <w:r>
        <w:rPr>
          <w:sz w:val="20"/>
        </w:rPr>
        <w:t xml:space="preserve"> </w:t>
      </w:r>
      <w:r>
        <w:rPr>
          <w:sz w:val="20"/>
        </w:rPr>
        <w:t>아이트릭스</w:t>
      </w:r>
      <w:r>
        <w:rPr>
          <w:sz w:val="20"/>
        </w:rPr>
        <w:t xml:space="preserve">  |  itriX Co., Ltd.</w:t>
      </w:r>
      <w:r>
        <w:rPr>
          <w:sz w:val="20"/>
        </w:rPr>
        <w:br/>
        <w:t>Internal / Controlled Knowledge Use</w:t>
      </w:r>
    </w:p>
    <w:p w14:paraId="37E812B8" w14:textId="77777777" w:rsidR="000404DE" w:rsidRDefault="00000000">
      <w:r>
        <w:br w:type="page"/>
      </w:r>
    </w:p>
    <w:p w14:paraId="5D22E9CB" w14:textId="77777777" w:rsidR="000404DE" w:rsidRDefault="00000000">
      <w:pPr>
        <w:pStyle w:val="1"/>
      </w:pPr>
      <w:r>
        <w:rPr>
          <w:rFonts w:ascii="Arial" w:hAnsi="Arial"/>
        </w:rPr>
        <w:lastRenderedPageBreak/>
        <w:t>How to Use This White Paper</w:t>
      </w:r>
    </w:p>
    <w:p w14:paraId="1F6FFF7E" w14:textId="1C7A5216" w:rsidR="000404DE" w:rsidRDefault="00000000">
      <w:r>
        <w:t>The sequence is PROBLEM → SECRET → SOLUTION → PRODUCT → PROOF → ECONOMICS → PURPOSE. It separates four questions that must never be confused: what an itriX entity is, what evidence supports a specific claim about it, how that evidence is converted into a licensable production right, and how customers are guided through that process. PRISM, AXIOM, AXIOM-TENSOR, CRE, FQNM and QNTA are technologies; ASTOP, ALPHA Compute and ALPHA Core are products. The AI-Powered Sales Platform is the commercialization mechanism through which itriX manages qualification, controlled evaluation, proof, value verification, license-out and licensee development.</w:t>
      </w:r>
    </w:p>
    <w:p w14:paraId="26A94A15" w14:textId="77777777" w:rsidR="000404DE" w:rsidRDefault="00000000">
      <w:r>
        <w:t>The white paper distinguishes two foundational intervention domains. The first is observation before reasoning: convert high-dimensional raw system state into decision-relevant information before an expensive AI controller is invoked. The second is representation before execution: express eligible computational work in a structurally better form before conventional optimization and hardware execution begin. The Evidence-to-License Framework governs how claims about these interventions progress from mathematical basis to controlled production rights, while the AI-Powered Sales Platform governs the customer journey through that progression.</w:t>
      </w:r>
    </w:p>
    <w:tbl>
      <w:tblPr>
        <w:tblW w:w="0" w:type="auto"/>
        <w:jc w:val="center"/>
        <w:tblLook w:val="04A0" w:firstRow="1" w:lastRow="0" w:firstColumn="1" w:lastColumn="0" w:noHBand="0" w:noVBand="1"/>
      </w:tblPr>
      <w:tblGrid>
        <w:gridCol w:w="9878"/>
      </w:tblGrid>
      <w:tr w:rsidR="000404DE" w14:paraId="5C6F691A" w14:textId="77777777">
        <w:trPr>
          <w:jc w:val="center"/>
        </w:trPr>
        <w:tc>
          <w:tcPr>
            <w:tcW w:w="9878" w:type="dxa"/>
            <w:shd w:val="clear" w:color="auto" w:fill="EAF0F7"/>
            <w:tcMar>
              <w:top w:w="140" w:type="dxa"/>
              <w:left w:w="160" w:type="dxa"/>
              <w:bottom w:w="140" w:type="dxa"/>
              <w:right w:w="160" w:type="dxa"/>
            </w:tcMar>
            <w:vAlign w:val="center"/>
          </w:tcPr>
          <w:p w14:paraId="478BE224" w14:textId="77777777" w:rsidR="000404DE" w:rsidRDefault="00000000">
            <w:r>
              <w:rPr>
                <w:sz w:val="18"/>
              </w:rPr>
              <w:t>CANONICAL TAXONOMY</w:t>
            </w:r>
            <w:r>
              <w:rPr>
                <w:sz w:val="18"/>
              </w:rPr>
              <w:br/>
              <w:t>PRISM, AXIOM, AXIOM-TENSOR, CRE, FQNM and QNTA are technologies. ASTOP, ALPHA Compute and ALPHA Core are products. PRISM’s defining technical architecture is the pre-controller Observation Layer. The AI-Powered Sales Platform is the commercialization mechanism for guiding qualified prospects and licensees through assessment, PoC, validation, value verification, license-out and expansion. The Internal AI Knowledge Core is an internal knowledge component of that platform, not an additional product or technology.</w:t>
            </w:r>
          </w:p>
        </w:tc>
      </w:tr>
    </w:tbl>
    <w:p w14:paraId="391FE51C" w14:textId="77777777" w:rsidR="000404DE" w:rsidRDefault="00000000">
      <w:pPr>
        <w:pStyle w:val="21"/>
      </w:pPr>
      <w:r>
        <w:t>Entity Classification and Evidence-to-License Framework</w:t>
      </w:r>
    </w:p>
    <w:tbl>
      <w:tblPr>
        <w:tblStyle w:val="af9"/>
        <w:tblW w:w="0" w:type="auto"/>
        <w:jc w:val="center"/>
        <w:tblLook w:val="04A0" w:firstRow="1" w:lastRow="0" w:firstColumn="1" w:lastColumn="0" w:noHBand="0" w:noVBand="1"/>
      </w:tblPr>
      <w:tblGrid>
        <w:gridCol w:w="1702"/>
        <w:gridCol w:w="4083"/>
        <w:gridCol w:w="22"/>
        <w:gridCol w:w="4061"/>
      </w:tblGrid>
      <w:tr w:rsidR="000404DE" w:rsidRPr="009F4C36" w14:paraId="66C04E5A" w14:textId="77777777" w:rsidTr="00717CFB">
        <w:trPr>
          <w:jc w:val="center"/>
        </w:trPr>
        <w:tc>
          <w:tcPr>
            <w:tcW w:w="1702" w:type="dxa"/>
            <w:shd w:val="clear" w:color="auto" w:fill="D9E2F3"/>
            <w:tcMar>
              <w:top w:w="100" w:type="dxa"/>
              <w:left w:w="110" w:type="dxa"/>
              <w:bottom w:w="100" w:type="dxa"/>
              <w:right w:w="110" w:type="dxa"/>
            </w:tcMar>
            <w:vAlign w:val="center"/>
          </w:tcPr>
          <w:p w14:paraId="17A534C6" w14:textId="77777777" w:rsidR="000404DE" w:rsidRPr="009F4C36" w:rsidRDefault="00000000">
            <w:pPr>
              <w:rPr>
                <w:sz w:val="20"/>
                <w:szCs w:val="24"/>
              </w:rPr>
            </w:pPr>
            <w:r w:rsidRPr="009F4C36">
              <w:rPr>
                <w:sz w:val="20"/>
                <w:szCs w:val="24"/>
              </w:rPr>
              <w:t>Evidence-to-License status</w:t>
            </w:r>
          </w:p>
        </w:tc>
        <w:tc>
          <w:tcPr>
            <w:tcW w:w="4083" w:type="dxa"/>
            <w:shd w:val="clear" w:color="auto" w:fill="D9E2F3"/>
            <w:tcMar>
              <w:top w:w="100" w:type="dxa"/>
              <w:left w:w="110" w:type="dxa"/>
              <w:bottom w:w="100" w:type="dxa"/>
              <w:right w:w="110" w:type="dxa"/>
            </w:tcMar>
            <w:vAlign w:val="center"/>
          </w:tcPr>
          <w:p w14:paraId="37E63BFD" w14:textId="77777777" w:rsidR="000404DE" w:rsidRPr="009F4C36" w:rsidRDefault="00000000">
            <w:pPr>
              <w:rPr>
                <w:sz w:val="20"/>
                <w:szCs w:val="24"/>
              </w:rPr>
            </w:pPr>
            <w:r w:rsidRPr="009F4C36">
              <w:rPr>
                <w:sz w:val="20"/>
                <w:szCs w:val="24"/>
              </w:rPr>
              <w:t>Meaning</w:t>
            </w:r>
          </w:p>
        </w:tc>
        <w:tc>
          <w:tcPr>
            <w:tcW w:w="4083" w:type="dxa"/>
            <w:gridSpan w:val="2"/>
            <w:shd w:val="clear" w:color="auto" w:fill="D9E2F3"/>
            <w:tcMar>
              <w:top w:w="100" w:type="dxa"/>
              <w:left w:w="110" w:type="dxa"/>
              <w:bottom w:w="100" w:type="dxa"/>
              <w:right w:w="110" w:type="dxa"/>
            </w:tcMar>
            <w:vAlign w:val="center"/>
          </w:tcPr>
          <w:p w14:paraId="16982B42" w14:textId="77777777" w:rsidR="000404DE" w:rsidRPr="009F4C36" w:rsidRDefault="00000000">
            <w:pPr>
              <w:rPr>
                <w:sz w:val="20"/>
                <w:szCs w:val="24"/>
              </w:rPr>
            </w:pPr>
            <w:r w:rsidRPr="009F4C36">
              <w:rPr>
                <w:sz w:val="20"/>
                <w:szCs w:val="24"/>
              </w:rPr>
              <w:t>How to read it</w:t>
            </w:r>
          </w:p>
        </w:tc>
      </w:tr>
      <w:tr w:rsidR="000404DE" w:rsidRPr="009F4C36" w14:paraId="0415CE1D" w14:textId="77777777" w:rsidTr="00717CFB">
        <w:trPr>
          <w:jc w:val="center"/>
        </w:trPr>
        <w:tc>
          <w:tcPr>
            <w:tcW w:w="1702" w:type="dxa"/>
            <w:tcMar>
              <w:top w:w="100" w:type="dxa"/>
              <w:left w:w="110" w:type="dxa"/>
              <w:bottom w:w="100" w:type="dxa"/>
              <w:right w:w="110" w:type="dxa"/>
            </w:tcMar>
            <w:vAlign w:val="center"/>
          </w:tcPr>
          <w:p w14:paraId="7A8AC88E" w14:textId="77777777" w:rsidR="000404DE" w:rsidRPr="009F4C36" w:rsidRDefault="00000000">
            <w:pPr>
              <w:rPr>
                <w:sz w:val="20"/>
                <w:szCs w:val="24"/>
              </w:rPr>
            </w:pPr>
            <w:r w:rsidRPr="009F4C36">
              <w:rPr>
                <w:sz w:val="20"/>
                <w:szCs w:val="24"/>
              </w:rPr>
              <w:t>Mathematical</w:t>
            </w:r>
          </w:p>
        </w:tc>
        <w:tc>
          <w:tcPr>
            <w:tcW w:w="4083" w:type="dxa"/>
            <w:tcMar>
              <w:top w:w="100" w:type="dxa"/>
              <w:left w:w="110" w:type="dxa"/>
              <w:bottom w:w="100" w:type="dxa"/>
              <w:right w:w="110" w:type="dxa"/>
            </w:tcMar>
            <w:vAlign w:val="center"/>
          </w:tcPr>
          <w:p w14:paraId="393CE513" w14:textId="77777777" w:rsidR="000404DE" w:rsidRPr="009F4C36" w:rsidRDefault="00000000">
            <w:pPr>
              <w:rPr>
                <w:sz w:val="20"/>
                <w:szCs w:val="24"/>
              </w:rPr>
            </w:pPr>
            <w:r w:rsidRPr="009F4C36">
              <w:rPr>
                <w:sz w:val="20"/>
                <w:szCs w:val="24"/>
              </w:rPr>
              <w:t>A theorem, invariant, equivalence or structural property is established under stated assumptions.</w:t>
            </w:r>
          </w:p>
        </w:tc>
        <w:tc>
          <w:tcPr>
            <w:tcW w:w="4083" w:type="dxa"/>
            <w:gridSpan w:val="2"/>
            <w:tcMar>
              <w:top w:w="100" w:type="dxa"/>
              <w:left w:w="110" w:type="dxa"/>
              <w:bottom w:w="100" w:type="dxa"/>
              <w:right w:w="110" w:type="dxa"/>
            </w:tcMar>
            <w:vAlign w:val="center"/>
          </w:tcPr>
          <w:p w14:paraId="702CDC8C" w14:textId="77777777" w:rsidR="000404DE" w:rsidRPr="009F4C36" w:rsidRDefault="00000000">
            <w:pPr>
              <w:rPr>
                <w:sz w:val="20"/>
                <w:szCs w:val="24"/>
              </w:rPr>
            </w:pPr>
            <w:r w:rsidRPr="009F4C36">
              <w:rPr>
                <w:sz w:val="20"/>
                <w:szCs w:val="24"/>
              </w:rPr>
              <w:t>Establishes the mathematical property only. It does not by itself establish implementation, measured performance, customer value or licensing readiness.</w:t>
            </w:r>
          </w:p>
        </w:tc>
      </w:tr>
      <w:tr w:rsidR="000404DE" w:rsidRPr="009F4C36" w14:paraId="178DDD5E" w14:textId="77777777" w:rsidTr="00717CFB">
        <w:trPr>
          <w:jc w:val="center"/>
        </w:trPr>
        <w:tc>
          <w:tcPr>
            <w:tcW w:w="1702" w:type="dxa"/>
            <w:tcMar>
              <w:top w:w="100" w:type="dxa"/>
              <w:left w:w="110" w:type="dxa"/>
              <w:bottom w:w="100" w:type="dxa"/>
              <w:right w:w="110" w:type="dxa"/>
            </w:tcMar>
            <w:vAlign w:val="center"/>
          </w:tcPr>
          <w:p w14:paraId="5390EDB3" w14:textId="77777777" w:rsidR="000404DE" w:rsidRPr="009F4C36" w:rsidRDefault="00000000">
            <w:pPr>
              <w:rPr>
                <w:sz w:val="20"/>
                <w:szCs w:val="24"/>
              </w:rPr>
            </w:pPr>
            <w:r w:rsidRPr="009F4C36">
              <w:rPr>
                <w:sz w:val="20"/>
                <w:szCs w:val="24"/>
              </w:rPr>
              <w:t>Experimental</w:t>
            </w:r>
          </w:p>
        </w:tc>
        <w:tc>
          <w:tcPr>
            <w:tcW w:w="4083" w:type="dxa"/>
            <w:tcMar>
              <w:top w:w="100" w:type="dxa"/>
              <w:left w:w="110" w:type="dxa"/>
              <w:bottom w:w="100" w:type="dxa"/>
              <w:right w:w="110" w:type="dxa"/>
            </w:tcMar>
            <w:vAlign w:val="center"/>
          </w:tcPr>
          <w:p w14:paraId="79FBCA95" w14:textId="77777777" w:rsidR="000404DE" w:rsidRPr="009F4C36" w:rsidRDefault="00000000">
            <w:pPr>
              <w:rPr>
                <w:sz w:val="20"/>
                <w:szCs w:val="24"/>
              </w:rPr>
            </w:pPr>
            <w:r w:rsidRPr="009F4C36">
              <w:rPr>
                <w:sz w:val="20"/>
                <w:szCs w:val="24"/>
              </w:rPr>
              <w:t>A technical effect is measured under a defined configuration and baseline.</w:t>
            </w:r>
          </w:p>
        </w:tc>
        <w:tc>
          <w:tcPr>
            <w:tcW w:w="4083" w:type="dxa"/>
            <w:gridSpan w:val="2"/>
            <w:tcMar>
              <w:top w:w="100" w:type="dxa"/>
              <w:left w:w="110" w:type="dxa"/>
              <w:bottom w:w="100" w:type="dxa"/>
              <w:right w:w="110" w:type="dxa"/>
            </w:tcMar>
            <w:vAlign w:val="center"/>
          </w:tcPr>
          <w:p w14:paraId="4B97BF2C" w14:textId="77777777" w:rsidR="000404DE" w:rsidRPr="009F4C36" w:rsidRDefault="00000000">
            <w:pPr>
              <w:rPr>
                <w:sz w:val="20"/>
                <w:szCs w:val="24"/>
              </w:rPr>
            </w:pPr>
            <w:r w:rsidRPr="009F4C36">
              <w:rPr>
                <w:sz w:val="20"/>
                <w:szCs w:val="24"/>
              </w:rPr>
              <w:t>Supports the measured result only within the tested workload, size, precision, hardware, implementation and baseline unless broader evidence exists.</w:t>
            </w:r>
          </w:p>
        </w:tc>
      </w:tr>
      <w:tr w:rsidR="000404DE" w:rsidRPr="009F4C36" w14:paraId="2B3FDC07" w14:textId="77777777" w:rsidTr="00717CFB">
        <w:trPr>
          <w:jc w:val="center"/>
        </w:trPr>
        <w:tc>
          <w:tcPr>
            <w:tcW w:w="1702" w:type="dxa"/>
            <w:tcMar>
              <w:top w:w="100" w:type="dxa"/>
              <w:left w:w="110" w:type="dxa"/>
              <w:bottom w:w="100" w:type="dxa"/>
              <w:right w:w="110" w:type="dxa"/>
            </w:tcMar>
            <w:vAlign w:val="center"/>
          </w:tcPr>
          <w:p w14:paraId="38722595" w14:textId="77777777" w:rsidR="000404DE" w:rsidRPr="009F4C36" w:rsidRDefault="00000000">
            <w:pPr>
              <w:rPr>
                <w:sz w:val="20"/>
                <w:szCs w:val="24"/>
              </w:rPr>
            </w:pPr>
            <w:r w:rsidRPr="009F4C36">
              <w:rPr>
                <w:sz w:val="20"/>
                <w:szCs w:val="24"/>
              </w:rPr>
              <w:t>Implemented</w:t>
            </w:r>
          </w:p>
        </w:tc>
        <w:tc>
          <w:tcPr>
            <w:tcW w:w="4083" w:type="dxa"/>
            <w:tcMar>
              <w:top w:w="100" w:type="dxa"/>
              <w:left w:w="110" w:type="dxa"/>
              <w:bottom w:w="100" w:type="dxa"/>
              <w:right w:w="110" w:type="dxa"/>
            </w:tcMar>
            <w:vAlign w:val="center"/>
          </w:tcPr>
          <w:p w14:paraId="0E189515" w14:textId="77777777" w:rsidR="000404DE" w:rsidRPr="009F4C36" w:rsidRDefault="00000000">
            <w:pPr>
              <w:rPr>
                <w:sz w:val="20"/>
                <w:szCs w:val="24"/>
              </w:rPr>
            </w:pPr>
            <w:r w:rsidRPr="009F4C36">
              <w:rPr>
                <w:sz w:val="20"/>
                <w:szCs w:val="24"/>
              </w:rPr>
              <w:t>The technology has been embodied in a working implementation that can be exercised and evaluated.</w:t>
            </w:r>
          </w:p>
        </w:tc>
        <w:tc>
          <w:tcPr>
            <w:tcW w:w="4083" w:type="dxa"/>
            <w:gridSpan w:val="2"/>
            <w:tcMar>
              <w:top w:w="100" w:type="dxa"/>
              <w:left w:w="110" w:type="dxa"/>
              <w:bottom w:w="100" w:type="dxa"/>
              <w:right w:w="110" w:type="dxa"/>
            </w:tcMar>
            <w:vAlign w:val="center"/>
          </w:tcPr>
          <w:p w14:paraId="601BF2D6" w14:textId="77777777" w:rsidR="000404DE" w:rsidRPr="009F4C36" w:rsidRDefault="00000000">
            <w:pPr>
              <w:rPr>
                <w:sz w:val="20"/>
                <w:szCs w:val="24"/>
              </w:rPr>
            </w:pPr>
            <w:r w:rsidRPr="009F4C36">
              <w:rPr>
                <w:sz w:val="20"/>
                <w:szCs w:val="24"/>
              </w:rPr>
              <w:t>Shows that the concept can operate in practice. It does not by itself establish customer-level validation, production robustness or value.</w:t>
            </w:r>
          </w:p>
        </w:tc>
      </w:tr>
      <w:tr w:rsidR="000404DE" w:rsidRPr="009F4C36" w14:paraId="4D88FA13" w14:textId="77777777" w:rsidTr="00717CFB">
        <w:trPr>
          <w:jc w:val="center"/>
        </w:trPr>
        <w:tc>
          <w:tcPr>
            <w:tcW w:w="1702" w:type="dxa"/>
            <w:tcMar>
              <w:top w:w="100" w:type="dxa"/>
              <w:left w:w="110" w:type="dxa"/>
              <w:bottom w:w="100" w:type="dxa"/>
              <w:right w:w="110" w:type="dxa"/>
            </w:tcMar>
            <w:vAlign w:val="center"/>
          </w:tcPr>
          <w:p w14:paraId="4BE8BBAE" w14:textId="77777777" w:rsidR="000404DE" w:rsidRPr="009F4C36" w:rsidRDefault="00000000">
            <w:pPr>
              <w:rPr>
                <w:sz w:val="20"/>
                <w:szCs w:val="24"/>
              </w:rPr>
            </w:pPr>
            <w:r w:rsidRPr="009F4C36">
              <w:rPr>
                <w:sz w:val="20"/>
                <w:szCs w:val="24"/>
              </w:rPr>
              <w:t>Validated</w:t>
            </w:r>
          </w:p>
        </w:tc>
        <w:tc>
          <w:tcPr>
            <w:tcW w:w="4083" w:type="dxa"/>
            <w:tcMar>
              <w:top w:w="100" w:type="dxa"/>
              <w:left w:w="110" w:type="dxa"/>
              <w:bottom w:w="100" w:type="dxa"/>
              <w:right w:w="110" w:type="dxa"/>
            </w:tcMar>
            <w:vAlign w:val="center"/>
          </w:tcPr>
          <w:p w14:paraId="3A74D276" w14:textId="77777777" w:rsidR="000404DE" w:rsidRPr="009F4C36" w:rsidRDefault="00000000">
            <w:pPr>
              <w:rPr>
                <w:sz w:val="20"/>
                <w:szCs w:val="24"/>
              </w:rPr>
            </w:pPr>
            <w:r w:rsidRPr="009F4C36">
              <w:rPr>
                <w:sz w:val="20"/>
                <w:szCs w:val="24"/>
              </w:rPr>
              <w:t>The implementation has been tested successfully against an agreed workload, environment, baseline and acceptance criterion.</w:t>
            </w:r>
          </w:p>
        </w:tc>
        <w:tc>
          <w:tcPr>
            <w:tcW w:w="4083" w:type="dxa"/>
            <w:gridSpan w:val="2"/>
            <w:tcMar>
              <w:top w:w="100" w:type="dxa"/>
              <w:left w:w="110" w:type="dxa"/>
              <w:bottom w:w="100" w:type="dxa"/>
              <w:right w:w="110" w:type="dxa"/>
            </w:tcMar>
            <w:vAlign w:val="center"/>
          </w:tcPr>
          <w:p w14:paraId="2EBAC0F3" w14:textId="77777777" w:rsidR="000404DE" w:rsidRPr="009F4C36" w:rsidRDefault="00000000">
            <w:pPr>
              <w:rPr>
                <w:sz w:val="20"/>
                <w:szCs w:val="24"/>
              </w:rPr>
            </w:pPr>
            <w:r w:rsidRPr="009F4C36">
              <w:rPr>
                <w:sz w:val="20"/>
                <w:szCs w:val="24"/>
              </w:rPr>
              <w:t>Supports the stated technical result within the validated field of use. It does not automatically generalize to other customers, workloads or systems.</w:t>
            </w:r>
          </w:p>
        </w:tc>
      </w:tr>
      <w:tr w:rsidR="000404DE" w:rsidRPr="009F4C36" w14:paraId="786801BE" w14:textId="77777777" w:rsidTr="00717CFB">
        <w:trPr>
          <w:jc w:val="center"/>
        </w:trPr>
        <w:tc>
          <w:tcPr>
            <w:tcW w:w="1702" w:type="dxa"/>
            <w:tcMar>
              <w:top w:w="100" w:type="dxa"/>
              <w:left w:w="110" w:type="dxa"/>
              <w:bottom w:w="100" w:type="dxa"/>
              <w:right w:w="110" w:type="dxa"/>
            </w:tcMar>
            <w:vAlign w:val="center"/>
          </w:tcPr>
          <w:p w14:paraId="1AEE95E7" w14:textId="77777777" w:rsidR="000404DE" w:rsidRPr="009F4C36" w:rsidRDefault="00000000">
            <w:pPr>
              <w:rPr>
                <w:sz w:val="20"/>
                <w:szCs w:val="24"/>
              </w:rPr>
            </w:pPr>
            <w:r w:rsidRPr="009F4C36">
              <w:rPr>
                <w:sz w:val="20"/>
                <w:szCs w:val="24"/>
              </w:rPr>
              <w:t>Value-Verified</w:t>
            </w:r>
          </w:p>
        </w:tc>
        <w:tc>
          <w:tcPr>
            <w:tcW w:w="4083" w:type="dxa"/>
            <w:tcMar>
              <w:top w:w="100" w:type="dxa"/>
              <w:left w:w="110" w:type="dxa"/>
              <w:bottom w:w="100" w:type="dxa"/>
              <w:right w:w="110" w:type="dxa"/>
            </w:tcMar>
            <w:vAlign w:val="center"/>
          </w:tcPr>
          <w:p w14:paraId="4DF98114" w14:textId="77777777" w:rsidR="000404DE" w:rsidRPr="009F4C36" w:rsidRDefault="00000000">
            <w:pPr>
              <w:rPr>
                <w:sz w:val="20"/>
                <w:szCs w:val="24"/>
              </w:rPr>
            </w:pPr>
            <w:r w:rsidRPr="009F4C36">
              <w:rPr>
                <w:sz w:val="20"/>
                <w:szCs w:val="24"/>
              </w:rPr>
              <w:t xml:space="preserve">A validated technical result has been translated into attributable, measurable </w:t>
            </w:r>
            <w:r w:rsidRPr="009F4C36">
              <w:rPr>
                <w:sz w:val="20"/>
                <w:szCs w:val="24"/>
              </w:rPr>
              <w:lastRenderedPageBreak/>
              <w:t>customer value against an agreed economic baseline.</w:t>
            </w:r>
          </w:p>
        </w:tc>
        <w:tc>
          <w:tcPr>
            <w:tcW w:w="4083" w:type="dxa"/>
            <w:gridSpan w:val="2"/>
            <w:tcMar>
              <w:top w:w="100" w:type="dxa"/>
              <w:left w:w="110" w:type="dxa"/>
              <w:bottom w:w="100" w:type="dxa"/>
              <w:right w:w="110" w:type="dxa"/>
            </w:tcMar>
            <w:vAlign w:val="center"/>
          </w:tcPr>
          <w:p w14:paraId="77D9C503" w14:textId="77777777" w:rsidR="000404DE" w:rsidRPr="009F4C36" w:rsidRDefault="00000000">
            <w:pPr>
              <w:rPr>
                <w:sz w:val="20"/>
                <w:szCs w:val="24"/>
              </w:rPr>
            </w:pPr>
            <w:r w:rsidRPr="009F4C36">
              <w:rPr>
                <w:sz w:val="20"/>
                <w:szCs w:val="24"/>
              </w:rPr>
              <w:lastRenderedPageBreak/>
              <w:t xml:space="preserve">Requires agreed attribution, eligible cost/value categories, measurement period </w:t>
            </w:r>
            <w:r w:rsidRPr="009F4C36">
              <w:rPr>
                <w:sz w:val="20"/>
                <w:szCs w:val="24"/>
              </w:rPr>
              <w:lastRenderedPageBreak/>
              <w:t>and reproducible calculation. Technical improvement alone is not sufficient.</w:t>
            </w:r>
          </w:p>
        </w:tc>
      </w:tr>
      <w:tr w:rsidR="000404DE" w:rsidRPr="009F4C36" w14:paraId="0E101C7B" w14:textId="77777777" w:rsidTr="00717CFB">
        <w:trPr>
          <w:jc w:val="center"/>
        </w:trPr>
        <w:tc>
          <w:tcPr>
            <w:tcW w:w="1702" w:type="dxa"/>
            <w:vAlign w:val="center"/>
          </w:tcPr>
          <w:p w14:paraId="4917C764" w14:textId="77777777" w:rsidR="000404DE" w:rsidRPr="009F4C36" w:rsidRDefault="00000000">
            <w:pPr>
              <w:rPr>
                <w:sz w:val="20"/>
                <w:szCs w:val="24"/>
              </w:rPr>
            </w:pPr>
            <w:r w:rsidRPr="009F4C36">
              <w:rPr>
                <w:sz w:val="20"/>
                <w:szCs w:val="24"/>
              </w:rPr>
              <w:lastRenderedPageBreak/>
              <w:t>Licensable</w:t>
            </w:r>
          </w:p>
        </w:tc>
        <w:tc>
          <w:tcPr>
            <w:tcW w:w="4105" w:type="dxa"/>
            <w:gridSpan w:val="2"/>
            <w:vAlign w:val="center"/>
          </w:tcPr>
          <w:p w14:paraId="30491A6D" w14:textId="77777777" w:rsidR="000404DE" w:rsidRPr="009F4C36" w:rsidRDefault="00000000">
            <w:pPr>
              <w:rPr>
                <w:sz w:val="20"/>
                <w:szCs w:val="24"/>
              </w:rPr>
            </w:pPr>
            <w:r w:rsidRPr="009F4C36">
              <w:rPr>
                <w:sz w:val="20"/>
                <w:szCs w:val="24"/>
              </w:rPr>
              <w:t xml:space="preserve">The technology or product capability has sufficient proof, scope definition, IP control, contractual terms and operating support for </w:t>
            </w:r>
            <w:proofErr w:type="spellStart"/>
            <w:r w:rsidRPr="009F4C36">
              <w:rPr>
                <w:sz w:val="20"/>
                <w:szCs w:val="24"/>
              </w:rPr>
              <w:t>itriX</w:t>
            </w:r>
            <w:proofErr w:type="spellEnd"/>
            <w:r w:rsidRPr="009F4C36">
              <w:rPr>
                <w:sz w:val="20"/>
                <w:szCs w:val="24"/>
              </w:rPr>
              <w:t xml:space="preserve"> to grant production rights within a defined boundary.</w:t>
            </w:r>
          </w:p>
        </w:tc>
        <w:tc>
          <w:tcPr>
            <w:tcW w:w="4061" w:type="dxa"/>
            <w:vAlign w:val="center"/>
          </w:tcPr>
          <w:p w14:paraId="7F878BEE" w14:textId="77777777" w:rsidR="000404DE" w:rsidRPr="009F4C36" w:rsidRDefault="00000000">
            <w:pPr>
              <w:rPr>
                <w:sz w:val="20"/>
                <w:szCs w:val="24"/>
              </w:rPr>
            </w:pPr>
            <w:r w:rsidRPr="009F4C36">
              <w:rPr>
                <w:sz w:val="20"/>
                <w:szCs w:val="24"/>
              </w:rPr>
              <w:t>Licensable is scope-specific: entity, workload, field of use, product, territory, environment, duration and volume may all limit the granted right. It does not make technical or economic outcomes universal.</w:t>
            </w:r>
          </w:p>
        </w:tc>
      </w:tr>
    </w:tbl>
    <w:p w14:paraId="1B214745" w14:textId="77777777" w:rsidR="000404DE" w:rsidRDefault="00000000">
      <w:r>
        <w:t>GOVERNING RULE — Entity type and evidentiary status are independent. “Product” is not a proof level. A claim may advance only as far as its evidence permits: mathematical validity does not imply measured performance; measured performance does not imply implementation readiness; implementation does not imply customer validation; validation does not imply verified customer value; and verified value does not by itself establish a production license right.</w:t>
      </w:r>
    </w:p>
    <w:p w14:paraId="66B7D876" w14:textId="77777777" w:rsidR="000404DE" w:rsidRDefault="00000000">
      <w:pPr>
        <w:pStyle w:val="1"/>
      </w:pPr>
      <w:r>
        <w:rPr>
          <w:rFonts w:ascii="Arial" w:hAnsi="Arial"/>
        </w:rPr>
        <w:t>Canonical Definitions in One Page</w:t>
      </w:r>
    </w:p>
    <w:tbl>
      <w:tblPr>
        <w:tblStyle w:val="af9"/>
        <w:tblW w:w="0" w:type="auto"/>
        <w:jc w:val="center"/>
        <w:tblLook w:val="04A0" w:firstRow="1" w:lastRow="0" w:firstColumn="1" w:lastColumn="0" w:noHBand="0" w:noVBand="1"/>
      </w:tblPr>
      <w:tblGrid>
        <w:gridCol w:w="1418"/>
        <w:gridCol w:w="1700"/>
        <w:gridCol w:w="6750"/>
      </w:tblGrid>
      <w:tr w:rsidR="000404DE" w14:paraId="74B56191" w14:textId="77777777" w:rsidTr="009F4C36">
        <w:trPr>
          <w:jc w:val="center"/>
        </w:trPr>
        <w:tc>
          <w:tcPr>
            <w:tcW w:w="1419" w:type="dxa"/>
            <w:shd w:val="clear" w:color="auto" w:fill="D9E2F3"/>
            <w:tcMar>
              <w:top w:w="100" w:type="dxa"/>
              <w:left w:w="110" w:type="dxa"/>
              <w:bottom w:w="100" w:type="dxa"/>
              <w:right w:w="110" w:type="dxa"/>
            </w:tcMar>
            <w:vAlign w:val="center"/>
          </w:tcPr>
          <w:p w14:paraId="35F82220" w14:textId="77777777" w:rsidR="000404DE" w:rsidRDefault="00000000">
            <w:pPr>
              <w:jc w:val="center"/>
            </w:pPr>
            <w:r>
              <w:rPr>
                <w:b/>
                <w:sz w:val="18"/>
              </w:rPr>
              <w:t>Type</w:t>
            </w:r>
          </w:p>
        </w:tc>
        <w:tc>
          <w:tcPr>
            <w:tcW w:w="1701" w:type="dxa"/>
            <w:shd w:val="clear" w:color="auto" w:fill="D9E2F3"/>
            <w:tcMar>
              <w:top w:w="100" w:type="dxa"/>
              <w:left w:w="110" w:type="dxa"/>
              <w:bottom w:w="100" w:type="dxa"/>
              <w:right w:w="110" w:type="dxa"/>
            </w:tcMar>
            <w:vAlign w:val="center"/>
          </w:tcPr>
          <w:p w14:paraId="0B41F7C0" w14:textId="77777777" w:rsidR="000404DE" w:rsidRDefault="00000000">
            <w:pPr>
              <w:jc w:val="center"/>
            </w:pPr>
            <w:r>
              <w:rPr>
                <w:b/>
                <w:sz w:val="18"/>
              </w:rPr>
              <w:t>Name</w:t>
            </w:r>
          </w:p>
        </w:tc>
        <w:tc>
          <w:tcPr>
            <w:tcW w:w="6759" w:type="dxa"/>
            <w:shd w:val="clear" w:color="auto" w:fill="D9E2F3"/>
            <w:tcMar>
              <w:top w:w="100" w:type="dxa"/>
              <w:left w:w="110" w:type="dxa"/>
              <w:bottom w:w="100" w:type="dxa"/>
              <w:right w:w="110" w:type="dxa"/>
            </w:tcMar>
            <w:vAlign w:val="center"/>
          </w:tcPr>
          <w:p w14:paraId="7CCA3738" w14:textId="77777777" w:rsidR="000404DE" w:rsidRDefault="00000000">
            <w:pPr>
              <w:jc w:val="center"/>
            </w:pPr>
            <w:r>
              <w:rPr>
                <w:b/>
                <w:sz w:val="18"/>
              </w:rPr>
              <w:t>Canonical definition</w:t>
            </w:r>
          </w:p>
        </w:tc>
      </w:tr>
      <w:tr w:rsidR="000404DE" w14:paraId="6131451F" w14:textId="77777777" w:rsidTr="009F4C36">
        <w:trPr>
          <w:jc w:val="center"/>
        </w:trPr>
        <w:tc>
          <w:tcPr>
            <w:tcW w:w="1419" w:type="dxa"/>
            <w:tcMar>
              <w:top w:w="100" w:type="dxa"/>
              <w:left w:w="110" w:type="dxa"/>
              <w:bottom w:w="100" w:type="dxa"/>
              <w:right w:w="110" w:type="dxa"/>
            </w:tcMar>
            <w:vAlign w:val="center"/>
          </w:tcPr>
          <w:p w14:paraId="6D6CEC30" w14:textId="77777777" w:rsidR="000404DE" w:rsidRDefault="00000000">
            <w:r>
              <w:rPr>
                <w:sz w:val="18"/>
              </w:rPr>
              <w:t>Technology</w:t>
            </w:r>
          </w:p>
        </w:tc>
        <w:tc>
          <w:tcPr>
            <w:tcW w:w="1701" w:type="dxa"/>
            <w:tcMar>
              <w:top w:w="100" w:type="dxa"/>
              <w:left w:w="110" w:type="dxa"/>
              <w:bottom w:w="100" w:type="dxa"/>
              <w:right w:w="110" w:type="dxa"/>
            </w:tcMar>
            <w:vAlign w:val="center"/>
          </w:tcPr>
          <w:p w14:paraId="06ADD8AA" w14:textId="77777777" w:rsidR="000404DE" w:rsidRDefault="00000000">
            <w:r>
              <w:rPr>
                <w:sz w:val="18"/>
              </w:rPr>
              <w:t>PRISM</w:t>
            </w:r>
          </w:p>
        </w:tc>
        <w:tc>
          <w:tcPr>
            <w:tcW w:w="6759" w:type="dxa"/>
            <w:tcMar>
              <w:top w:w="100" w:type="dxa"/>
              <w:left w:w="110" w:type="dxa"/>
              <w:bottom w:w="100" w:type="dxa"/>
              <w:right w:w="110" w:type="dxa"/>
            </w:tcMar>
            <w:vAlign w:val="center"/>
          </w:tcPr>
          <w:p w14:paraId="565DA289" w14:textId="77777777" w:rsidR="000404DE" w:rsidRDefault="00000000">
            <w:r>
              <w:t>Observation technology that projects raw computational history into decision-sufficient representations before expensive reasoning; its defining architecture is the pre-controller Observation Layer.</w:t>
            </w:r>
          </w:p>
        </w:tc>
      </w:tr>
      <w:tr w:rsidR="000404DE" w14:paraId="73CC94EB" w14:textId="77777777" w:rsidTr="009F4C36">
        <w:trPr>
          <w:jc w:val="center"/>
        </w:trPr>
        <w:tc>
          <w:tcPr>
            <w:tcW w:w="1419" w:type="dxa"/>
            <w:tcMar>
              <w:top w:w="100" w:type="dxa"/>
              <w:left w:w="110" w:type="dxa"/>
              <w:bottom w:w="100" w:type="dxa"/>
              <w:right w:w="110" w:type="dxa"/>
            </w:tcMar>
            <w:vAlign w:val="center"/>
          </w:tcPr>
          <w:p w14:paraId="3A35B0EC" w14:textId="77777777" w:rsidR="000404DE" w:rsidRDefault="00000000">
            <w:pPr>
              <w:jc w:val="center"/>
            </w:pPr>
            <w:r>
              <w:rPr>
                <w:sz w:val="18"/>
              </w:rPr>
              <w:t>Product</w:t>
            </w:r>
          </w:p>
        </w:tc>
        <w:tc>
          <w:tcPr>
            <w:tcW w:w="1701" w:type="dxa"/>
            <w:tcMar>
              <w:top w:w="100" w:type="dxa"/>
              <w:left w:w="110" w:type="dxa"/>
              <w:bottom w:w="100" w:type="dxa"/>
              <w:right w:w="110" w:type="dxa"/>
            </w:tcMar>
            <w:vAlign w:val="center"/>
          </w:tcPr>
          <w:p w14:paraId="38D10E79" w14:textId="77777777" w:rsidR="000404DE" w:rsidRDefault="00000000">
            <w:r>
              <w:rPr>
                <w:sz w:val="18"/>
              </w:rPr>
              <w:t>ASTOP</w:t>
            </w:r>
          </w:p>
        </w:tc>
        <w:tc>
          <w:tcPr>
            <w:tcW w:w="6759" w:type="dxa"/>
            <w:tcMar>
              <w:top w:w="100" w:type="dxa"/>
              <w:left w:w="110" w:type="dxa"/>
              <w:bottom w:w="100" w:type="dxa"/>
              <w:right w:w="110" w:type="dxa"/>
            </w:tcMar>
            <w:vAlign w:val="center"/>
          </w:tcPr>
          <w:p w14:paraId="47250F66" w14:textId="77777777" w:rsidR="000404DE" w:rsidRDefault="00000000">
            <w:r>
              <w:rPr>
                <w:sz w:val="18"/>
              </w:rPr>
              <w:t>A System Trans-Observation Projector. Cross-platform observability product for host, accelerator, process and experiment state, exposing consistent human, programmatic and event-driven views with explicit measured-zero versus unavailable semantics.</w:t>
            </w:r>
          </w:p>
        </w:tc>
      </w:tr>
      <w:tr w:rsidR="000404DE" w14:paraId="39E54BC0" w14:textId="77777777" w:rsidTr="009F4C36">
        <w:trPr>
          <w:jc w:val="center"/>
        </w:trPr>
        <w:tc>
          <w:tcPr>
            <w:tcW w:w="1419" w:type="dxa"/>
            <w:tcMar>
              <w:top w:w="100" w:type="dxa"/>
              <w:left w:w="110" w:type="dxa"/>
              <w:bottom w:w="100" w:type="dxa"/>
              <w:right w:w="110" w:type="dxa"/>
            </w:tcMar>
            <w:vAlign w:val="center"/>
          </w:tcPr>
          <w:p w14:paraId="0A79E58C" w14:textId="77777777" w:rsidR="000404DE" w:rsidRDefault="00000000">
            <w:pPr>
              <w:jc w:val="center"/>
            </w:pPr>
            <w:r>
              <w:rPr>
                <w:sz w:val="18"/>
              </w:rPr>
              <w:t>Product</w:t>
            </w:r>
          </w:p>
        </w:tc>
        <w:tc>
          <w:tcPr>
            <w:tcW w:w="1701" w:type="dxa"/>
            <w:tcMar>
              <w:top w:w="100" w:type="dxa"/>
              <w:left w:w="110" w:type="dxa"/>
              <w:bottom w:w="100" w:type="dxa"/>
              <w:right w:w="110" w:type="dxa"/>
            </w:tcMar>
            <w:vAlign w:val="center"/>
          </w:tcPr>
          <w:p w14:paraId="0167EE2D" w14:textId="77777777" w:rsidR="000404DE" w:rsidRDefault="00000000">
            <w:r>
              <w:rPr>
                <w:sz w:val="18"/>
              </w:rPr>
              <w:t>ALPHA Compute</w:t>
            </w:r>
          </w:p>
        </w:tc>
        <w:tc>
          <w:tcPr>
            <w:tcW w:w="6759" w:type="dxa"/>
            <w:tcMar>
              <w:top w:w="100" w:type="dxa"/>
              <w:left w:w="110" w:type="dxa"/>
              <w:bottom w:w="100" w:type="dxa"/>
              <w:right w:w="110" w:type="dxa"/>
            </w:tcMar>
            <w:vAlign w:val="center"/>
          </w:tcPr>
          <w:p w14:paraId="0B28DE50" w14:textId="77777777" w:rsidR="000404DE" w:rsidRDefault="00000000">
            <w:r>
              <w:rPr>
                <w:sz w:val="18"/>
              </w:rPr>
              <w:t>Independent software computational infrastructure product for diagnosis, technology eligibility, transformation, execution/routing through existing software, verification/reconstruction, measurement and production deployment on existing hardware.</w:t>
            </w:r>
          </w:p>
        </w:tc>
      </w:tr>
      <w:tr w:rsidR="000404DE" w14:paraId="79473867" w14:textId="77777777" w:rsidTr="009F4C36">
        <w:trPr>
          <w:jc w:val="center"/>
        </w:trPr>
        <w:tc>
          <w:tcPr>
            <w:tcW w:w="1419" w:type="dxa"/>
            <w:tcMar>
              <w:top w:w="100" w:type="dxa"/>
              <w:left w:w="110" w:type="dxa"/>
              <w:bottom w:w="100" w:type="dxa"/>
              <w:right w:w="110" w:type="dxa"/>
            </w:tcMar>
            <w:vAlign w:val="center"/>
          </w:tcPr>
          <w:p w14:paraId="2C97DBEE" w14:textId="77777777" w:rsidR="000404DE" w:rsidRDefault="00000000">
            <w:pPr>
              <w:jc w:val="center"/>
            </w:pPr>
            <w:r>
              <w:rPr>
                <w:sz w:val="18"/>
              </w:rPr>
              <w:t>Product</w:t>
            </w:r>
          </w:p>
        </w:tc>
        <w:tc>
          <w:tcPr>
            <w:tcW w:w="1701" w:type="dxa"/>
            <w:tcMar>
              <w:top w:w="100" w:type="dxa"/>
              <w:left w:w="110" w:type="dxa"/>
              <w:bottom w:w="100" w:type="dxa"/>
              <w:right w:w="110" w:type="dxa"/>
            </w:tcMar>
            <w:vAlign w:val="center"/>
          </w:tcPr>
          <w:p w14:paraId="58DD0D14" w14:textId="77777777" w:rsidR="000404DE" w:rsidRDefault="00000000">
            <w:r>
              <w:rPr>
                <w:sz w:val="18"/>
              </w:rPr>
              <w:t>ALPHA Core</w:t>
            </w:r>
          </w:p>
        </w:tc>
        <w:tc>
          <w:tcPr>
            <w:tcW w:w="6759" w:type="dxa"/>
            <w:tcMar>
              <w:top w:w="100" w:type="dxa"/>
              <w:left w:w="110" w:type="dxa"/>
              <w:bottom w:w="100" w:type="dxa"/>
              <w:right w:w="110" w:type="dxa"/>
            </w:tcMar>
            <w:vAlign w:val="center"/>
          </w:tcPr>
          <w:p w14:paraId="334BAD61" w14:textId="77777777" w:rsidR="000404DE" w:rsidRDefault="00000000">
            <w:r>
              <w:rPr>
                <w:sz w:val="18"/>
              </w:rPr>
              <w:t>Separate optional hardware product that implements or accelerates validated ALPHA structures in FPGA, ASIC, NPU, accelerator, memory/data-path or other hardware architectures when deeper hardware value is justified.</w:t>
            </w:r>
          </w:p>
        </w:tc>
      </w:tr>
      <w:tr w:rsidR="000404DE" w14:paraId="62A597D6" w14:textId="77777777" w:rsidTr="009F4C36">
        <w:trPr>
          <w:jc w:val="center"/>
        </w:trPr>
        <w:tc>
          <w:tcPr>
            <w:tcW w:w="1419" w:type="dxa"/>
            <w:tcMar>
              <w:top w:w="100" w:type="dxa"/>
              <w:left w:w="110" w:type="dxa"/>
              <w:bottom w:w="100" w:type="dxa"/>
              <w:right w:w="110" w:type="dxa"/>
            </w:tcMar>
            <w:vAlign w:val="center"/>
          </w:tcPr>
          <w:p w14:paraId="3C4BC346" w14:textId="77777777" w:rsidR="000404DE" w:rsidRDefault="00000000">
            <w:pPr>
              <w:jc w:val="center"/>
            </w:pPr>
            <w:r>
              <w:rPr>
                <w:sz w:val="18"/>
              </w:rPr>
              <w:t>Technology</w:t>
            </w:r>
          </w:p>
        </w:tc>
        <w:tc>
          <w:tcPr>
            <w:tcW w:w="1701" w:type="dxa"/>
            <w:tcMar>
              <w:top w:w="100" w:type="dxa"/>
              <w:left w:w="110" w:type="dxa"/>
              <w:bottom w:w="100" w:type="dxa"/>
              <w:right w:w="110" w:type="dxa"/>
            </w:tcMar>
            <w:vAlign w:val="center"/>
          </w:tcPr>
          <w:p w14:paraId="418F3802" w14:textId="77777777" w:rsidR="000404DE" w:rsidRDefault="00000000">
            <w:r>
              <w:rPr>
                <w:sz w:val="18"/>
              </w:rPr>
              <w:t>AXIOM</w:t>
            </w:r>
          </w:p>
        </w:tc>
        <w:tc>
          <w:tcPr>
            <w:tcW w:w="6759" w:type="dxa"/>
            <w:tcMar>
              <w:top w:w="100" w:type="dxa"/>
              <w:left w:w="110" w:type="dxa"/>
              <w:bottom w:w="100" w:type="dxa"/>
              <w:right w:w="110" w:type="dxa"/>
            </w:tcMar>
            <w:vAlign w:val="center"/>
          </w:tcPr>
          <w:p w14:paraId="2E648DED" w14:textId="77777777" w:rsidR="000404DE" w:rsidRDefault="00000000">
            <w:r>
              <w:t>High-dimensional algebra/state representation technology that organizes structured algebraic evolution while preserving observation/projection and reconstruction of richer internal state.</w:t>
            </w:r>
          </w:p>
        </w:tc>
      </w:tr>
      <w:tr w:rsidR="000404DE" w14:paraId="6EC93110" w14:textId="77777777" w:rsidTr="009F4C36">
        <w:trPr>
          <w:jc w:val="center"/>
        </w:trPr>
        <w:tc>
          <w:tcPr>
            <w:tcW w:w="1419" w:type="dxa"/>
            <w:tcMar>
              <w:top w:w="100" w:type="dxa"/>
              <w:left w:w="110" w:type="dxa"/>
              <w:bottom w:w="100" w:type="dxa"/>
              <w:right w:w="110" w:type="dxa"/>
            </w:tcMar>
            <w:vAlign w:val="center"/>
          </w:tcPr>
          <w:p w14:paraId="05BEC550" w14:textId="77777777" w:rsidR="000404DE" w:rsidRDefault="00000000">
            <w:pPr>
              <w:jc w:val="center"/>
            </w:pPr>
            <w:r>
              <w:rPr>
                <w:sz w:val="18"/>
              </w:rPr>
              <w:t>Technology</w:t>
            </w:r>
          </w:p>
        </w:tc>
        <w:tc>
          <w:tcPr>
            <w:tcW w:w="1701" w:type="dxa"/>
            <w:tcMar>
              <w:top w:w="100" w:type="dxa"/>
              <w:left w:w="110" w:type="dxa"/>
              <w:bottom w:w="100" w:type="dxa"/>
              <w:right w:w="110" w:type="dxa"/>
            </w:tcMar>
            <w:vAlign w:val="center"/>
          </w:tcPr>
          <w:p w14:paraId="02A43601" w14:textId="77777777" w:rsidR="000404DE" w:rsidRDefault="00000000">
            <w:r>
              <w:rPr>
                <w:sz w:val="18"/>
              </w:rPr>
              <w:t>AXIOM-TENSOR</w:t>
            </w:r>
          </w:p>
        </w:tc>
        <w:tc>
          <w:tcPr>
            <w:tcW w:w="6759" w:type="dxa"/>
            <w:tcMar>
              <w:top w:w="100" w:type="dxa"/>
              <w:left w:w="110" w:type="dxa"/>
              <w:bottom w:w="100" w:type="dxa"/>
              <w:right w:w="110" w:type="dxa"/>
            </w:tcMar>
            <w:vAlign w:val="center"/>
          </w:tcPr>
          <w:p w14:paraId="70B870B8" w14:textId="77777777" w:rsidR="000404DE" w:rsidRDefault="00000000">
            <w:r>
              <w:t>Structured operator/tensor representation technology with exact and reduced-budget modes, selective replacement and workload-specific execution validation.</w:t>
            </w:r>
          </w:p>
        </w:tc>
      </w:tr>
      <w:tr w:rsidR="000404DE" w14:paraId="401E8F13" w14:textId="77777777" w:rsidTr="009F4C36">
        <w:trPr>
          <w:jc w:val="center"/>
        </w:trPr>
        <w:tc>
          <w:tcPr>
            <w:tcW w:w="1419" w:type="dxa"/>
            <w:tcMar>
              <w:top w:w="100" w:type="dxa"/>
              <w:left w:w="110" w:type="dxa"/>
              <w:bottom w:w="100" w:type="dxa"/>
              <w:right w:w="110" w:type="dxa"/>
            </w:tcMar>
            <w:vAlign w:val="center"/>
          </w:tcPr>
          <w:p w14:paraId="376C2B13" w14:textId="77777777" w:rsidR="000404DE" w:rsidRDefault="00000000">
            <w:pPr>
              <w:jc w:val="center"/>
            </w:pPr>
            <w:r>
              <w:rPr>
                <w:sz w:val="18"/>
              </w:rPr>
              <w:t>Technology</w:t>
            </w:r>
          </w:p>
        </w:tc>
        <w:tc>
          <w:tcPr>
            <w:tcW w:w="1701" w:type="dxa"/>
            <w:tcMar>
              <w:top w:w="100" w:type="dxa"/>
              <w:left w:w="110" w:type="dxa"/>
              <w:bottom w:w="100" w:type="dxa"/>
              <w:right w:w="110" w:type="dxa"/>
            </w:tcMar>
            <w:vAlign w:val="center"/>
          </w:tcPr>
          <w:p w14:paraId="4BBD3FE8" w14:textId="77777777" w:rsidR="000404DE" w:rsidRDefault="00000000">
            <w:r>
              <w:rPr>
                <w:sz w:val="18"/>
              </w:rPr>
              <w:t>CRE</w:t>
            </w:r>
          </w:p>
        </w:tc>
        <w:tc>
          <w:tcPr>
            <w:tcW w:w="6759" w:type="dxa"/>
            <w:tcMar>
              <w:top w:w="100" w:type="dxa"/>
              <w:left w:w="110" w:type="dxa"/>
              <w:bottom w:w="100" w:type="dxa"/>
              <w:right w:w="110" w:type="dxa"/>
            </w:tcMar>
            <w:vAlign w:val="center"/>
          </w:tcPr>
          <w:p w14:paraId="3649967A" w14:textId="77777777" w:rsidR="000404DE" w:rsidRDefault="00000000">
            <w:r>
              <w:t>Conjugation–Real Embedding technology that maps eligible complex operators into structure-preserving real block forms; the validated HPD route exposes real SPD execution.</w:t>
            </w:r>
          </w:p>
        </w:tc>
      </w:tr>
      <w:tr w:rsidR="000404DE" w14:paraId="56289EE9" w14:textId="77777777" w:rsidTr="009F4C36">
        <w:trPr>
          <w:jc w:val="center"/>
        </w:trPr>
        <w:tc>
          <w:tcPr>
            <w:tcW w:w="1419" w:type="dxa"/>
            <w:tcMar>
              <w:top w:w="100" w:type="dxa"/>
              <w:left w:w="110" w:type="dxa"/>
              <w:bottom w:w="100" w:type="dxa"/>
              <w:right w:w="110" w:type="dxa"/>
            </w:tcMar>
            <w:vAlign w:val="center"/>
          </w:tcPr>
          <w:p w14:paraId="6F63B40D" w14:textId="77777777" w:rsidR="000404DE" w:rsidRDefault="00000000">
            <w:pPr>
              <w:jc w:val="center"/>
            </w:pPr>
            <w:r>
              <w:rPr>
                <w:sz w:val="18"/>
              </w:rPr>
              <w:lastRenderedPageBreak/>
              <w:t>Technology</w:t>
            </w:r>
          </w:p>
        </w:tc>
        <w:tc>
          <w:tcPr>
            <w:tcW w:w="1701" w:type="dxa"/>
            <w:tcMar>
              <w:top w:w="100" w:type="dxa"/>
              <w:left w:w="110" w:type="dxa"/>
              <w:bottom w:w="100" w:type="dxa"/>
              <w:right w:w="110" w:type="dxa"/>
            </w:tcMar>
            <w:vAlign w:val="center"/>
          </w:tcPr>
          <w:p w14:paraId="5EFF42FE" w14:textId="77777777" w:rsidR="000404DE" w:rsidRDefault="00000000">
            <w:r>
              <w:rPr>
                <w:sz w:val="18"/>
              </w:rPr>
              <w:t>FQNM</w:t>
            </w:r>
          </w:p>
        </w:tc>
        <w:tc>
          <w:tcPr>
            <w:tcW w:w="6759" w:type="dxa"/>
            <w:tcMar>
              <w:top w:w="100" w:type="dxa"/>
              <w:left w:w="110" w:type="dxa"/>
              <w:bottom w:w="100" w:type="dxa"/>
              <w:right w:w="110" w:type="dxa"/>
            </w:tcMar>
            <w:vAlign w:val="center"/>
          </w:tcPr>
          <w:p w14:paraId="01B9F640" w14:textId="77777777" w:rsidR="000404DE" w:rsidRDefault="00000000">
            <w:r>
              <w:t>Quantised integer-transfer technology for validated conservative dynamics, using antisymmetric discrete transfer so conservation can be structural within scope.</w:t>
            </w:r>
          </w:p>
        </w:tc>
      </w:tr>
      <w:tr w:rsidR="000404DE" w14:paraId="11CE8B85" w14:textId="77777777" w:rsidTr="009F4C36">
        <w:trPr>
          <w:jc w:val="center"/>
        </w:trPr>
        <w:tc>
          <w:tcPr>
            <w:tcW w:w="1419" w:type="dxa"/>
            <w:tcMar>
              <w:top w:w="100" w:type="dxa"/>
              <w:left w:w="110" w:type="dxa"/>
              <w:bottom w:w="100" w:type="dxa"/>
              <w:right w:w="110" w:type="dxa"/>
            </w:tcMar>
            <w:vAlign w:val="center"/>
          </w:tcPr>
          <w:p w14:paraId="6F652A2F" w14:textId="77777777" w:rsidR="000404DE" w:rsidRDefault="00000000">
            <w:pPr>
              <w:jc w:val="center"/>
            </w:pPr>
            <w:r>
              <w:rPr>
                <w:sz w:val="18"/>
              </w:rPr>
              <w:t>Technology</w:t>
            </w:r>
          </w:p>
        </w:tc>
        <w:tc>
          <w:tcPr>
            <w:tcW w:w="1701" w:type="dxa"/>
            <w:tcMar>
              <w:top w:w="100" w:type="dxa"/>
              <w:left w:w="110" w:type="dxa"/>
              <w:bottom w:w="100" w:type="dxa"/>
              <w:right w:w="110" w:type="dxa"/>
            </w:tcMar>
            <w:vAlign w:val="center"/>
          </w:tcPr>
          <w:p w14:paraId="1710403E" w14:textId="77777777" w:rsidR="000404DE" w:rsidRDefault="00000000">
            <w:r>
              <w:rPr>
                <w:sz w:val="18"/>
              </w:rPr>
              <w:t>QNTA</w:t>
            </w:r>
          </w:p>
        </w:tc>
        <w:tc>
          <w:tcPr>
            <w:tcW w:w="6759" w:type="dxa"/>
            <w:tcMar>
              <w:top w:w="100" w:type="dxa"/>
              <w:left w:w="110" w:type="dxa"/>
              <w:bottom w:w="100" w:type="dxa"/>
              <w:right w:w="110" w:type="dxa"/>
            </w:tcMar>
            <w:vAlign w:val="center"/>
          </w:tcPr>
          <w:p w14:paraId="657D450A" w14:textId="77777777" w:rsidR="000404DE" w:rsidRDefault="00000000">
            <w:r>
              <w:t>Learning-execution technology that externalizes selected learning computation and mutable state into an explicit inference-compatible contract for broader runtime/device participation.</w:t>
            </w:r>
          </w:p>
        </w:tc>
      </w:tr>
    </w:tbl>
    <w:p w14:paraId="3BCB1C99" w14:textId="77777777" w:rsidR="000404DE" w:rsidRDefault="00000000">
      <w:r>
        <w:t>Source basis: PRISM paper and advisor briefing; ASTOP README; ALPHA Compute/Core white paper v2.5; QNTA + AXIOM-TENSOR Executive Briefing; ITRIX Core Technology Brief (2026.08.28); CRE/FQNM/AXIOM academic and patent materials.</w:t>
      </w:r>
    </w:p>
    <w:p w14:paraId="7A14E4A8" w14:textId="77777777" w:rsidR="000404DE" w:rsidRDefault="00000000">
      <w:pPr>
        <w:pStyle w:val="1"/>
      </w:pPr>
      <w:r>
        <w:rPr>
          <w:rFonts w:ascii="Arial" w:hAnsi="Arial"/>
        </w:rPr>
        <w:t>Contents</w:t>
      </w:r>
    </w:p>
    <w:p w14:paraId="0E950163" w14:textId="77777777" w:rsidR="000404DE" w:rsidRDefault="00000000">
      <w:r>
        <w:rPr>
          <w:b/>
        </w:rPr>
        <w:t>PART I — PROBLEM</w:t>
      </w:r>
    </w:p>
    <w:p w14:paraId="0562EC4A" w14:textId="77777777" w:rsidR="000404DE" w:rsidRDefault="00000000">
      <w:pPr>
        <w:pStyle w:val="a0"/>
      </w:pPr>
      <w:r>
        <w:t>1. AI becomes infrastructure</w:t>
      </w:r>
    </w:p>
    <w:p w14:paraId="3F0F84A3" w14:textId="77777777" w:rsidR="000404DE" w:rsidRDefault="00000000">
      <w:pPr>
        <w:pStyle w:val="a0"/>
      </w:pPr>
      <w:r>
        <w:t>2. The hidden factory behind useful AI</w:t>
      </w:r>
    </w:p>
    <w:p w14:paraId="51602C11" w14:textId="77777777" w:rsidR="000404DE" w:rsidRDefault="00000000">
      <w:pPr>
        <w:pStyle w:val="a0"/>
      </w:pPr>
      <w:r>
        <w:t>3. Observation overload before reasoning</w:t>
      </w:r>
    </w:p>
    <w:p w14:paraId="7187739F" w14:textId="77777777" w:rsidR="000404DE" w:rsidRDefault="00000000">
      <w:pPr>
        <w:pStyle w:val="a0"/>
      </w:pPr>
      <w:r>
        <w:t>4. Representation overhead before execution</w:t>
      </w:r>
    </w:p>
    <w:p w14:paraId="746B86BB" w14:textId="77777777" w:rsidR="000404DE" w:rsidRDefault="00000000">
      <w:pPr>
        <w:pStyle w:val="a0"/>
      </w:pPr>
      <w:r>
        <w:t>5. Why scaling and conventional optimization are not enough</w:t>
      </w:r>
    </w:p>
    <w:p w14:paraId="5C1CAA65" w14:textId="77777777" w:rsidR="000404DE" w:rsidRDefault="00000000">
      <w:r>
        <w:rPr>
          <w:b/>
        </w:rPr>
        <w:t>PART II — SECRET</w:t>
      </w:r>
    </w:p>
    <w:p w14:paraId="52C1C546" w14:textId="77777777" w:rsidR="000404DE" w:rsidRDefault="00000000">
      <w:pPr>
        <w:pStyle w:val="a0"/>
      </w:pPr>
      <w:r>
        <w:t>6. The information boundary</w:t>
      </w:r>
    </w:p>
    <w:p w14:paraId="6EB9ED70" w14:textId="77777777" w:rsidR="000404DE" w:rsidRDefault="00000000">
      <w:pPr>
        <w:pStyle w:val="a0"/>
      </w:pPr>
      <w:r>
        <w:t>7. The representation boundary</w:t>
      </w:r>
    </w:p>
    <w:p w14:paraId="6DD6C7D0" w14:textId="77777777" w:rsidR="000404DE" w:rsidRDefault="00000000">
      <w:pPr>
        <w:pStyle w:val="a0"/>
      </w:pPr>
      <w:r>
        <w:t>8. Decision sufficiency and preserved meaning</w:t>
      </w:r>
    </w:p>
    <w:p w14:paraId="63BC6694" w14:textId="77777777" w:rsidR="000404DE" w:rsidRDefault="00000000">
      <w:pPr>
        <w:pStyle w:val="a0"/>
      </w:pPr>
      <w:r>
        <w:t>9. Eligibility before performance</w:t>
      </w:r>
    </w:p>
    <w:p w14:paraId="4DB82AE2" w14:textId="77777777" w:rsidR="000404DE" w:rsidRDefault="00000000">
      <w:r>
        <w:rPr>
          <w:b/>
        </w:rPr>
        <w:t>PART III — SOLUTION</w:t>
      </w:r>
    </w:p>
    <w:p w14:paraId="2D520841" w14:textId="77777777" w:rsidR="000404DE" w:rsidRDefault="00000000">
      <w:pPr>
        <w:pStyle w:val="a0"/>
      </w:pPr>
      <w:r>
        <w:t>10. The integrated itriX architecture</w:t>
      </w:r>
    </w:p>
    <w:p w14:paraId="3F136B86" w14:textId="77777777" w:rsidR="000404DE" w:rsidRDefault="00000000">
      <w:pPr>
        <w:pStyle w:val="a0"/>
      </w:pPr>
      <w:r>
        <w:t>11. PRISM: observation technology and the Observation Layer</w:t>
      </w:r>
    </w:p>
    <w:p w14:paraId="6710B936" w14:textId="77777777" w:rsidR="000404DE" w:rsidRDefault="00000000">
      <w:pPr>
        <w:pStyle w:val="a0"/>
      </w:pPr>
      <w:r>
        <w:t>12. AXIOM</w:t>
      </w:r>
    </w:p>
    <w:p w14:paraId="079E3C0A" w14:textId="77777777" w:rsidR="000404DE" w:rsidRDefault="00000000">
      <w:pPr>
        <w:pStyle w:val="a0"/>
      </w:pPr>
      <w:r>
        <w:t>13. AXIOM-TENSOR</w:t>
      </w:r>
    </w:p>
    <w:p w14:paraId="5C7202EE" w14:textId="77777777" w:rsidR="000404DE" w:rsidRDefault="00000000">
      <w:pPr>
        <w:pStyle w:val="a0"/>
      </w:pPr>
      <w:r>
        <w:t>14. CRE</w:t>
      </w:r>
    </w:p>
    <w:p w14:paraId="1CE74040" w14:textId="77777777" w:rsidR="000404DE" w:rsidRDefault="00000000">
      <w:pPr>
        <w:pStyle w:val="a0"/>
      </w:pPr>
      <w:r>
        <w:t>15. FQNM</w:t>
      </w:r>
    </w:p>
    <w:p w14:paraId="6E989E48" w14:textId="77777777" w:rsidR="000404DE" w:rsidRDefault="00000000">
      <w:pPr>
        <w:pStyle w:val="a0"/>
      </w:pPr>
      <w:r>
        <w:t>16. QNTA</w:t>
      </w:r>
    </w:p>
    <w:p w14:paraId="6FFD117C" w14:textId="77777777" w:rsidR="000404DE" w:rsidRDefault="00000000">
      <w:pPr>
        <w:pStyle w:val="a0"/>
      </w:pPr>
      <w:r>
        <w:t>17. Composition without a universal pipeline</w:t>
      </w:r>
    </w:p>
    <w:p w14:paraId="5A94C073" w14:textId="77777777" w:rsidR="000404DE" w:rsidRDefault="00000000">
      <w:r>
        <w:rPr>
          <w:b/>
        </w:rPr>
        <w:t>PART IV — PRODUCT</w:t>
      </w:r>
    </w:p>
    <w:p w14:paraId="17A7E61A" w14:textId="77777777" w:rsidR="000404DE" w:rsidRDefault="00000000">
      <w:pPr>
        <w:pStyle w:val="a0"/>
      </w:pPr>
      <w:r>
        <w:t>18. ASTOP</w:t>
      </w:r>
    </w:p>
    <w:p w14:paraId="1F33439F" w14:textId="77777777" w:rsidR="000404DE" w:rsidRDefault="00000000">
      <w:pPr>
        <w:pStyle w:val="a0"/>
      </w:pPr>
      <w:r>
        <w:t>19. ALPHA Compute</w:t>
      </w:r>
    </w:p>
    <w:p w14:paraId="0CB5EBE1" w14:textId="77777777" w:rsidR="000404DE" w:rsidRDefault="00000000">
      <w:pPr>
        <w:pStyle w:val="a0"/>
      </w:pPr>
      <w:r>
        <w:t>20. ALPHA Core</w:t>
      </w:r>
    </w:p>
    <w:p w14:paraId="3A26C44C" w14:textId="77777777" w:rsidR="000404DE" w:rsidRDefault="00000000">
      <w:pPr>
        <w:pStyle w:val="a0"/>
      </w:pPr>
      <w:r>
        <w:t>21. Three independent products, one infrastructure thesis</w:t>
      </w:r>
    </w:p>
    <w:p w14:paraId="7C455BDE" w14:textId="77777777" w:rsidR="000404DE" w:rsidRDefault="00000000">
      <w:pPr>
        <w:pStyle w:val="a0"/>
      </w:pPr>
      <w:r>
        <w:t>22. Integration into the existing compute stack</w:t>
      </w:r>
    </w:p>
    <w:p w14:paraId="0BE23FB3" w14:textId="77777777" w:rsidR="000404DE" w:rsidRDefault="00000000">
      <w:r>
        <w:rPr>
          <w:b/>
        </w:rPr>
        <w:t>PART V — PROOF</w:t>
      </w:r>
    </w:p>
    <w:p w14:paraId="01B266CF" w14:textId="77777777" w:rsidR="000404DE" w:rsidRDefault="00000000">
      <w:pPr>
        <w:pStyle w:val="a0"/>
      </w:pPr>
      <w:r>
        <w:t>23. Evidence hierarchy</w:t>
      </w:r>
    </w:p>
    <w:p w14:paraId="341ED031" w14:textId="77777777" w:rsidR="000404DE" w:rsidRDefault="00000000">
      <w:pPr>
        <w:pStyle w:val="a0"/>
      </w:pPr>
      <w:r>
        <w:t>24. PRISM/ASTOP evidence</w:t>
      </w:r>
    </w:p>
    <w:p w14:paraId="1D25BC1A" w14:textId="77777777" w:rsidR="000404DE" w:rsidRDefault="00000000">
      <w:pPr>
        <w:pStyle w:val="a0"/>
      </w:pPr>
      <w:r>
        <w:t>25. Technology-specific go/no-go gates</w:t>
      </w:r>
    </w:p>
    <w:p w14:paraId="4BADE2D3" w14:textId="77777777" w:rsidR="000404DE" w:rsidRDefault="00000000">
      <w:pPr>
        <w:pStyle w:val="a0"/>
      </w:pPr>
      <w:r>
        <w:t>26. Benchmark and validation protocol</w:t>
      </w:r>
    </w:p>
    <w:p w14:paraId="68E38706" w14:textId="77777777" w:rsidR="000404DE" w:rsidRDefault="00000000">
      <w:pPr>
        <w:pStyle w:val="a0"/>
      </w:pPr>
      <w:r>
        <w:t>27. Claim and disclosure discipline</w:t>
      </w:r>
    </w:p>
    <w:p w14:paraId="7BBFF13B" w14:textId="77777777" w:rsidR="000404DE" w:rsidRDefault="00000000">
      <w:r>
        <w:rPr>
          <w:b/>
        </w:rPr>
        <w:lastRenderedPageBreak/>
        <w:t>PART VI — ECONOMICS</w:t>
      </w:r>
    </w:p>
    <w:p w14:paraId="0D964E89" w14:textId="77777777" w:rsidR="000404DE" w:rsidRDefault="00000000">
      <w:pPr>
        <w:pStyle w:val="a0"/>
      </w:pPr>
      <w:r>
        <w:t>28. From token economy to computation economy</w:t>
      </w:r>
    </w:p>
    <w:p w14:paraId="5A4F9909" w14:textId="77777777" w:rsidR="000404DE" w:rsidRDefault="00000000">
      <w:pPr>
        <w:pStyle w:val="a0"/>
      </w:pPr>
      <w:r>
        <w:t>29. AI-Powered Sales Platform: from evidence to license-out</w:t>
      </w:r>
    </w:p>
    <w:p w14:paraId="3AAEE21C" w14:textId="77777777" w:rsidR="000404DE" w:rsidRDefault="00000000">
      <w:pPr>
        <w:pStyle w:val="a0"/>
      </w:pPr>
      <w:r>
        <w:t>30. ASTOP licensing logic</w:t>
      </w:r>
    </w:p>
    <w:p w14:paraId="62251EF7" w14:textId="77777777" w:rsidR="000404DE" w:rsidRDefault="00000000">
      <w:pPr>
        <w:pStyle w:val="a0"/>
      </w:pPr>
      <w:r>
        <w:t>31. ALPHA Verified Net Advantage and 67:33</w:t>
      </w:r>
    </w:p>
    <w:p w14:paraId="4521DEEB" w14:textId="77777777" w:rsidR="000404DE" w:rsidRDefault="00000000">
      <w:pPr>
        <w:pStyle w:val="a0"/>
      </w:pPr>
      <w:r>
        <w:t>32. Licensing and scalable infrastructure economics</w:t>
      </w:r>
    </w:p>
    <w:p w14:paraId="3F71BA82" w14:textId="77777777" w:rsidR="000404DE" w:rsidRDefault="00000000">
      <w:r>
        <w:rPr>
          <w:b/>
        </w:rPr>
        <w:t>PART VII — PURPOSE</w:t>
      </w:r>
    </w:p>
    <w:p w14:paraId="090CDE9A" w14:textId="77777777" w:rsidR="000404DE" w:rsidRDefault="00000000">
      <w:pPr>
        <w:pStyle w:val="a0"/>
      </w:pPr>
      <w:r>
        <w:t>33. Energy-to-Advantage</w:t>
      </w:r>
    </w:p>
    <w:p w14:paraId="4DC47776" w14:textId="77777777" w:rsidR="000404DE" w:rsidRDefault="00000000">
      <w:pPr>
        <w:pStyle w:val="a0"/>
      </w:pPr>
      <w:r>
        <w:t>34. AI-native computational infrastructure</w:t>
      </w:r>
    </w:p>
    <w:p w14:paraId="0527C895" w14:textId="77777777" w:rsidR="000404DE" w:rsidRDefault="00000000">
      <w:pPr>
        <w:pStyle w:val="a0"/>
      </w:pPr>
      <w:r>
        <w:t>35. Computational sovereignty</w:t>
      </w:r>
    </w:p>
    <w:p w14:paraId="6246A005" w14:textId="77777777" w:rsidR="000404DE" w:rsidRDefault="00000000">
      <w:pPr>
        <w:pStyle w:val="a0"/>
      </w:pPr>
      <w:r>
        <w:t>36. Reinvention, Rigor and Relevance</w:t>
      </w:r>
    </w:p>
    <w:p w14:paraId="4A75B9E1" w14:textId="77777777" w:rsidR="000404DE" w:rsidRDefault="00000000">
      <w:r>
        <w:rPr>
          <w:b/>
        </w:rPr>
        <w:t>PART VIII — REFERENCE</w:t>
      </w:r>
    </w:p>
    <w:p w14:paraId="2168D351" w14:textId="77777777" w:rsidR="000404DE" w:rsidRDefault="00000000">
      <w:pPr>
        <w:pStyle w:val="a0"/>
      </w:pPr>
      <w:r>
        <w:t>Appendix A. Canonical relationship rules</w:t>
      </w:r>
    </w:p>
    <w:p w14:paraId="4D7F9774" w14:textId="77777777" w:rsidR="000404DE" w:rsidRDefault="00000000">
      <w:pPr>
        <w:pStyle w:val="a0"/>
      </w:pPr>
      <w:r>
        <w:t>Appendix B. Common misconceptions</w:t>
      </w:r>
    </w:p>
    <w:p w14:paraId="32E20C7E" w14:textId="77777777" w:rsidR="000404DE" w:rsidRDefault="00000000">
      <w:pPr>
        <w:pStyle w:val="a0"/>
      </w:pPr>
      <w:r>
        <w:t>Appendix C. Standard Q&amp;A</w:t>
      </w:r>
    </w:p>
    <w:p w14:paraId="2505FEF7" w14:textId="77777777" w:rsidR="000404DE" w:rsidRDefault="00000000">
      <w:pPr>
        <w:pStyle w:val="a0"/>
      </w:pPr>
      <w:r>
        <w:t>Appendix D. Glossary</w:t>
      </w:r>
    </w:p>
    <w:p w14:paraId="7212FE41" w14:textId="77777777" w:rsidR="000404DE" w:rsidRDefault="00000000">
      <w:pPr>
        <w:pStyle w:val="a0"/>
      </w:pPr>
      <w:r>
        <w:t>Appendix E. Source and evidence register</w:t>
      </w:r>
    </w:p>
    <w:p w14:paraId="5DB0EA1D" w14:textId="77777777" w:rsidR="000404DE" w:rsidRDefault="00000000">
      <w:pPr>
        <w:pStyle w:val="a0"/>
      </w:pPr>
      <w:r>
        <w:t>Appendix F. Review questions</w:t>
      </w:r>
    </w:p>
    <w:p w14:paraId="671246F4" w14:textId="77777777" w:rsidR="000404DE" w:rsidRDefault="00000000">
      <w:r>
        <w:br w:type="page"/>
      </w:r>
    </w:p>
    <w:p w14:paraId="4338F879" w14:textId="77777777" w:rsidR="000404DE" w:rsidRDefault="00000000">
      <w:pPr>
        <w:pStyle w:val="1"/>
      </w:pPr>
      <w:r>
        <w:rPr>
          <w:rFonts w:ascii="Arial" w:hAnsi="Arial"/>
        </w:rPr>
        <w:lastRenderedPageBreak/>
        <w:t>Executive Primer: itriX in Ten Minutes</w:t>
      </w:r>
    </w:p>
    <w:p w14:paraId="7BA12121" w14:textId="77777777" w:rsidR="000404DE" w:rsidRDefault="00000000">
      <w:r>
        <w:t>The Age of AI is usually described through models, chips, data centers and electricity. itriX adds two upstream engineering questions. Before an AI controller reasons, what information should be allowed to reach it? Before a machine executes a workload, what representation should be handed to the software and hardware stack?</w:t>
      </w:r>
    </w:p>
    <w:p w14:paraId="6F80F3C2" w14:textId="77777777" w:rsidR="000404DE" w:rsidRDefault="00000000">
      <w:r>
        <w:t>PRISM addresses the first question. It defines a pre-controller Observation Layer that converts raw state into decision-facing semantic information. ASTOP is the product that operationalizes this observation domain across hosts, accelerators, processes and long-running workloads. The commercial point is not simply to “poll less.” It is to avoid forcing expensive reasoning to rediscover relevance from raw state that could have been organized earlier.</w:t>
      </w:r>
    </w:p>
    <w:p w14:paraId="41145496" w14:textId="77777777" w:rsidR="000404DE" w:rsidRDefault="00000000">
      <w:r>
        <w:t>ALPHA addresses the second question. ALPHA Compute is an independent software product that applies eligible itriX technologies—AXIOM, AXIOM-TENSOR, CRE, FQNM and QNTA—to suitable workloads, verifies the transformed result and measures advantage on existing hardware. ALPHA Core is a separate optional hardware product for cases in which deeper hardware implementation or acceleration is justified.</w:t>
      </w:r>
    </w:p>
    <w:p w14:paraId="43FDC2C0" w14:textId="77777777" w:rsidR="000404DE" w:rsidRDefault="00000000">
      <w:r>
        <w:t>The three products are commercialized through the AI-Powered Sales Platform. The platform does not change the technical taxonomy; it manages the customer pathway from education and qualification to controlled assessment, PoC, validation, value verification, license-out and post-license expansion. Its Internal AI Knowledge Core keeps approved definitions, evidence boundaries, objections, customer context and disclosure rules consistent across that journey.</w:t>
      </w:r>
    </w:p>
    <w:tbl>
      <w:tblPr>
        <w:tblStyle w:val="af9"/>
        <w:tblW w:w="0" w:type="auto"/>
        <w:jc w:val="center"/>
        <w:tblLook w:val="04A0" w:firstRow="1" w:lastRow="0" w:firstColumn="1" w:lastColumn="0" w:noHBand="0" w:noVBand="1"/>
      </w:tblPr>
      <w:tblGrid>
        <w:gridCol w:w="1985"/>
        <w:gridCol w:w="4672"/>
        <w:gridCol w:w="3211"/>
      </w:tblGrid>
      <w:tr w:rsidR="000404DE" w14:paraId="7CCCB4B0" w14:textId="77777777" w:rsidTr="009F4C36">
        <w:trPr>
          <w:jc w:val="center"/>
        </w:trPr>
        <w:tc>
          <w:tcPr>
            <w:tcW w:w="1986" w:type="dxa"/>
            <w:shd w:val="clear" w:color="auto" w:fill="D9E2F3"/>
            <w:tcMar>
              <w:top w:w="100" w:type="dxa"/>
              <w:left w:w="110" w:type="dxa"/>
              <w:bottom w:w="100" w:type="dxa"/>
              <w:right w:w="110" w:type="dxa"/>
            </w:tcMar>
            <w:vAlign w:val="center"/>
          </w:tcPr>
          <w:p w14:paraId="79252BCB" w14:textId="77777777" w:rsidR="000404DE" w:rsidRDefault="00000000">
            <w:pPr>
              <w:jc w:val="center"/>
            </w:pPr>
            <w:r>
              <w:rPr>
                <w:b/>
                <w:sz w:val="18"/>
              </w:rPr>
              <w:t>Product</w:t>
            </w:r>
          </w:p>
        </w:tc>
        <w:tc>
          <w:tcPr>
            <w:tcW w:w="4678" w:type="dxa"/>
            <w:shd w:val="clear" w:color="auto" w:fill="D9E2F3"/>
            <w:tcMar>
              <w:top w:w="100" w:type="dxa"/>
              <w:left w:w="110" w:type="dxa"/>
              <w:bottom w:w="100" w:type="dxa"/>
              <w:right w:w="110" w:type="dxa"/>
            </w:tcMar>
            <w:vAlign w:val="center"/>
          </w:tcPr>
          <w:p w14:paraId="220E081A" w14:textId="77777777" w:rsidR="000404DE" w:rsidRDefault="00000000">
            <w:pPr>
              <w:jc w:val="center"/>
            </w:pPr>
            <w:r>
              <w:rPr>
                <w:b/>
                <w:sz w:val="18"/>
              </w:rPr>
              <w:t>Primary question</w:t>
            </w:r>
          </w:p>
        </w:tc>
        <w:tc>
          <w:tcPr>
            <w:tcW w:w="3215" w:type="dxa"/>
            <w:shd w:val="clear" w:color="auto" w:fill="D9E2F3"/>
            <w:tcMar>
              <w:top w:w="100" w:type="dxa"/>
              <w:left w:w="110" w:type="dxa"/>
              <w:bottom w:w="100" w:type="dxa"/>
              <w:right w:w="110" w:type="dxa"/>
            </w:tcMar>
            <w:vAlign w:val="center"/>
          </w:tcPr>
          <w:p w14:paraId="0F59A2F1" w14:textId="77777777" w:rsidR="000404DE" w:rsidRDefault="00000000">
            <w:pPr>
              <w:jc w:val="center"/>
            </w:pPr>
            <w:r>
              <w:rPr>
                <w:b/>
                <w:sz w:val="18"/>
              </w:rPr>
              <w:t>Can stand alone?</w:t>
            </w:r>
          </w:p>
        </w:tc>
      </w:tr>
      <w:tr w:rsidR="000404DE" w14:paraId="2DEEB0E8" w14:textId="77777777" w:rsidTr="009F4C36">
        <w:trPr>
          <w:jc w:val="center"/>
        </w:trPr>
        <w:tc>
          <w:tcPr>
            <w:tcW w:w="1986" w:type="dxa"/>
            <w:tcMar>
              <w:top w:w="100" w:type="dxa"/>
              <w:left w:w="110" w:type="dxa"/>
              <w:bottom w:w="100" w:type="dxa"/>
              <w:right w:w="110" w:type="dxa"/>
            </w:tcMar>
            <w:vAlign w:val="center"/>
          </w:tcPr>
          <w:p w14:paraId="543CCC88" w14:textId="77777777" w:rsidR="000404DE" w:rsidRDefault="00000000">
            <w:pPr>
              <w:jc w:val="center"/>
            </w:pPr>
            <w:r>
              <w:rPr>
                <w:sz w:val="18"/>
              </w:rPr>
              <w:t>ASTOP</w:t>
            </w:r>
          </w:p>
        </w:tc>
        <w:tc>
          <w:tcPr>
            <w:tcW w:w="4678" w:type="dxa"/>
            <w:tcMar>
              <w:top w:w="100" w:type="dxa"/>
              <w:left w:w="110" w:type="dxa"/>
              <w:bottom w:w="100" w:type="dxa"/>
              <w:right w:w="110" w:type="dxa"/>
            </w:tcMar>
            <w:vAlign w:val="center"/>
          </w:tcPr>
          <w:p w14:paraId="3B7F5C57" w14:textId="77777777" w:rsidR="000404DE" w:rsidRDefault="00000000">
            <w:r>
              <w:rPr>
                <w:sz w:val="18"/>
              </w:rPr>
              <w:t>What is happening, and what decision-relevant evidence should be surfaced to a human, program or AI agent?</w:t>
            </w:r>
          </w:p>
        </w:tc>
        <w:tc>
          <w:tcPr>
            <w:tcW w:w="3215" w:type="dxa"/>
            <w:tcMar>
              <w:top w:w="100" w:type="dxa"/>
              <w:left w:w="110" w:type="dxa"/>
              <w:bottom w:w="100" w:type="dxa"/>
              <w:right w:w="110" w:type="dxa"/>
            </w:tcMar>
            <w:vAlign w:val="center"/>
          </w:tcPr>
          <w:p w14:paraId="200654C4" w14:textId="77777777" w:rsidR="000404DE" w:rsidRDefault="00000000">
            <w:r>
              <w:rPr>
                <w:sz w:val="18"/>
              </w:rPr>
              <w:t>Yes.</w:t>
            </w:r>
          </w:p>
        </w:tc>
      </w:tr>
      <w:tr w:rsidR="000404DE" w14:paraId="2B63C7E7" w14:textId="77777777" w:rsidTr="009F4C36">
        <w:trPr>
          <w:jc w:val="center"/>
        </w:trPr>
        <w:tc>
          <w:tcPr>
            <w:tcW w:w="1986" w:type="dxa"/>
            <w:tcMar>
              <w:top w:w="100" w:type="dxa"/>
              <w:left w:w="110" w:type="dxa"/>
              <w:bottom w:w="100" w:type="dxa"/>
              <w:right w:w="110" w:type="dxa"/>
            </w:tcMar>
            <w:vAlign w:val="center"/>
          </w:tcPr>
          <w:p w14:paraId="3905759F" w14:textId="77777777" w:rsidR="000404DE" w:rsidRDefault="00000000">
            <w:pPr>
              <w:jc w:val="center"/>
            </w:pPr>
            <w:r>
              <w:rPr>
                <w:sz w:val="18"/>
              </w:rPr>
              <w:t>ALPHA Compute</w:t>
            </w:r>
          </w:p>
        </w:tc>
        <w:tc>
          <w:tcPr>
            <w:tcW w:w="4678" w:type="dxa"/>
            <w:tcMar>
              <w:top w:w="100" w:type="dxa"/>
              <w:left w:w="110" w:type="dxa"/>
              <w:bottom w:w="100" w:type="dxa"/>
              <w:right w:w="110" w:type="dxa"/>
            </w:tcMar>
            <w:vAlign w:val="center"/>
          </w:tcPr>
          <w:p w14:paraId="217E173A" w14:textId="77777777" w:rsidR="000404DE" w:rsidRDefault="00000000">
            <w:r>
              <w:rPr>
                <w:sz w:val="18"/>
              </w:rPr>
              <w:t>Can eligible computation or learning be represented and executed along a structurally better software route?</w:t>
            </w:r>
          </w:p>
        </w:tc>
        <w:tc>
          <w:tcPr>
            <w:tcW w:w="3215" w:type="dxa"/>
            <w:tcMar>
              <w:top w:w="100" w:type="dxa"/>
              <w:left w:w="110" w:type="dxa"/>
              <w:bottom w:w="100" w:type="dxa"/>
              <w:right w:w="110" w:type="dxa"/>
            </w:tcMar>
            <w:vAlign w:val="center"/>
          </w:tcPr>
          <w:p w14:paraId="7D4DC3F7" w14:textId="77777777" w:rsidR="000404DE" w:rsidRDefault="00000000">
            <w:r>
              <w:rPr>
                <w:sz w:val="18"/>
              </w:rPr>
              <w:t>Yes.</w:t>
            </w:r>
          </w:p>
        </w:tc>
      </w:tr>
      <w:tr w:rsidR="000404DE" w14:paraId="6706D54B" w14:textId="77777777" w:rsidTr="009F4C36">
        <w:trPr>
          <w:jc w:val="center"/>
        </w:trPr>
        <w:tc>
          <w:tcPr>
            <w:tcW w:w="1986" w:type="dxa"/>
            <w:tcMar>
              <w:top w:w="100" w:type="dxa"/>
              <w:left w:w="110" w:type="dxa"/>
              <w:bottom w:w="100" w:type="dxa"/>
              <w:right w:w="110" w:type="dxa"/>
            </w:tcMar>
            <w:vAlign w:val="center"/>
          </w:tcPr>
          <w:p w14:paraId="2DF8B56C" w14:textId="77777777" w:rsidR="000404DE" w:rsidRDefault="00000000">
            <w:pPr>
              <w:jc w:val="center"/>
            </w:pPr>
            <w:r>
              <w:rPr>
                <w:sz w:val="18"/>
              </w:rPr>
              <w:t>ALPHA Core</w:t>
            </w:r>
          </w:p>
        </w:tc>
        <w:tc>
          <w:tcPr>
            <w:tcW w:w="4678" w:type="dxa"/>
            <w:tcMar>
              <w:top w:w="100" w:type="dxa"/>
              <w:left w:w="110" w:type="dxa"/>
              <w:bottom w:w="100" w:type="dxa"/>
              <w:right w:w="110" w:type="dxa"/>
            </w:tcMar>
            <w:vAlign w:val="center"/>
          </w:tcPr>
          <w:p w14:paraId="3954B52B" w14:textId="77777777" w:rsidR="000404DE" w:rsidRDefault="00000000">
            <w:r>
              <w:rPr>
                <w:sz w:val="18"/>
              </w:rPr>
              <w:t>Should a validated ALPHA structure be implemented or accelerated more deeply in hardware?</w:t>
            </w:r>
          </w:p>
        </w:tc>
        <w:tc>
          <w:tcPr>
            <w:tcW w:w="3215" w:type="dxa"/>
            <w:tcMar>
              <w:top w:w="100" w:type="dxa"/>
              <w:left w:w="110" w:type="dxa"/>
              <w:bottom w:w="100" w:type="dxa"/>
              <w:right w:w="110" w:type="dxa"/>
            </w:tcMar>
            <w:vAlign w:val="center"/>
          </w:tcPr>
          <w:p w14:paraId="01B710A9" w14:textId="77777777" w:rsidR="000404DE" w:rsidRDefault="00000000">
            <w:r>
              <w:rPr>
                <w:sz w:val="18"/>
              </w:rPr>
              <w:t>Yes, but normally after software proof establishes the target structure.</w:t>
            </w:r>
          </w:p>
        </w:tc>
      </w:tr>
    </w:tbl>
    <w:tbl>
      <w:tblPr>
        <w:tblW w:w="0" w:type="auto"/>
        <w:jc w:val="center"/>
        <w:tblLook w:val="04A0" w:firstRow="1" w:lastRow="0" w:firstColumn="1" w:lastColumn="0" w:noHBand="0" w:noVBand="1"/>
      </w:tblPr>
      <w:tblGrid>
        <w:gridCol w:w="9878"/>
      </w:tblGrid>
      <w:tr w:rsidR="000404DE" w14:paraId="66704C43" w14:textId="77777777">
        <w:trPr>
          <w:jc w:val="center"/>
        </w:trPr>
        <w:tc>
          <w:tcPr>
            <w:tcW w:w="9878" w:type="dxa"/>
            <w:shd w:val="clear" w:color="auto" w:fill="EAF0F7"/>
            <w:tcMar>
              <w:top w:w="140" w:type="dxa"/>
              <w:left w:w="160" w:type="dxa"/>
              <w:bottom w:w="140" w:type="dxa"/>
              <w:right w:w="160" w:type="dxa"/>
            </w:tcMar>
            <w:vAlign w:val="center"/>
          </w:tcPr>
          <w:p w14:paraId="0C319D68" w14:textId="63AC8C06" w:rsidR="000404DE" w:rsidRDefault="00000000">
            <w:r>
              <w:rPr>
                <w:sz w:val="18"/>
              </w:rPr>
              <w:t>ONE-MINUTE MODEL</w:t>
            </w:r>
            <w:r>
              <w:rPr>
                <w:sz w:val="18"/>
              </w:rPr>
              <w:br/>
              <w:t>ASTOP observes. ALPHA Compute transforms. ALPHA Core executes more deeply in hardware when justified. PRISM is the observation technology behind ASTOP; the Observation Layer is its core architecture. AXIOM, AXIOM-TENSOR, CRE, FQNM and QNTA are technologies</w:t>
            </w:r>
            <w:r w:rsidR="009F4C36">
              <w:rPr>
                <w:rFonts w:eastAsia="맑은 고딕" w:hint="eastAsia"/>
                <w:sz w:val="18"/>
                <w:lang w:eastAsia="ko-KR"/>
              </w:rPr>
              <w:t xml:space="preserve"> behind ALPHA</w:t>
            </w:r>
            <w:r>
              <w:rPr>
                <w:sz w:val="18"/>
              </w:rPr>
              <w:t>.</w:t>
            </w:r>
          </w:p>
        </w:tc>
      </w:tr>
    </w:tbl>
    <w:p w14:paraId="7D2A89FE" w14:textId="77777777" w:rsidR="000404DE" w:rsidRDefault="00000000">
      <w:r>
        <w:br w:type="page"/>
      </w:r>
    </w:p>
    <w:p w14:paraId="63FCC570" w14:textId="77777777" w:rsidR="000404DE" w:rsidRDefault="00000000">
      <w:r>
        <w:rPr>
          <w:b/>
          <w:color w:val="14233C"/>
          <w:sz w:val="48"/>
        </w:rPr>
        <w:lastRenderedPageBreak/>
        <w:t>PART I — PROBLEM</w:t>
      </w:r>
    </w:p>
    <w:p w14:paraId="732F56BD" w14:textId="77777777" w:rsidR="000404DE" w:rsidRDefault="00000000">
      <w:r>
        <w:rPr>
          <w:color w:val="555F6E"/>
          <w:sz w:val="24"/>
        </w:rPr>
        <w:t>Why the existing AI compute-and-observation paradigm is becoming a constraint</w:t>
      </w:r>
    </w:p>
    <w:p w14:paraId="7A1F96EE" w14:textId="77777777" w:rsidR="000404DE" w:rsidRDefault="00000000">
      <w:pPr>
        <w:pStyle w:val="1"/>
      </w:pPr>
      <w:r>
        <w:rPr>
          <w:rFonts w:ascii="Arial" w:hAnsi="Arial"/>
        </w:rPr>
        <w:t>1. AI Becomes Infrastructure</w:t>
      </w:r>
    </w:p>
    <w:p w14:paraId="28EE157C" w14:textId="77777777" w:rsidR="000404DE" w:rsidRDefault="00000000">
      <w:r>
        <w:t>Artificial intelligence is experienced as software, but at scale it behaves like physical infrastructure. Every training step, inference pass, simulation, search operation and generated token consumes processors, memory bandwidth, interconnect capacity, power and cooling. As AI becomes agentic, another resource becomes visible: repeated observation and reasoning about systems that may not have changed in a decision-relevant way.</w:t>
      </w:r>
    </w:p>
    <w:p w14:paraId="50BAF49C" w14:textId="77777777" w:rsidR="000404DE" w:rsidRDefault="00000000">
      <w:r>
        <w:t>The infrastructure question is therefore broader than chip speed. It includes how much state is acquired, how much information crosses into reasoning, how the workload is represented, how much movement and conversion occurs, which numerical path is used, and whether the hardware is executing an intrinsically necessary workload or one made more expensive by representation choices.</w:t>
      </w:r>
    </w:p>
    <w:p w14:paraId="2F46F836" w14:textId="77777777" w:rsidR="000404DE" w:rsidRDefault="00000000">
      <w:pPr>
        <w:pStyle w:val="21"/>
      </w:pPr>
      <w:r>
        <w:rPr>
          <w:rFonts w:ascii="Arial" w:hAnsi="Arial"/>
        </w:rPr>
        <w:t>Four pressures that compound</w:t>
      </w:r>
    </w:p>
    <w:tbl>
      <w:tblPr>
        <w:tblStyle w:val="af9"/>
        <w:tblW w:w="0" w:type="auto"/>
        <w:jc w:val="center"/>
        <w:tblLook w:val="04A0" w:firstRow="1" w:lastRow="0" w:firstColumn="1" w:lastColumn="0" w:noHBand="0" w:noVBand="1"/>
      </w:tblPr>
      <w:tblGrid>
        <w:gridCol w:w="2551"/>
        <w:gridCol w:w="3659"/>
        <w:gridCol w:w="3658"/>
      </w:tblGrid>
      <w:tr w:rsidR="000404DE" w14:paraId="78173C36" w14:textId="77777777" w:rsidTr="009F4C36">
        <w:trPr>
          <w:jc w:val="center"/>
        </w:trPr>
        <w:tc>
          <w:tcPr>
            <w:tcW w:w="2553" w:type="dxa"/>
            <w:shd w:val="clear" w:color="auto" w:fill="D9E2F3"/>
            <w:tcMar>
              <w:top w:w="100" w:type="dxa"/>
              <w:left w:w="110" w:type="dxa"/>
              <w:bottom w:w="100" w:type="dxa"/>
              <w:right w:w="110" w:type="dxa"/>
            </w:tcMar>
            <w:vAlign w:val="center"/>
          </w:tcPr>
          <w:p w14:paraId="50AD0CE7" w14:textId="77777777" w:rsidR="000404DE" w:rsidRDefault="00000000">
            <w:pPr>
              <w:jc w:val="center"/>
            </w:pPr>
            <w:r>
              <w:rPr>
                <w:b/>
                <w:sz w:val="18"/>
              </w:rPr>
              <w:t>Pressure</w:t>
            </w:r>
          </w:p>
        </w:tc>
        <w:tc>
          <w:tcPr>
            <w:tcW w:w="3663" w:type="dxa"/>
            <w:shd w:val="clear" w:color="auto" w:fill="D9E2F3"/>
            <w:tcMar>
              <w:top w:w="100" w:type="dxa"/>
              <w:left w:w="110" w:type="dxa"/>
              <w:bottom w:w="100" w:type="dxa"/>
              <w:right w:w="110" w:type="dxa"/>
            </w:tcMar>
            <w:vAlign w:val="center"/>
          </w:tcPr>
          <w:p w14:paraId="19D4D93B" w14:textId="77777777" w:rsidR="000404DE" w:rsidRDefault="00000000">
            <w:pPr>
              <w:jc w:val="center"/>
            </w:pPr>
            <w:r>
              <w:rPr>
                <w:b/>
                <w:sz w:val="18"/>
              </w:rPr>
              <w:t>Why it matters</w:t>
            </w:r>
          </w:p>
        </w:tc>
        <w:tc>
          <w:tcPr>
            <w:tcW w:w="3663" w:type="dxa"/>
            <w:shd w:val="clear" w:color="auto" w:fill="D9E2F3"/>
            <w:tcMar>
              <w:top w:w="100" w:type="dxa"/>
              <w:left w:w="110" w:type="dxa"/>
              <w:bottom w:w="100" w:type="dxa"/>
              <w:right w:w="110" w:type="dxa"/>
            </w:tcMar>
            <w:vAlign w:val="center"/>
          </w:tcPr>
          <w:p w14:paraId="159E61B6" w14:textId="77777777" w:rsidR="000404DE" w:rsidRDefault="00000000">
            <w:pPr>
              <w:jc w:val="center"/>
            </w:pPr>
            <w:r>
              <w:rPr>
                <w:b/>
                <w:sz w:val="18"/>
              </w:rPr>
              <w:t>itriX question</w:t>
            </w:r>
          </w:p>
        </w:tc>
      </w:tr>
      <w:tr w:rsidR="000404DE" w14:paraId="40A48B5B" w14:textId="77777777" w:rsidTr="009F4C36">
        <w:trPr>
          <w:jc w:val="center"/>
        </w:trPr>
        <w:tc>
          <w:tcPr>
            <w:tcW w:w="2553" w:type="dxa"/>
            <w:tcMar>
              <w:top w:w="100" w:type="dxa"/>
              <w:left w:w="110" w:type="dxa"/>
              <w:bottom w:w="100" w:type="dxa"/>
              <w:right w:w="110" w:type="dxa"/>
            </w:tcMar>
            <w:vAlign w:val="center"/>
          </w:tcPr>
          <w:p w14:paraId="2E6DCD31" w14:textId="77777777" w:rsidR="000404DE" w:rsidRDefault="00000000">
            <w:pPr>
              <w:jc w:val="center"/>
            </w:pPr>
            <w:r>
              <w:rPr>
                <w:sz w:val="18"/>
              </w:rPr>
              <w:t>Compute supply</w:t>
            </w:r>
          </w:p>
        </w:tc>
        <w:tc>
          <w:tcPr>
            <w:tcW w:w="3663" w:type="dxa"/>
            <w:tcMar>
              <w:top w:w="100" w:type="dxa"/>
              <w:left w:w="110" w:type="dxa"/>
              <w:bottom w:w="100" w:type="dxa"/>
              <w:right w:w="110" w:type="dxa"/>
            </w:tcMar>
            <w:vAlign w:val="center"/>
          </w:tcPr>
          <w:p w14:paraId="4565A818" w14:textId="77777777" w:rsidR="000404DE" w:rsidRDefault="00000000">
            <w:r>
              <w:rPr>
                <w:sz w:val="18"/>
              </w:rPr>
              <w:t>Accelerators, memory and packaging are scarce and expensive.</w:t>
            </w:r>
          </w:p>
        </w:tc>
        <w:tc>
          <w:tcPr>
            <w:tcW w:w="3663" w:type="dxa"/>
            <w:tcMar>
              <w:top w:w="100" w:type="dxa"/>
              <w:left w:w="110" w:type="dxa"/>
              <w:bottom w:w="100" w:type="dxa"/>
              <w:right w:w="110" w:type="dxa"/>
            </w:tcMar>
            <w:vAlign w:val="center"/>
          </w:tcPr>
          <w:p w14:paraId="67EE6BA5" w14:textId="77777777" w:rsidR="000404DE" w:rsidRDefault="00000000">
            <w:r>
              <w:rPr>
                <w:sz w:val="18"/>
              </w:rPr>
              <w:t>Can useful demand be removed or restructured before more hardware is required?</w:t>
            </w:r>
          </w:p>
        </w:tc>
      </w:tr>
      <w:tr w:rsidR="000404DE" w14:paraId="0BD86D03" w14:textId="77777777" w:rsidTr="009F4C36">
        <w:trPr>
          <w:jc w:val="center"/>
        </w:trPr>
        <w:tc>
          <w:tcPr>
            <w:tcW w:w="2553" w:type="dxa"/>
            <w:tcMar>
              <w:top w:w="100" w:type="dxa"/>
              <w:left w:w="110" w:type="dxa"/>
              <w:bottom w:w="100" w:type="dxa"/>
              <w:right w:w="110" w:type="dxa"/>
            </w:tcMar>
            <w:vAlign w:val="center"/>
          </w:tcPr>
          <w:p w14:paraId="038309EA" w14:textId="77777777" w:rsidR="000404DE" w:rsidRDefault="00000000">
            <w:pPr>
              <w:jc w:val="center"/>
            </w:pPr>
            <w:r>
              <w:rPr>
                <w:sz w:val="18"/>
              </w:rPr>
              <w:t>Power and cooling</w:t>
            </w:r>
          </w:p>
        </w:tc>
        <w:tc>
          <w:tcPr>
            <w:tcW w:w="3663" w:type="dxa"/>
            <w:tcMar>
              <w:top w:w="100" w:type="dxa"/>
              <w:left w:w="110" w:type="dxa"/>
              <w:bottom w:w="100" w:type="dxa"/>
              <w:right w:w="110" w:type="dxa"/>
            </w:tcMar>
            <w:vAlign w:val="center"/>
          </w:tcPr>
          <w:p w14:paraId="5520000B" w14:textId="77777777" w:rsidR="000404DE" w:rsidRDefault="00000000">
            <w:r>
              <w:rPr>
                <w:sz w:val="18"/>
              </w:rPr>
              <w:t>Scaling compute increases electrical and thermal burden.</w:t>
            </w:r>
          </w:p>
        </w:tc>
        <w:tc>
          <w:tcPr>
            <w:tcW w:w="3663" w:type="dxa"/>
            <w:tcMar>
              <w:top w:w="100" w:type="dxa"/>
              <w:left w:w="110" w:type="dxa"/>
              <w:bottom w:w="100" w:type="dxa"/>
              <w:right w:w="110" w:type="dxa"/>
            </w:tcMar>
            <w:vAlign w:val="center"/>
          </w:tcPr>
          <w:p w14:paraId="47AE7C03" w14:textId="77777777" w:rsidR="000404DE" w:rsidRDefault="00000000">
            <w:r>
              <w:rPr>
                <w:sz w:val="18"/>
              </w:rPr>
              <w:t>Can an eligible workload complete with less total work or movement?</w:t>
            </w:r>
          </w:p>
        </w:tc>
      </w:tr>
      <w:tr w:rsidR="000404DE" w14:paraId="2CDE21E5" w14:textId="77777777" w:rsidTr="009F4C36">
        <w:trPr>
          <w:jc w:val="center"/>
        </w:trPr>
        <w:tc>
          <w:tcPr>
            <w:tcW w:w="2553" w:type="dxa"/>
            <w:tcMar>
              <w:top w:w="100" w:type="dxa"/>
              <w:left w:w="110" w:type="dxa"/>
              <w:bottom w:w="100" w:type="dxa"/>
              <w:right w:w="110" w:type="dxa"/>
            </w:tcMar>
            <w:vAlign w:val="center"/>
          </w:tcPr>
          <w:p w14:paraId="08DAD17A" w14:textId="77777777" w:rsidR="000404DE" w:rsidRDefault="00000000">
            <w:pPr>
              <w:jc w:val="center"/>
            </w:pPr>
            <w:r>
              <w:rPr>
                <w:sz w:val="18"/>
              </w:rPr>
              <w:t>Observation burden</w:t>
            </w:r>
          </w:p>
        </w:tc>
        <w:tc>
          <w:tcPr>
            <w:tcW w:w="3663" w:type="dxa"/>
            <w:tcMar>
              <w:top w:w="100" w:type="dxa"/>
              <w:left w:w="110" w:type="dxa"/>
              <w:bottom w:w="100" w:type="dxa"/>
              <w:right w:w="110" w:type="dxa"/>
            </w:tcMar>
            <w:vAlign w:val="center"/>
          </w:tcPr>
          <w:p w14:paraId="4DA2F070" w14:textId="77777777" w:rsidR="000404DE" w:rsidRDefault="00000000">
            <w:r>
              <w:rPr>
                <w:sz w:val="18"/>
              </w:rPr>
              <w:t>Agentic systems can repeatedly acquire and reason over nearly unchanged state.</w:t>
            </w:r>
          </w:p>
        </w:tc>
        <w:tc>
          <w:tcPr>
            <w:tcW w:w="3663" w:type="dxa"/>
            <w:tcMar>
              <w:top w:w="100" w:type="dxa"/>
              <w:left w:w="110" w:type="dxa"/>
              <w:bottom w:w="100" w:type="dxa"/>
              <w:right w:w="110" w:type="dxa"/>
            </w:tcMar>
            <w:vAlign w:val="center"/>
          </w:tcPr>
          <w:p w14:paraId="7EEEDE96" w14:textId="77777777" w:rsidR="000404DE" w:rsidRDefault="00000000">
            <w:r>
              <w:rPr>
                <w:sz w:val="18"/>
              </w:rPr>
              <w:t>Can decision-relevant state be projected before expensive reasoning?</w:t>
            </w:r>
          </w:p>
        </w:tc>
      </w:tr>
      <w:tr w:rsidR="000404DE" w14:paraId="2D6E6420" w14:textId="77777777" w:rsidTr="009F4C36">
        <w:trPr>
          <w:jc w:val="center"/>
        </w:trPr>
        <w:tc>
          <w:tcPr>
            <w:tcW w:w="2553" w:type="dxa"/>
            <w:tcMar>
              <w:top w:w="100" w:type="dxa"/>
              <w:left w:w="110" w:type="dxa"/>
              <w:bottom w:w="100" w:type="dxa"/>
              <w:right w:w="110" w:type="dxa"/>
            </w:tcMar>
            <w:vAlign w:val="center"/>
          </w:tcPr>
          <w:p w14:paraId="60C71C57" w14:textId="77777777" w:rsidR="000404DE" w:rsidRDefault="00000000">
            <w:pPr>
              <w:jc w:val="center"/>
            </w:pPr>
            <w:r>
              <w:rPr>
                <w:sz w:val="18"/>
              </w:rPr>
              <w:t>Representation mismatch</w:t>
            </w:r>
          </w:p>
        </w:tc>
        <w:tc>
          <w:tcPr>
            <w:tcW w:w="3663" w:type="dxa"/>
            <w:tcMar>
              <w:top w:w="100" w:type="dxa"/>
              <w:left w:w="110" w:type="dxa"/>
              <w:bottom w:w="100" w:type="dxa"/>
              <w:right w:w="110" w:type="dxa"/>
            </w:tcMar>
            <w:vAlign w:val="center"/>
          </w:tcPr>
          <w:p w14:paraId="519720C1" w14:textId="77777777" w:rsidR="000404DE" w:rsidRDefault="00000000">
            <w:r>
              <w:rPr>
                <w:sz w:val="18"/>
              </w:rPr>
              <w:t>Complex, tensor, conservative and learning-state structures may map poorly to generic pathways.</w:t>
            </w:r>
          </w:p>
        </w:tc>
        <w:tc>
          <w:tcPr>
            <w:tcW w:w="3663" w:type="dxa"/>
            <w:tcMar>
              <w:top w:w="100" w:type="dxa"/>
              <w:left w:w="110" w:type="dxa"/>
              <w:bottom w:w="100" w:type="dxa"/>
              <w:right w:w="110" w:type="dxa"/>
            </w:tcMar>
            <w:vAlign w:val="center"/>
          </w:tcPr>
          <w:p w14:paraId="2DD05C37" w14:textId="77777777" w:rsidR="000404DE" w:rsidRDefault="00000000">
            <w:r>
              <w:rPr>
                <w:sz w:val="18"/>
              </w:rPr>
              <w:t>Can a valid structure be exposed in a more machine-favorable form?</w:t>
            </w:r>
          </w:p>
        </w:tc>
      </w:tr>
    </w:tbl>
    <w:tbl>
      <w:tblPr>
        <w:tblW w:w="0" w:type="auto"/>
        <w:jc w:val="center"/>
        <w:tblLook w:val="04A0" w:firstRow="1" w:lastRow="0" w:firstColumn="1" w:lastColumn="0" w:noHBand="0" w:noVBand="1"/>
      </w:tblPr>
      <w:tblGrid>
        <w:gridCol w:w="9878"/>
      </w:tblGrid>
      <w:tr w:rsidR="000404DE" w14:paraId="1B4F5915" w14:textId="77777777">
        <w:trPr>
          <w:jc w:val="center"/>
        </w:trPr>
        <w:tc>
          <w:tcPr>
            <w:tcW w:w="9878" w:type="dxa"/>
            <w:shd w:val="clear" w:color="auto" w:fill="EAF0F7"/>
            <w:tcMar>
              <w:top w:w="140" w:type="dxa"/>
              <w:left w:w="160" w:type="dxa"/>
              <w:bottom w:w="140" w:type="dxa"/>
              <w:right w:w="160" w:type="dxa"/>
            </w:tcMar>
            <w:vAlign w:val="center"/>
          </w:tcPr>
          <w:p w14:paraId="7F03F7AA" w14:textId="77777777" w:rsidR="000404DE" w:rsidRDefault="00000000">
            <w:r>
              <w:rPr>
                <w:b/>
                <w:color w:val="324B69"/>
                <w:sz w:val="18"/>
              </w:rPr>
              <w:t>CLAIM BOUNDARY</w:t>
            </w:r>
          </w:p>
          <w:p w14:paraId="56411F01" w14:textId="77777777" w:rsidR="000404DE" w:rsidRDefault="00000000">
            <w:r>
              <w:rPr>
                <w:sz w:val="18"/>
              </w:rPr>
              <w:t>itriX does not argue against more chips, larger models or conventional optimization. The thesis is that capacity expansion should be combined with better observation and better representation where evidence shows that these upstream interventions preserve the required decision or mathematical object.</w:t>
            </w:r>
          </w:p>
        </w:tc>
      </w:tr>
    </w:tbl>
    <w:p w14:paraId="4E194DCC" w14:textId="77777777" w:rsidR="000404DE" w:rsidRDefault="00000000">
      <w:pPr>
        <w:pStyle w:val="1"/>
      </w:pPr>
      <w:r>
        <w:rPr>
          <w:rFonts w:ascii="Arial" w:hAnsi="Arial"/>
        </w:rPr>
        <w:t>2. The Hidden Factory Behind Useful AI</w:t>
      </w:r>
    </w:p>
    <w:p w14:paraId="3BCA7CC7" w14:textId="77777777" w:rsidR="000404DE" w:rsidRDefault="00000000">
      <w:r>
        <w:t>A token, prediction or control action is a visible output. Hidden beneath it is a computational factory: models define work; software schedules it; processors execute operations; memory and networks move state; observation systems report what happened; reasoning systems decide what to do next; and electricity powers the entire path.</w:t>
      </w:r>
    </w:p>
    <w:p w14:paraId="6221A6D2" w14:textId="77777777" w:rsidR="000404DE" w:rsidRDefault="00000000">
      <w:r>
        <w:t>This is why token count alone is an incomplete economic unit. Two systems can produce the same output while consuming different quantities of accelerator time, memory traffic, observation calls, context, energy and integration effort. A more useful strategic lens is cost per useful validated outcome.</w:t>
      </w:r>
    </w:p>
    <w:tbl>
      <w:tblPr>
        <w:tblW w:w="0" w:type="auto"/>
        <w:jc w:val="center"/>
        <w:tblLook w:val="04A0" w:firstRow="1" w:lastRow="0" w:firstColumn="1" w:lastColumn="0" w:noHBand="0" w:noVBand="1"/>
      </w:tblPr>
      <w:tblGrid>
        <w:gridCol w:w="9878"/>
      </w:tblGrid>
      <w:tr w:rsidR="000404DE" w14:paraId="7ADA056C" w14:textId="77777777">
        <w:trPr>
          <w:jc w:val="center"/>
        </w:trPr>
        <w:tc>
          <w:tcPr>
            <w:tcW w:w="9878" w:type="dxa"/>
            <w:shd w:val="clear" w:color="auto" w:fill="EAF0F7"/>
            <w:tcMar>
              <w:top w:w="140" w:type="dxa"/>
              <w:left w:w="160" w:type="dxa"/>
              <w:bottom w:w="140" w:type="dxa"/>
              <w:right w:w="160" w:type="dxa"/>
            </w:tcMar>
            <w:vAlign w:val="center"/>
          </w:tcPr>
          <w:p w14:paraId="4009BFE6" w14:textId="77777777" w:rsidR="000404DE" w:rsidRDefault="00000000">
            <w:r>
              <w:rPr>
                <w:b/>
                <w:color w:val="324B69"/>
                <w:sz w:val="18"/>
              </w:rPr>
              <w:lastRenderedPageBreak/>
              <w:t>GENERALIZED METRIC</w:t>
            </w:r>
          </w:p>
          <w:p w14:paraId="5113ACD3" w14:textId="77777777" w:rsidR="000404DE" w:rsidRDefault="00000000">
            <w:r>
              <w:rPr>
                <w:sz w:val="18"/>
              </w:rPr>
              <w:t>For generative AI: resources per useful token. For simulation, optimization, control and scientific computing: resources per useful validated outcome. The denominator changes by application; the principle is productive computation per unit of scarce infrastructure.</w:t>
            </w:r>
          </w:p>
        </w:tc>
      </w:tr>
    </w:tbl>
    <w:p w14:paraId="190EFA38" w14:textId="77777777" w:rsidR="000404DE" w:rsidRDefault="00000000">
      <w:pPr>
        <w:pStyle w:val="1"/>
      </w:pPr>
      <w:r>
        <w:rPr>
          <w:rFonts w:ascii="Arial" w:hAnsi="Arial"/>
        </w:rPr>
        <w:t>3. Observation Overload Before Reasoning</w:t>
      </w:r>
    </w:p>
    <w:p w14:paraId="6EA20517" w14:textId="77777777" w:rsidR="000404DE" w:rsidRDefault="00000000">
      <w:r>
        <w:t>Agentic systems make a previously hidden inefficiency visible. A conventional supervisor may repeatedly call status APIs, inspect logs or poll a process at a fixed interval. Much of the returned state can be decision-equivalent. Yet each observation may be acquired, serialized, transferred, tokenized, inserted into context and processed by an expensive controller before the controller concludes that nothing important changed.</w:t>
      </w:r>
    </w:p>
    <w:p w14:paraId="58AA3FE3" w14:textId="77777777" w:rsidR="000404DE" w:rsidRDefault="00000000">
      <w:r>
        <w:t>The core problem is not frequency by itself. The deeper issue is that raw or poorly organized state crosses the observation boundary before the system determines what is decision-relevant. Training a model to ignore repetition cannot retroactively remove resources already spent upstream.</w:t>
      </w:r>
    </w:p>
    <w:tbl>
      <w:tblPr>
        <w:tblW w:w="0" w:type="auto"/>
        <w:jc w:val="center"/>
        <w:tblLook w:val="04A0" w:firstRow="1" w:lastRow="0" w:firstColumn="1" w:lastColumn="0" w:noHBand="0" w:noVBand="1"/>
      </w:tblPr>
      <w:tblGrid>
        <w:gridCol w:w="9878"/>
      </w:tblGrid>
      <w:tr w:rsidR="000404DE" w14:paraId="3416BF3D" w14:textId="77777777">
        <w:trPr>
          <w:jc w:val="center"/>
        </w:trPr>
        <w:tc>
          <w:tcPr>
            <w:tcW w:w="9878" w:type="dxa"/>
            <w:shd w:val="clear" w:color="auto" w:fill="EAF0F7"/>
            <w:tcMar>
              <w:top w:w="140" w:type="dxa"/>
              <w:left w:w="160" w:type="dxa"/>
              <w:bottom w:w="140" w:type="dxa"/>
              <w:right w:w="160" w:type="dxa"/>
            </w:tcMar>
            <w:vAlign w:val="center"/>
          </w:tcPr>
          <w:p w14:paraId="1661BD1C" w14:textId="77777777" w:rsidR="000404DE" w:rsidRDefault="00000000">
            <w:r>
              <w:rPr>
                <w:b/>
                <w:color w:val="324B69"/>
                <w:sz w:val="18"/>
              </w:rPr>
              <w:t>PROBLEM STATEMENT</w:t>
            </w:r>
          </w:p>
          <w:p w14:paraId="3EA0A640" w14:textId="77777777" w:rsidR="000404DE" w:rsidRDefault="00000000">
            <w:r>
              <w:rPr>
                <w:sz w:val="18"/>
              </w:rPr>
              <w:t>Do not define the PRISM problem as “AI looks too often.” Define it as “expensive reasoning receives more raw state than is required for the declared decision.” Polling is one visible manifestation of this information-boundary problem.</w:t>
            </w:r>
          </w:p>
        </w:tc>
      </w:tr>
    </w:tbl>
    <w:p w14:paraId="67B366C4" w14:textId="77777777" w:rsidR="000404DE" w:rsidRDefault="00000000">
      <w:pPr>
        <w:pStyle w:val="1"/>
      </w:pPr>
      <w:r>
        <w:rPr>
          <w:rFonts w:ascii="Arial" w:hAnsi="Arial"/>
        </w:rPr>
        <w:t>4. Representation Overhead Before Execution</w:t>
      </w:r>
    </w:p>
    <w:p w14:paraId="687A64B6" w14:textId="77777777" w:rsidR="000404DE" w:rsidRDefault="00000000">
      <w:r>
        <w:t>Modern digital systems can compute complex numbers, tensors, nonlinear dynamics and learning updates. The issue is not inability. The engineering question is whether the chosen representation forces additional bookkeeping, duplicated storage, conversions, generic kernels, approximate correction or state movement that a different mathematically valid representation could avoid.</w:t>
      </w:r>
    </w:p>
    <w:p w14:paraId="3A768F75" w14:textId="77777777" w:rsidR="000404DE" w:rsidRDefault="00000000">
      <w:r>
        <w:t>A representation is therefore not just notation. It is an instruction about what the machine must physically do. If a change in representation alters the number or type of operations, the amount of movement, solver eligibility, numerical invariants or execution pathway, representation becomes an economic and engineering variable.</w:t>
      </w:r>
    </w:p>
    <w:tbl>
      <w:tblPr>
        <w:tblW w:w="0" w:type="auto"/>
        <w:jc w:val="center"/>
        <w:tblLook w:val="04A0" w:firstRow="1" w:lastRow="0" w:firstColumn="1" w:lastColumn="0" w:noHBand="0" w:noVBand="1"/>
      </w:tblPr>
      <w:tblGrid>
        <w:gridCol w:w="9878"/>
      </w:tblGrid>
      <w:tr w:rsidR="000404DE" w14:paraId="4E6AE1CD" w14:textId="77777777">
        <w:trPr>
          <w:jc w:val="center"/>
        </w:trPr>
        <w:tc>
          <w:tcPr>
            <w:tcW w:w="9878" w:type="dxa"/>
            <w:shd w:val="clear" w:color="auto" w:fill="EAF0F7"/>
            <w:tcMar>
              <w:top w:w="140" w:type="dxa"/>
              <w:left w:w="160" w:type="dxa"/>
              <w:bottom w:w="140" w:type="dxa"/>
              <w:right w:w="160" w:type="dxa"/>
            </w:tcMar>
            <w:vAlign w:val="center"/>
          </w:tcPr>
          <w:p w14:paraId="716A4036" w14:textId="77777777" w:rsidR="000404DE" w:rsidRDefault="00000000">
            <w:r>
              <w:rPr>
                <w:b/>
                <w:color w:val="324B69"/>
                <w:sz w:val="18"/>
              </w:rPr>
              <w:t>MISCONCEPTION CONTROL</w:t>
            </w:r>
          </w:p>
          <w:p w14:paraId="142E471D" w14:textId="77777777" w:rsidR="000404DE" w:rsidRDefault="00000000">
            <w:r>
              <w:rPr>
                <w:sz w:val="18"/>
              </w:rPr>
              <w:t>Do not say binary computers “cannot understand” complex mathematics. The canonical claim is structural mismatch or representation overhead: the same mathematical problem can impose different computational work depending on how it is represented and executed.</w:t>
            </w:r>
          </w:p>
        </w:tc>
      </w:tr>
    </w:tbl>
    <w:p w14:paraId="75654D23" w14:textId="77777777" w:rsidR="000404DE" w:rsidRDefault="00000000">
      <w:pPr>
        <w:pStyle w:val="1"/>
      </w:pPr>
      <w:r>
        <w:rPr>
          <w:rFonts w:ascii="Arial" w:hAnsi="Arial"/>
        </w:rPr>
        <w:t>5. Why Scaling and Conventional Optimization Are Not Enough</w:t>
      </w:r>
    </w:p>
    <w:p w14:paraId="4A4D257C" w14:textId="77777777" w:rsidR="000404DE" w:rsidRDefault="00000000">
      <w:r>
        <w:t>Quantization, pruning, sparsity, distillation, kernel fusion, compiler optimization and specialized accelerators remain essential. They usually improve how an accepted computational object is executed. itriX adds upstream questions: should this information reach the controller in raw form, and should this computational object reach the execution stack in its current representation?</w:t>
      </w:r>
    </w:p>
    <w:p w14:paraId="0CA3E3EF" w14:textId="77777777" w:rsidR="000404DE" w:rsidRDefault="00000000">
      <w:r>
        <w:t>Observation-before-reasoning and representation-before-execution are complementary to—not replacements for—model, compiler, runtime and hardware optimization. A better upstream object gives the downstream stack better work to perform.</w:t>
      </w:r>
    </w:p>
    <w:p w14:paraId="066C1228" w14:textId="77777777" w:rsidR="000404DE" w:rsidRDefault="00000000">
      <w:r>
        <w:rPr>
          <w:b/>
          <w:color w:val="14233C"/>
          <w:sz w:val="48"/>
        </w:rPr>
        <w:lastRenderedPageBreak/>
        <w:t>PART II — SECRET</w:t>
      </w:r>
    </w:p>
    <w:p w14:paraId="7B014332" w14:textId="77777777" w:rsidR="000404DE" w:rsidRDefault="00000000">
      <w:r>
        <w:rPr>
          <w:color w:val="555F6E"/>
          <w:sz w:val="24"/>
        </w:rPr>
        <w:t>The hidden variables are the information boundary and the representation boundary</w:t>
      </w:r>
    </w:p>
    <w:p w14:paraId="7A7BDDFB" w14:textId="77777777" w:rsidR="000404DE" w:rsidRDefault="00000000">
      <w:pPr>
        <w:pStyle w:val="1"/>
      </w:pPr>
      <w:r>
        <w:rPr>
          <w:rFonts w:ascii="Arial" w:hAnsi="Arial"/>
        </w:rPr>
        <w:t>6. The Information Boundary</w:t>
      </w:r>
    </w:p>
    <w:p w14:paraId="7CFFDA18" w14:textId="77777777" w:rsidR="000404DE" w:rsidRDefault="00000000">
      <w:r>
        <w:t>The information boundary is the point at which environmental or computational state becomes controller-facing evidence. A poorly designed boundary sends raw detail and asks expensive intelligence to discover relevance. A better boundary performs a stateful projection before reasoning and preserves what the declared decision actually needs.</w:t>
      </w:r>
    </w:p>
    <w:p w14:paraId="7E5ECAEB" w14:textId="77777777" w:rsidR="000404DE" w:rsidRDefault="00000000">
      <w:r>
        <w:t>PRISM formalizes this idea. Let raw history be X and delivered semantic history be Z = Π(X). The safety question is whether Z is decision-sufficient for the declared task. The efficiency question is separate: whether the projection and delivery policy reduce observation, representation or controller resources under the deployment.</w:t>
      </w:r>
    </w:p>
    <w:tbl>
      <w:tblPr>
        <w:tblW w:w="0" w:type="auto"/>
        <w:jc w:val="center"/>
        <w:tblLook w:val="04A0" w:firstRow="1" w:lastRow="0" w:firstColumn="1" w:lastColumn="0" w:noHBand="0" w:noVBand="1"/>
      </w:tblPr>
      <w:tblGrid>
        <w:gridCol w:w="9878"/>
      </w:tblGrid>
      <w:tr w:rsidR="000404DE" w14:paraId="1B5CDBF9" w14:textId="77777777">
        <w:trPr>
          <w:jc w:val="center"/>
        </w:trPr>
        <w:tc>
          <w:tcPr>
            <w:tcW w:w="9878" w:type="dxa"/>
            <w:shd w:val="clear" w:color="auto" w:fill="EAF0F7"/>
            <w:tcMar>
              <w:top w:w="140" w:type="dxa"/>
              <w:left w:w="160" w:type="dxa"/>
              <w:bottom w:w="140" w:type="dxa"/>
              <w:right w:w="160" w:type="dxa"/>
            </w:tcMar>
            <w:vAlign w:val="center"/>
          </w:tcPr>
          <w:p w14:paraId="159B917C" w14:textId="77777777" w:rsidR="000404DE" w:rsidRDefault="00000000">
            <w:r>
              <w:rPr>
                <w:b/>
                <w:color w:val="324B69"/>
                <w:sz w:val="18"/>
              </w:rPr>
              <w:t>SECRET</w:t>
            </w:r>
          </w:p>
          <w:p w14:paraId="0C28FC1F" w14:textId="77777777" w:rsidR="000404DE" w:rsidRDefault="00000000">
            <w:r>
              <w:rPr>
                <w:sz w:val="18"/>
              </w:rPr>
              <w:t>The objective is not the smallest message. It is the least redundant representation that remains sufficient for the decision. Lower bytes, fewer calls or fewer tokens are possible consequences, not the definition.</w:t>
            </w:r>
          </w:p>
        </w:tc>
      </w:tr>
    </w:tbl>
    <w:p w14:paraId="546FA776" w14:textId="77777777" w:rsidR="000404DE" w:rsidRDefault="00000000">
      <w:pPr>
        <w:pStyle w:val="1"/>
      </w:pPr>
      <w:r>
        <w:rPr>
          <w:rFonts w:ascii="Arial" w:hAnsi="Arial"/>
        </w:rPr>
        <w:t>7. The Representation Boundary</w:t>
      </w:r>
    </w:p>
    <w:p w14:paraId="5A78490F" w14:textId="77777777" w:rsidR="000404DE" w:rsidRDefault="00000000">
      <w:r>
        <w:t>The representation boundary is the point at which a mathematical or learning object is expressed for the software and hardware stack. Two mathematically equivalent descriptions can have very different execution consequences. One may align with mature real solvers, expose structured operators, preserve exact discrete conservation or make learning state explicit; another may require more generic execution and movement.</w:t>
      </w:r>
    </w:p>
    <w:p w14:paraId="5397B391" w14:textId="77777777" w:rsidR="000404DE" w:rsidRDefault="00000000">
      <w:r>
        <w:t>ALPHA treats representation as an engineering surface. A useful transformation must preserve the mathematical meaning or application-specific validity that matters to the customer and must create net end-to-end benefit after transformation, materialization, reconstruction and integration overhead.</w:t>
      </w:r>
    </w:p>
    <w:tbl>
      <w:tblPr>
        <w:tblW w:w="0" w:type="auto"/>
        <w:jc w:val="center"/>
        <w:tblLook w:val="04A0" w:firstRow="1" w:lastRow="0" w:firstColumn="1" w:lastColumn="0" w:noHBand="0" w:noVBand="1"/>
      </w:tblPr>
      <w:tblGrid>
        <w:gridCol w:w="9878"/>
      </w:tblGrid>
      <w:tr w:rsidR="000404DE" w14:paraId="03741CB6" w14:textId="77777777">
        <w:trPr>
          <w:jc w:val="center"/>
        </w:trPr>
        <w:tc>
          <w:tcPr>
            <w:tcW w:w="9878" w:type="dxa"/>
            <w:shd w:val="clear" w:color="auto" w:fill="EAF0F7"/>
            <w:tcMar>
              <w:top w:w="140" w:type="dxa"/>
              <w:left w:w="160" w:type="dxa"/>
              <w:bottom w:w="140" w:type="dxa"/>
              <w:right w:w="160" w:type="dxa"/>
            </w:tcMar>
            <w:vAlign w:val="center"/>
          </w:tcPr>
          <w:p w14:paraId="7DD0A9D3" w14:textId="77777777" w:rsidR="000404DE" w:rsidRDefault="00000000">
            <w:r>
              <w:rPr>
                <w:b/>
                <w:color w:val="324B69"/>
                <w:sz w:val="18"/>
              </w:rPr>
              <w:t>PROBLEMOLOGY SECRET</w:t>
            </w:r>
          </w:p>
          <w:p w14:paraId="490FEFEC" w14:textId="77777777" w:rsidR="000404DE" w:rsidRDefault="00000000">
            <w:r>
              <w:rPr>
                <w:sz w:val="18"/>
              </w:rPr>
              <w:t>Some limits attributed to computation may be limits of representation. Before adding more hardware, ask whether an eligible workload can be expressed and executed along a structurally better route.</w:t>
            </w:r>
          </w:p>
        </w:tc>
      </w:tr>
    </w:tbl>
    <w:p w14:paraId="187E1BC8" w14:textId="77777777" w:rsidR="000404DE" w:rsidRDefault="00000000">
      <w:pPr>
        <w:pStyle w:val="1"/>
      </w:pPr>
      <w:r>
        <w:rPr>
          <w:rFonts w:ascii="Arial" w:hAnsi="Arial"/>
        </w:rPr>
        <w:t>8. Decision Sufficiency and Preserved Meaning</w:t>
      </w:r>
    </w:p>
    <w:p w14:paraId="38FC7AD5" w14:textId="77777777" w:rsidR="000404DE" w:rsidRDefault="00000000">
      <w:r>
        <w:t>Both intervention domains share a discipline: preserve what matters before seeking efficiency. For PRISM, the preserved object is the decision-relevant state. For ALPHA, the preserved object is the mathematical, numerical or application meaning required by the workload.</w:t>
      </w:r>
    </w:p>
    <w:tbl>
      <w:tblPr>
        <w:tblStyle w:val="af9"/>
        <w:tblW w:w="0" w:type="auto"/>
        <w:jc w:val="center"/>
        <w:tblLook w:val="04A0" w:firstRow="1" w:lastRow="0" w:firstColumn="1" w:lastColumn="0" w:noHBand="0" w:noVBand="1"/>
      </w:tblPr>
      <w:tblGrid>
        <w:gridCol w:w="3288"/>
        <w:gridCol w:w="3290"/>
        <w:gridCol w:w="3290"/>
      </w:tblGrid>
      <w:tr w:rsidR="000404DE" w14:paraId="46BC25FB" w14:textId="77777777">
        <w:trPr>
          <w:jc w:val="center"/>
        </w:trPr>
        <w:tc>
          <w:tcPr>
            <w:tcW w:w="3293" w:type="dxa"/>
            <w:shd w:val="clear" w:color="auto" w:fill="D9E2F3"/>
            <w:tcMar>
              <w:top w:w="100" w:type="dxa"/>
              <w:left w:w="110" w:type="dxa"/>
              <w:bottom w:w="100" w:type="dxa"/>
              <w:right w:w="110" w:type="dxa"/>
            </w:tcMar>
            <w:vAlign w:val="center"/>
          </w:tcPr>
          <w:p w14:paraId="4901198A" w14:textId="77777777" w:rsidR="000404DE" w:rsidRDefault="00000000">
            <w:pPr>
              <w:jc w:val="center"/>
            </w:pPr>
            <w:r>
              <w:rPr>
                <w:b/>
                <w:sz w:val="18"/>
              </w:rPr>
              <w:t>Domain</w:t>
            </w:r>
          </w:p>
        </w:tc>
        <w:tc>
          <w:tcPr>
            <w:tcW w:w="3293" w:type="dxa"/>
            <w:shd w:val="clear" w:color="auto" w:fill="D9E2F3"/>
            <w:tcMar>
              <w:top w:w="100" w:type="dxa"/>
              <w:left w:w="110" w:type="dxa"/>
              <w:bottom w:w="100" w:type="dxa"/>
              <w:right w:w="110" w:type="dxa"/>
            </w:tcMar>
            <w:vAlign w:val="center"/>
          </w:tcPr>
          <w:p w14:paraId="4A3DAD02" w14:textId="77777777" w:rsidR="000404DE" w:rsidRDefault="00000000">
            <w:pPr>
              <w:jc w:val="center"/>
            </w:pPr>
            <w:r>
              <w:rPr>
                <w:b/>
                <w:sz w:val="18"/>
              </w:rPr>
              <w:t>What must be preserved</w:t>
            </w:r>
          </w:p>
        </w:tc>
        <w:tc>
          <w:tcPr>
            <w:tcW w:w="3293" w:type="dxa"/>
            <w:shd w:val="clear" w:color="auto" w:fill="D9E2F3"/>
            <w:tcMar>
              <w:top w:w="100" w:type="dxa"/>
              <w:left w:w="110" w:type="dxa"/>
              <w:bottom w:w="100" w:type="dxa"/>
              <w:right w:w="110" w:type="dxa"/>
            </w:tcMar>
            <w:vAlign w:val="center"/>
          </w:tcPr>
          <w:p w14:paraId="3B22F274" w14:textId="77777777" w:rsidR="000404DE" w:rsidRDefault="00000000">
            <w:pPr>
              <w:jc w:val="center"/>
            </w:pPr>
            <w:r>
              <w:rPr>
                <w:b/>
                <w:sz w:val="18"/>
              </w:rPr>
              <w:t>What may change</w:t>
            </w:r>
          </w:p>
        </w:tc>
      </w:tr>
      <w:tr w:rsidR="000404DE" w14:paraId="58174D9D" w14:textId="77777777">
        <w:trPr>
          <w:jc w:val="center"/>
        </w:trPr>
        <w:tc>
          <w:tcPr>
            <w:tcW w:w="3293" w:type="dxa"/>
            <w:tcMar>
              <w:top w:w="100" w:type="dxa"/>
              <w:left w:w="110" w:type="dxa"/>
              <w:bottom w:w="100" w:type="dxa"/>
              <w:right w:w="110" w:type="dxa"/>
            </w:tcMar>
            <w:vAlign w:val="center"/>
          </w:tcPr>
          <w:p w14:paraId="3B09DFDB" w14:textId="77777777" w:rsidR="000404DE" w:rsidRDefault="00000000">
            <w:pPr>
              <w:jc w:val="center"/>
            </w:pPr>
            <w:r>
              <w:rPr>
                <w:sz w:val="18"/>
              </w:rPr>
              <w:t>PRISM / ASTOP</w:t>
            </w:r>
          </w:p>
        </w:tc>
        <w:tc>
          <w:tcPr>
            <w:tcW w:w="3293" w:type="dxa"/>
            <w:tcMar>
              <w:top w:w="100" w:type="dxa"/>
              <w:left w:w="110" w:type="dxa"/>
              <w:bottom w:w="100" w:type="dxa"/>
              <w:right w:w="110" w:type="dxa"/>
            </w:tcMar>
            <w:vAlign w:val="center"/>
          </w:tcPr>
          <w:p w14:paraId="04DDADF4" w14:textId="77777777" w:rsidR="000404DE" w:rsidRDefault="00000000">
            <w:r>
              <w:rPr>
                <w:sz w:val="18"/>
              </w:rPr>
              <w:t>Declared decision evidence, required identifiers, event coverage and authoritative system outcome.</w:t>
            </w:r>
          </w:p>
        </w:tc>
        <w:tc>
          <w:tcPr>
            <w:tcW w:w="3293" w:type="dxa"/>
            <w:tcMar>
              <w:top w:w="100" w:type="dxa"/>
              <w:left w:w="110" w:type="dxa"/>
              <w:bottom w:w="100" w:type="dxa"/>
              <w:right w:w="110" w:type="dxa"/>
            </w:tcMar>
            <w:vAlign w:val="center"/>
          </w:tcPr>
          <w:p w14:paraId="47671181" w14:textId="77777777" w:rsidR="000404DE" w:rsidRDefault="00000000">
            <w:r>
              <w:rPr>
                <w:sz w:val="18"/>
              </w:rPr>
              <w:t>Representation, delivery timing and controller activation.</w:t>
            </w:r>
          </w:p>
        </w:tc>
      </w:tr>
      <w:tr w:rsidR="000404DE" w14:paraId="43AD6F48" w14:textId="77777777">
        <w:trPr>
          <w:jc w:val="center"/>
        </w:trPr>
        <w:tc>
          <w:tcPr>
            <w:tcW w:w="3293" w:type="dxa"/>
            <w:tcMar>
              <w:top w:w="100" w:type="dxa"/>
              <w:left w:w="110" w:type="dxa"/>
              <w:bottom w:w="100" w:type="dxa"/>
              <w:right w:w="110" w:type="dxa"/>
            </w:tcMar>
            <w:vAlign w:val="center"/>
          </w:tcPr>
          <w:p w14:paraId="11097261" w14:textId="77777777" w:rsidR="000404DE" w:rsidRDefault="00000000">
            <w:pPr>
              <w:jc w:val="center"/>
            </w:pPr>
            <w:r>
              <w:rPr>
                <w:sz w:val="18"/>
              </w:rPr>
              <w:t>AXIOM / AXIOM-TENSOR</w:t>
            </w:r>
          </w:p>
        </w:tc>
        <w:tc>
          <w:tcPr>
            <w:tcW w:w="3293" w:type="dxa"/>
            <w:tcMar>
              <w:top w:w="100" w:type="dxa"/>
              <w:left w:w="110" w:type="dxa"/>
              <w:bottom w:w="100" w:type="dxa"/>
              <w:right w:w="110" w:type="dxa"/>
            </w:tcMar>
            <w:vAlign w:val="center"/>
          </w:tcPr>
          <w:p w14:paraId="3275ADC2" w14:textId="77777777" w:rsidR="000404DE" w:rsidRDefault="00000000">
            <w:r>
              <w:rPr>
                <w:sz w:val="18"/>
              </w:rPr>
              <w:t>Agreed algebraic/operator behavior or task-quality threshold.</w:t>
            </w:r>
          </w:p>
        </w:tc>
        <w:tc>
          <w:tcPr>
            <w:tcW w:w="3293" w:type="dxa"/>
            <w:tcMar>
              <w:top w:w="100" w:type="dxa"/>
              <w:left w:w="110" w:type="dxa"/>
              <w:bottom w:w="100" w:type="dxa"/>
              <w:right w:w="110" w:type="dxa"/>
            </w:tcMar>
            <w:vAlign w:val="center"/>
          </w:tcPr>
          <w:p w14:paraId="6797BFFE" w14:textId="77777777" w:rsidR="000404DE" w:rsidRDefault="00000000">
            <w:r>
              <w:rPr>
                <w:sz w:val="18"/>
              </w:rPr>
              <w:t>Internal representation, operator structure and execution form.</w:t>
            </w:r>
          </w:p>
        </w:tc>
      </w:tr>
      <w:tr w:rsidR="000404DE" w14:paraId="53796E95" w14:textId="77777777">
        <w:trPr>
          <w:jc w:val="center"/>
        </w:trPr>
        <w:tc>
          <w:tcPr>
            <w:tcW w:w="3293" w:type="dxa"/>
            <w:tcMar>
              <w:top w:w="100" w:type="dxa"/>
              <w:left w:w="110" w:type="dxa"/>
              <w:bottom w:w="100" w:type="dxa"/>
              <w:right w:w="110" w:type="dxa"/>
            </w:tcMar>
            <w:vAlign w:val="center"/>
          </w:tcPr>
          <w:p w14:paraId="6F92E83B" w14:textId="77777777" w:rsidR="000404DE" w:rsidRDefault="00000000">
            <w:pPr>
              <w:jc w:val="center"/>
            </w:pPr>
            <w:r>
              <w:rPr>
                <w:sz w:val="18"/>
              </w:rPr>
              <w:lastRenderedPageBreak/>
              <w:t>CRE</w:t>
            </w:r>
          </w:p>
        </w:tc>
        <w:tc>
          <w:tcPr>
            <w:tcW w:w="3293" w:type="dxa"/>
            <w:tcMar>
              <w:top w:w="100" w:type="dxa"/>
              <w:left w:w="110" w:type="dxa"/>
              <w:bottom w:w="100" w:type="dxa"/>
              <w:right w:w="110" w:type="dxa"/>
            </w:tcMar>
            <w:vAlign w:val="center"/>
          </w:tcPr>
          <w:p w14:paraId="71E41FC8" w14:textId="77777777" w:rsidR="000404DE" w:rsidRDefault="00000000">
            <w:r>
              <w:rPr>
                <w:sz w:val="18"/>
              </w:rPr>
              <w:t>Relevant algebraic, adjoint, spectral, invertibility and conditioning properties within validated scope.</w:t>
            </w:r>
          </w:p>
        </w:tc>
        <w:tc>
          <w:tcPr>
            <w:tcW w:w="3293" w:type="dxa"/>
            <w:tcMar>
              <w:top w:w="100" w:type="dxa"/>
              <w:left w:w="110" w:type="dxa"/>
              <w:bottom w:w="100" w:type="dxa"/>
              <w:right w:w="110" w:type="dxa"/>
            </w:tcMar>
            <w:vAlign w:val="center"/>
          </w:tcPr>
          <w:p w14:paraId="57A441B4" w14:textId="77777777" w:rsidR="000404DE" w:rsidRDefault="00000000">
            <w:r>
              <w:rPr>
                <w:sz w:val="18"/>
              </w:rPr>
              <w:t>Complex representation can become a structured real execution form.</w:t>
            </w:r>
          </w:p>
        </w:tc>
      </w:tr>
      <w:tr w:rsidR="000404DE" w14:paraId="3DB109B2" w14:textId="77777777">
        <w:trPr>
          <w:jc w:val="center"/>
        </w:trPr>
        <w:tc>
          <w:tcPr>
            <w:tcW w:w="3293" w:type="dxa"/>
            <w:tcMar>
              <w:top w:w="100" w:type="dxa"/>
              <w:left w:w="110" w:type="dxa"/>
              <w:bottom w:w="100" w:type="dxa"/>
              <w:right w:w="110" w:type="dxa"/>
            </w:tcMar>
            <w:vAlign w:val="center"/>
          </w:tcPr>
          <w:p w14:paraId="74941BF3" w14:textId="77777777" w:rsidR="000404DE" w:rsidRDefault="00000000">
            <w:pPr>
              <w:jc w:val="center"/>
            </w:pPr>
            <w:r>
              <w:rPr>
                <w:sz w:val="18"/>
              </w:rPr>
              <w:t>FQNM</w:t>
            </w:r>
          </w:p>
        </w:tc>
        <w:tc>
          <w:tcPr>
            <w:tcW w:w="3293" w:type="dxa"/>
            <w:tcMar>
              <w:top w:w="100" w:type="dxa"/>
              <w:left w:w="110" w:type="dxa"/>
              <w:bottom w:w="100" w:type="dxa"/>
              <w:right w:w="110" w:type="dxa"/>
            </w:tcMar>
            <w:vAlign w:val="center"/>
          </w:tcPr>
          <w:p w14:paraId="7101209A" w14:textId="77777777" w:rsidR="000404DE" w:rsidRDefault="00000000">
            <w:r>
              <w:rPr>
                <w:sz w:val="18"/>
              </w:rPr>
              <w:t>Declared conserved quantity and agreed numerical validity.</w:t>
            </w:r>
          </w:p>
        </w:tc>
        <w:tc>
          <w:tcPr>
            <w:tcW w:w="3293" w:type="dxa"/>
            <w:tcMar>
              <w:top w:w="100" w:type="dxa"/>
              <w:left w:w="110" w:type="dxa"/>
              <w:bottom w:w="100" w:type="dxa"/>
              <w:right w:w="110" w:type="dxa"/>
            </w:tcMar>
            <w:vAlign w:val="center"/>
          </w:tcPr>
          <w:p w14:paraId="534CA05E" w14:textId="77777777" w:rsidR="000404DE" w:rsidRDefault="00000000">
            <w:r>
              <w:rPr>
                <w:sz w:val="18"/>
              </w:rPr>
              <w:t>Continuous/float-style update can become quantised countable transfer in validated scope.</w:t>
            </w:r>
          </w:p>
        </w:tc>
      </w:tr>
      <w:tr w:rsidR="000404DE" w14:paraId="44AA7C41" w14:textId="77777777">
        <w:trPr>
          <w:jc w:val="center"/>
        </w:trPr>
        <w:tc>
          <w:tcPr>
            <w:tcW w:w="3293" w:type="dxa"/>
            <w:tcMar>
              <w:top w:w="100" w:type="dxa"/>
              <w:left w:w="110" w:type="dxa"/>
              <w:bottom w:w="100" w:type="dxa"/>
              <w:right w:w="110" w:type="dxa"/>
            </w:tcMar>
            <w:vAlign w:val="center"/>
          </w:tcPr>
          <w:p w14:paraId="4BCDB972" w14:textId="77777777" w:rsidR="000404DE" w:rsidRDefault="00000000">
            <w:pPr>
              <w:jc w:val="center"/>
            </w:pPr>
            <w:r>
              <w:rPr>
                <w:sz w:val="18"/>
              </w:rPr>
              <w:t>QNTA</w:t>
            </w:r>
          </w:p>
        </w:tc>
        <w:tc>
          <w:tcPr>
            <w:tcW w:w="3293" w:type="dxa"/>
            <w:tcMar>
              <w:top w:w="100" w:type="dxa"/>
              <w:left w:w="110" w:type="dxa"/>
              <w:bottom w:w="100" w:type="dxa"/>
              <w:right w:w="110" w:type="dxa"/>
            </w:tcMar>
            <w:vAlign w:val="center"/>
          </w:tcPr>
          <w:p w14:paraId="2E5024B4" w14:textId="77777777" w:rsidR="000404DE" w:rsidRDefault="00000000">
            <w:r>
              <w:rPr>
                <w:sz w:val="18"/>
              </w:rPr>
              <w:t>Declared learning behavior, state transition, convergence/accuracy and device/runtime contract.</w:t>
            </w:r>
          </w:p>
        </w:tc>
        <w:tc>
          <w:tcPr>
            <w:tcW w:w="3293" w:type="dxa"/>
            <w:tcMar>
              <w:top w:w="100" w:type="dxa"/>
              <w:left w:w="110" w:type="dxa"/>
              <w:bottom w:w="100" w:type="dxa"/>
              <w:right w:w="110" w:type="dxa"/>
            </w:tcMar>
            <w:vAlign w:val="center"/>
          </w:tcPr>
          <w:p w14:paraId="539CE282" w14:textId="77777777" w:rsidR="000404DE" w:rsidRDefault="00000000">
            <w:r>
              <w:rPr>
                <w:sz w:val="18"/>
              </w:rPr>
              <w:t>Training-specific hidden machinery can become explicit inference-compatible computation/state.</w:t>
            </w:r>
          </w:p>
        </w:tc>
      </w:tr>
    </w:tbl>
    <w:p w14:paraId="5B6D9A16" w14:textId="77777777" w:rsidR="000404DE" w:rsidRDefault="00000000">
      <w:pPr>
        <w:pStyle w:val="1"/>
      </w:pPr>
      <w:r>
        <w:rPr>
          <w:rFonts w:ascii="Arial" w:hAnsi="Arial"/>
        </w:rPr>
        <w:t>9. Eligibility Before Performance</w:t>
      </w:r>
    </w:p>
    <w:p w14:paraId="16BD1AFB" w14:textId="77777777" w:rsidR="000404DE" w:rsidRDefault="00000000">
      <w:r>
        <w:t>Neither observation projection nor computational transformation is universally beneficial. The first gate is eligibility. A PRISM projection must preserve decision-relevant evidence. An ALPHA technology must match the workload structure and validation boundary. Only after eligibility is established should runtime, memory, tokens, energy or economic value be compared.</w:t>
      </w:r>
    </w:p>
    <w:tbl>
      <w:tblPr>
        <w:tblStyle w:val="af9"/>
        <w:tblW w:w="0" w:type="auto"/>
        <w:jc w:val="center"/>
        <w:tblLook w:val="04A0" w:firstRow="1" w:lastRow="0" w:firstColumn="1" w:lastColumn="0" w:noHBand="0" w:noVBand="1"/>
      </w:tblPr>
      <w:tblGrid>
        <w:gridCol w:w="3290"/>
        <w:gridCol w:w="3289"/>
        <w:gridCol w:w="3289"/>
      </w:tblGrid>
      <w:tr w:rsidR="000404DE" w14:paraId="38D1ABF6" w14:textId="77777777">
        <w:trPr>
          <w:jc w:val="center"/>
        </w:trPr>
        <w:tc>
          <w:tcPr>
            <w:tcW w:w="3293" w:type="dxa"/>
            <w:shd w:val="clear" w:color="auto" w:fill="D9E2F3"/>
            <w:tcMar>
              <w:top w:w="100" w:type="dxa"/>
              <w:left w:w="110" w:type="dxa"/>
              <w:bottom w:w="100" w:type="dxa"/>
              <w:right w:w="110" w:type="dxa"/>
            </w:tcMar>
            <w:vAlign w:val="center"/>
          </w:tcPr>
          <w:p w14:paraId="6FC0D29E" w14:textId="77777777" w:rsidR="000404DE" w:rsidRDefault="00000000">
            <w:pPr>
              <w:jc w:val="center"/>
            </w:pPr>
            <w:r>
              <w:rPr>
                <w:b/>
                <w:sz w:val="18"/>
              </w:rPr>
              <w:t>Claim</w:t>
            </w:r>
          </w:p>
        </w:tc>
        <w:tc>
          <w:tcPr>
            <w:tcW w:w="3293" w:type="dxa"/>
            <w:shd w:val="clear" w:color="auto" w:fill="D9E2F3"/>
            <w:tcMar>
              <w:top w:w="100" w:type="dxa"/>
              <w:left w:w="110" w:type="dxa"/>
              <w:bottom w:w="100" w:type="dxa"/>
              <w:right w:w="110" w:type="dxa"/>
            </w:tcMar>
            <w:vAlign w:val="center"/>
          </w:tcPr>
          <w:p w14:paraId="535CE385" w14:textId="77777777" w:rsidR="000404DE" w:rsidRDefault="00000000">
            <w:pPr>
              <w:jc w:val="center"/>
            </w:pPr>
            <w:r>
              <w:rPr>
                <w:b/>
                <w:sz w:val="18"/>
              </w:rPr>
              <w:t>Question</w:t>
            </w:r>
          </w:p>
        </w:tc>
        <w:tc>
          <w:tcPr>
            <w:tcW w:w="3293" w:type="dxa"/>
            <w:shd w:val="clear" w:color="auto" w:fill="D9E2F3"/>
            <w:tcMar>
              <w:top w:w="100" w:type="dxa"/>
              <w:left w:w="110" w:type="dxa"/>
              <w:bottom w:w="100" w:type="dxa"/>
              <w:right w:w="110" w:type="dxa"/>
            </w:tcMar>
            <w:vAlign w:val="center"/>
          </w:tcPr>
          <w:p w14:paraId="2D91435A" w14:textId="77777777" w:rsidR="000404DE" w:rsidRDefault="00000000">
            <w:pPr>
              <w:jc w:val="center"/>
            </w:pPr>
            <w:r>
              <w:rPr>
                <w:b/>
                <w:sz w:val="18"/>
              </w:rPr>
              <w:t>Evidence required</w:t>
            </w:r>
          </w:p>
        </w:tc>
      </w:tr>
      <w:tr w:rsidR="000404DE" w14:paraId="22C36FCC" w14:textId="77777777">
        <w:trPr>
          <w:jc w:val="center"/>
        </w:trPr>
        <w:tc>
          <w:tcPr>
            <w:tcW w:w="3293" w:type="dxa"/>
            <w:tcMar>
              <w:top w:w="100" w:type="dxa"/>
              <w:left w:w="110" w:type="dxa"/>
              <w:bottom w:w="100" w:type="dxa"/>
              <w:right w:w="110" w:type="dxa"/>
            </w:tcMar>
            <w:vAlign w:val="center"/>
          </w:tcPr>
          <w:p w14:paraId="5EBED528" w14:textId="77777777" w:rsidR="000404DE" w:rsidRDefault="00000000">
            <w:pPr>
              <w:jc w:val="center"/>
            </w:pPr>
            <w:r>
              <w:rPr>
                <w:sz w:val="18"/>
              </w:rPr>
              <w:t>Decision fidelity</w:t>
            </w:r>
          </w:p>
        </w:tc>
        <w:tc>
          <w:tcPr>
            <w:tcW w:w="3293" w:type="dxa"/>
            <w:tcMar>
              <w:top w:w="100" w:type="dxa"/>
              <w:left w:w="110" w:type="dxa"/>
              <w:bottom w:w="100" w:type="dxa"/>
              <w:right w:w="110" w:type="dxa"/>
            </w:tcMar>
            <w:vAlign w:val="center"/>
          </w:tcPr>
          <w:p w14:paraId="5A0442BC" w14:textId="77777777" w:rsidR="000404DE" w:rsidRDefault="00000000">
            <w:r>
              <w:rPr>
                <w:sz w:val="18"/>
              </w:rPr>
              <w:t>Does the projected observation still support the required decision?</w:t>
            </w:r>
          </w:p>
        </w:tc>
        <w:tc>
          <w:tcPr>
            <w:tcW w:w="3293" w:type="dxa"/>
            <w:tcMar>
              <w:top w:w="100" w:type="dxa"/>
              <w:left w:w="110" w:type="dxa"/>
              <w:bottom w:w="100" w:type="dxa"/>
              <w:right w:w="110" w:type="dxa"/>
            </w:tcMar>
            <w:vAlign w:val="center"/>
          </w:tcPr>
          <w:p w14:paraId="70811304" w14:textId="77777777" w:rsidR="000404DE" w:rsidRDefault="00000000">
            <w:r>
              <w:rPr>
                <w:sz w:val="18"/>
              </w:rPr>
              <w:t>Independent system outcome, required-event coverage, identifier preservation and controller fidelity.</w:t>
            </w:r>
          </w:p>
        </w:tc>
      </w:tr>
      <w:tr w:rsidR="000404DE" w14:paraId="06EF463D" w14:textId="77777777">
        <w:trPr>
          <w:jc w:val="center"/>
        </w:trPr>
        <w:tc>
          <w:tcPr>
            <w:tcW w:w="3293" w:type="dxa"/>
            <w:tcMar>
              <w:top w:w="100" w:type="dxa"/>
              <w:left w:w="110" w:type="dxa"/>
              <w:bottom w:w="100" w:type="dxa"/>
              <w:right w:w="110" w:type="dxa"/>
            </w:tcMar>
            <w:vAlign w:val="center"/>
          </w:tcPr>
          <w:p w14:paraId="3EA4BBF4" w14:textId="77777777" w:rsidR="000404DE" w:rsidRDefault="00000000">
            <w:pPr>
              <w:jc w:val="center"/>
            </w:pPr>
            <w:r>
              <w:rPr>
                <w:sz w:val="18"/>
              </w:rPr>
              <w:t>Mathematical equivalence</w:t>
            </w:r>
          </w:p>
        </w:tc>
        <w:tc>
          <w:tcPr>
            <w:tcW w:w="3293" w:type="dxa"/>
            <w:tcMar>
              <w:top w:w="100" w:type="dxa"/>
              <w:left w:w="110" w:type="dxa"/>
              <w:bottom w:w="100" w:type="dxa"/>
              <w:right w:w="110" w:type="dxa"/>
            </w:tcMar>
            <w:vAlign w:val="center"/>
          </w:tcPr>
          <w:p w14:paraId="50CB471F" w14:textId="77777777" w:rsidR="000404DE" w:rsidRDefault="00000000">
            <w:r>
              <w:rPr>
                <w:sz w:val="18"/>
              </w:rPr>
              <w:t>Does the transformed computation preserve the required object or invariant?</w:t>
            </w:r>
          </w:p>
        </w:tc>
        <w:tc>
          <w:tcPr>
            <w:tcW w:w="3293" w:type="dxa"/>
            <w:tcMar>
              <w:top w:w="100" w:type="dxa"/>
              <w:left w:w="110" w:type="dxa"/>
              <w:bottom w:w="100" w:type="dxa"/>
              <w:right w:w="110" w:type="dxa"/>
            </w:tcMar>
            <w:vAlign w:val="center"/>
          </w:tcPr>
          <w:p w14:paraId="2174550B" w14:textId="77777777" w:rsidR="000404DE" w:rsidRDefault="00000000">
            <w:r>
              <w:rPr>
                <w:sz w:val="18"/>
              </w:rPr>
              <w:t>Proof or validated theorem scope.</w:t>
            </w:r>
          </w:p>
        </w:tc>
      </w:tr>
      <w:tr w:rsidR="000404DE" w14:paraId="7E6DCF69" w14:textId="77777777">
        <w:trPr>
          <w:jc w:val="center"/>
        </w:trPr>
        <w:tc>
          <w:tcPr>
            <w:tcW w:w="3293" w:type="dxa"/>
            <w:tcMar>
              <w:top w:w="100" w:type="dxa"/>
              <w:left w:w="110" w:type="dxa"/>
              <w:bottom w:w="100" w:type="dxa"/>
              <w:right w:w="110" w:type="dxa"/>
            </w:tcMar>
            <w:vAlign w:val="center"/>
          </w:tcPr>
          <w:p w14:paraId="24665154" w14:textId="77777777" w:rsidR="000404DE" w:rsidRDefault="00000000">
            <w:pPr>
              <w:jc w:val="center"/>
            </w:pPr>
            <w:r>
              <w:rPr>
                <w:sz w:val="18"/>
              </w:rPr>
              <w:t>Representation benefit</w:t>
            </w:r>
          </w:p>
        </w:tc>
        <w:tc>
          <w:tcPr>
            <w:tcW w:w="3293" w:type="dxa"/>
            <w:tcMar>
              <w:top w:w="100" w:type="dxa"/>
              <w:left w:w="110" w:type="dxa"/>
              <w:bottom w:w="100" w:type="dxa"/>
              <w:right w:w="110" w:type="dxa"/>
            </w:tcMar>
            <w:vAlign w:val="center"/>
          </w:tcPr>
          <w:p w14:paraId="044ABBB7" w14:textId="77777777" w:rsidR="000404DE" w:rsidRDefault="00000000">
            <w:r>
              <w:rPr>
                <w:sz w:val="18"/>
              </w:rPr>
              <w:t>Is the representation smaller or more structured?</w:t>
            </w:r>
          </w:p>
        </w:tc>
        <w:tc>
          <w:tcPr>
            <w:tcW w:w="3293" w:type="dxa"/>
            <w:tcMar>
              <w:top w:w="100" w:type="dxa"/>
              <w:left w:w="110" w:type="dxa"/>
              <w:bottom w:w="100" w:type="dxa"/>
              <w:right w:w="110" w:type="dxa"/>
            </w:tcMar>
            <w:vAlign w:val="center"/>
          </w:tcPr>
          <w:p w14:paraId="421017CC" w14:textId="77777777" w:rsidR="000404DE" w:rsidRDefault="00000000">
            <w:r>
              <w:rPr>
                <w:sz w:val="18"/>
              </w:rPr>
              <w:t>Exact accounting under the selected mode.</w:t>
            </w:r>
          </w:p>
        </w:tc>
      </w:tr>
      <w:tr w:rsidR="000404DE" w14:paraId="7E24FAAB" w14:textId="77777777">
        <w:trPr>
          <w:jc w:val="center"/>
        </w:trPr>
        <w:tc>
          <w:tcPr>
            <w:tcW w:w="3293" w:type="dxa"/>
            <w:tcMar>
              <w:top w:w="100" w:type="dxa"/>
              <w:left w:w="110" w:type="dxa"/>
              <w:bottom w:w="100" w:type="dxa"/>
              <w:right w:w="110" w:type="dxa"/>
            </w:tcMar>
            <w:vAlign w:val="center"/>
          </w:tcPr>
          <w:p w14:paraId="55BAFB56" w14:textId="77777777" w:rsidR="000404DE" w:rsidRDefault="00000000">
            <w:pPr>
              <w:jc w:val="center"/>
            </w:pPr>
            <w:r>
              <w:rPr>
                <w:sz w:val="18"/>
              </w:rPr>
              <w:t>Runtime / token / memory benefit</w:t>
            </w:r>
          </w:p>
        </w:tc>
        <w:tc>
          <w:tcPr>
            <w:tcW w:w="3293" w:type="dxa"/>
            <w:tcMar>
              <w:top w:w="100" w:type="dxa"/>
              <w:left w:w="110" w:type="dxa"/>
              <w:bottom w:w="100" w:type="dxa"/>
              <w:right w:w="110" w:type="dxa"/>
            </w:tcMar>
            <w:vAlign w:val="center"/>
          </w:tcPr>
          <w:p w14:paraId="0148E664" w14:textId="77777777" w:rsidR="000404DE" w:rsidRDefault="00000000">
            <w:r>
              <w:rPr>
                <w:sz w:val="18"/>
              </w:rPr>
              <w:t>Does total operation or reasoning cost fall?</w:t>
            </w:r>
          </w:p>
        </w:tc>
        <w:tc>
          <w:tcPr>
            <w:tcW w:w="3293" w:type="dxa"/>
            <w:tcMar>
              <w:top w:w="100" w:type="dxa"/>
              <w:left w:w="110" w:type="dxa"/>
              <w:bottom w:w="100" w:type="dxa"/>
              <w:right w:w="110" w:type="dxa"/>
            </w:tcMar>
            <w:vAlign w:val="center"/>
          </w:tcPr>
          <w:p w14:paraId="64BB3D21" w14:textId="77777777" w:rsidR="000404DE" w:rsidRDefault="00000000">
            <w:r>
              <w:rPr>
                <w:sz w:val="18"/>
              </w:rPr>
              <w:t>End-to-end benchmark with overhead included.</w:t>
            </w:r>
          </w:p>
        </w:tc>
      </w:tr>
      <w:tr w:rsidR="000404DE" w14:paraId="4B685358" w14:textId="77777777">
        <w:trPr>
          <w:jc w:val="center"/>
        </w:trPr>
        <w:tc>
          <w:tcPr>
            <w:tcW w:w="3293" w:type="dxa"/>
            <w:tcMar>
              <w:top w:w="100" w:type="dxa"/>
              <w:left w:w="110" w:type="dxa"/>
              <w:bottom w:w="100" w:type="dxa"/>
              <w:right w:w="110" w:type="dxa"/>
            </w:tcMar>
            <w:vAlign w:val="center"/>
          </w:tcPr>
          <w:p w14:paraId="6BB17C10" w14:textId="77777777" w:rsidR="000404DE" w:rsidRDefault="00000000">
            <w:pPr>
              <w:jc w:val="center"/>
            </w:pPr>
            <w:r>
              <w:rPr>
                <w:sz w:val="18"/>
              </w:rPr>
              <w:t>Energy benefit</w:t>
            </w:r>
          </w:p>
        </w:tc>
        <w:tc>
          <w:tcPr>
            <w:tcW w:w="3293" w:type="dxa"/>
            <w:tcMar>
              <w:top w:w="100" w:type="dxa"/>
              <w:left w:w="110" w:type="dxa"/>
              <w:bottom w:w="100" w:type="dxa"/>
              <w:right w:w="110" w:type="dxa"/>
            </w:tcMar>
            <w:vAlign w:val="center"/>
          </w:tcPr>
          <w:p w14:paraId="12F15B17" w14:textId="77777777" w:rsidR="000404DE" w:rsidRDefault="00000000">
            <w:r>
              <w:rPr>
                <w:sz w:val="18"/>
              </w:rPr>
              <w:t>Does measured energy-to-solution fall?</w:t>
            </w:r>
          </w:p>
        </w:tc>
        <w:tc>
          <w:tcPr>
            <w:tcW w:w="3293" w:type="dxa"/>
            <w:tcMar>
              <w:top w:w="100" w:type="dxa"/>
              <w:left w:w="110" w:type="dxa"/>
              <w:bottom w:w="100" w:type="dxa"/>
              <w:right w:w="110" w:type="dxa"/>
            </w:tcMar>
            <w:vAlign w:val="center"/>
          </w:tcPr>
          <w:p w14:paraId="50403CC6" w14:textId="77777777" w:rsidR="000404DE" w:rsidRDefault="00000000">
            <w:r>
              <w:rPr>
                <w:sz w:val="18"/>
              </w:rPr>
              <w:t>Reliable device/system energy measurement.</w:t>
            </w:r>
          </w:p>
        </w:tc>
      </w:tr>
      <w:tr w:rsidR="000404DE" w14:paraId="47BCBE18" w14:textId="77777777">
        <w:trPr>
          <w:jc w:val="center"/>
        </w:trPr>
        <w:tc>
          <w:tcPr>
            <w:tcW w:w="3293" w:type="dxa"/>
            <w:tcMar>
              <w:top w:w="100" w:type="dxa"/>
              <w:left w:w="110" w:type="dxa"/>
              <w:bottom w:w="100" w:type="dxa"/>
              <w:right w:w="110" w:type="dxa"/>
            </w:tcMar>
            <w:vAlign w:val="center"/>
          </w:tcPr>
          <w:p w14:paraId="7C522185" w14:textId="77777777" w:rsidR="000404DE" w:rsidRDefault="00000000">
            <w:pPr>
              <w:jc w:val="center"/>
            </w:pPr>
            <w:r>
              <w:rPr>
                <w:sz w:val="18"/>
              </w:rPr>
              <w:t>Economic benefit</w:t>
            </w:r>
          </w:p>
        </w:tc>
        <w:tc>
          <w:tcPr>
            <w:tcW w:w="3293" w:type="dxa"/>
            <w:tcMar>
              <w:top w:w="100" w:type="dxa"/>
              <w:left w:w="110" w:type="dxa"/>
              <w:bottom w:w="100" w:type="dxa"/>
              <w:right w:w="110" w:type="dxa"/>
            </w:tcMar>
            <w:vAlign w:val="center"/>
          </w:tcPr>
          <w:p w14:paraId="75DCE140" w14:textId="77777777" w:rsidR="000404DE" w:rsidRDefault="00000000">
            <w:r>
              <w:rPr>
                <w:sz w:val="18"/>
              </w:rPr>
              <w:t>Does verified technical advantage create customer value?</w:t>
            </w:r>
          </w:p>
        </w:tc>
        <w:tc>
          <w:tcPr>
            <w:tcW w:w="3293" w:type="dxa"/>
            <w:tcMar>
              <w:top w:w="100" w:type="dxa"/>
              <w:left w:w="110" w:type="dxa"/>
              <w:bottom w:w="100" w:type="dxa"/>
              <w:right w:w="110" w:type="dxa"/>
            </w:tcMar>
            <w:vAlign w:val="center"/>
          </w:tcPr>
          <w:p w14:paraId="35BA50DB" w14:textId="77777777" w:rsidR="000404DE" w:rsidRDefault="00000000">
            <w:r>
              <w:rPr>
                <w:sz w:val="18"/>
              </w:rPr>
              <w:t>Agreed baseline, attribution and measurement method.</w:t>
            </w:r>
          </w:p>
        </w:tc>
      </w:tr>
    </w:tbl>
    <w:p w14:paraId="2ED58512" w14:textId="77777777" w:rsidR="000404DE" w:rsidRDefault="00000000">
      <w:r>
        <w:br w:type="page"/>
      </w:r>
    </w:p>
    <w:p w14:paraId="505EE206" w14:textId="77777777" w:rsidR="000404DE" w:rsidRDefault="00000000">
      <w:r>
        <w:rPr>
          <w:b/>
          <w:color w:val="14233C"/>
          <w:sz w:val="48"/>
        </w:rPr>
        <w:lastRenderedPageBreak/>
        <w:t>PART III — SOLUTION</w:t>
      </w:r>
    </w:p>
    <w:p w14:paraId="6311DBE4" w14:textId="77777777" w:rsidR="000404DE" w:rsidRDefault="00000000">
      <w:r>
        <w:rPr>
          <w:color w:val="555F6E"/>
          <w:sz w:val="24"/>
        </w:rPr>
        <w:t>Intervene before expensive reasoning and before ordinary execution</w:t>
      </w:r>
    </w:p>
    <w:p w14:paraId="3F2DA041" w14:textId="77777777" w:rsidR="000404DE" w:rsidRDefault="00000000">
      <w:pPr>
        <w:pStyle w:val="1"/>
      </w:pPr>
      <w:r>
        <w:rPr>
          <w:rFonts w:ascii="Arial" w:hAnsi="Arial"/>
        </w:rPr>
        <w:t>10. The Integrated itriX Architecture</w:t>
      </w:r>
    </w:p>
    <w:p w14:paraId="5469C311" w14:textId="77777777" w:rsidR="000404DE" w:rsidRDefault="00000000">
      <w:r>
        <w:t>itriX should be understood as one computational-infrastructure company with two upstream intervention domains and three independent products. The observation domain organizes evidence before reasoning. The computation domain organizes eligible work before execution.</w:t>
      </w:r>
    </w:p>
    <w:tbl>
      <w:tblPr>
        <w:tblStyle w:val="af9"/>
        <w:tblW w:w="0" w:type="auto"/>
        <w:tblLook w:val="04A0" w:firstRow="1" w:lastRow="0" w:firstColumn="1" w:lastColumn="0" w:noHBand="0" w:noVBand="1"/>
      </w:tblPr>
      <w:tblGrid>
        <w:gridCol w:w="2409"/>
        <w:gridCol w:w="4781"/>
        <w:gridCol w:w="2678"/>
      </w:tblGrid>
      <w:tr w:rsidR="000404DE" w14:paraId="1F552699" w14:textId="77777777" w:rsidTr="009F4C36">
        <w:tc>
          <w:tcPr>
            <w:tcW w:w="2411" w:type="dxa"/>
            <w:shd w:val="clear" w:color="auto" w:fill="D9E2F3"/>
            <w:tcMar>
              <w:top w:w="100" w:type="dxa"/>
              <w:left w:w="110" w:type="dxa"/>
              <w:bottom w:w="100" w:type="dxa"/>
              <w:right w:w="110" w:type="dxa"/>
            </w:tcMar>
            <w:vAlign w:val="center"/>
          </w:tcPr>
          <w:p w14:paraId="786D3AC4" w14:textId="77777777" w:rsidR="000404DE" w:rsidRDefault="00000000">
            <w:r>
              <w:rPr>
                <w:sz w:val="18"/>
              </w:rPr>
              <w:t>Layer</w:t>
            </w:r>
          </w:p>
        </w:tc>
        <w:tc>
          <w:tcPr>
            <w:tcW w:w="4787" w:type="dxa"/>
            <w:shd w:val="clear" w:color="auto" w:fill="D9E2F3"/>
            <w:tcMar>
              <w:top w:w="100" w:type="dxa"/>
              <w:left w:w="110" w:type="dxa"/>
              <w:bottom w:w="100" w:type="dxa"/>
              <w:right w:w="110" w:type="dxa"/>
            </w:tcMar>
            <w:vAlign w:val="center"/>
          </w:tcPr>
          <w:p w14:paraId="11745802" w14:textId="77777777" w:rsidR="000404DE" w:rsidRDefault="00000000">
            <w:r>
              <w:rPr>
                <w:sz w:val="18"/>
              </w:rPr>
              <w:t>Technology / technical architecture</w:t>
            </w:r>
          </w:p>
        </w:tc>
        <w:tc>
          <w:tcPr>
            <w:tcW w:w="2681" w:type="dxa"/>
            <w:shd w:val="clear" w:color="auto" w:fill="D9E2F3"/>
            <w:tcMar>
              <w:top w:w="100" w:type="dxa"/>
              <w:left w:w="110" w:type="dxa"/>
              <w:bottom w:w="100" w:type="dxa"/>
              <w:right w:w="110" w:type="dxa"/>
            </w:tcMar>
            <w:vAlign w:val="center"/>
          </w:tcPr>
          <w:p w14:paraId="3761004C" w14:textId="77777777" w:rsidR="000404DE" w:rsidRDefault="00000000">
            <w:r>
              <w:rPr>
                <w:sz w:val="18"/>
              </w:rPr>
              <w:t>Product expression</w:t>
            </w:r>
          </w:p>
        </w:tc>
      </w:tr>
      <w:tr w:rsidR="000404DE" w14:paraId="4AE4270A" w14:textId="77777777" w:rsidTr="009F4C36">
        <w:tc>
          <w:tcPr>
            <w:tcW w:w="2411" w:type="dxa"/>
            <w:tcMar>
              <w:top w:w="100" w:type="dxa"/>
              <w:left w:w="110" w:type="dxa"/>
              <w:bottom w:w="100" w:type="dxa"/>
              <w:right w:w="110" w:type="dxa"/>
            </w:tcMar>
            <w:vAlign w:val="center"/>
          </w:tcPr>
          <w:p w14:paraId="20B67DE5" w14:textId="77777777" w:rsidR="000404DE" w:rsidRDefault="00000000">
            <w:r>
              <w:rPr>
                <w:sz w:val="18"/>
              </w:rPr>
              <w:t>Observation</w:t>
            </w:r>
          </w:p>
        </w:tc>
        <w:tc>
          <w:tcPr>
            <w:tcW w:w="4787" w:type="dxa"/>
            <w:tcMar>
              <w:top w:w="100" w:type="dxa"/>
              <w:left w:w="110" w:type="dxa"/>
              <w:bottom w:w="100" w:type="dxa"/>
              <w:right w:w="110" w:type="dxa"/>
            </w:tcMar>
            <w:vAlign w:val="center"/>
          </w:tcPr>
          <w:p w14:paraId="14088A84" w14:textId="77777777" w:rsidR="000404DE" w:rsidRDefault="00000000">
            <w:r>
              <w:rPr>
                <w:sz w:val="18"/>
              </w:rPr>
              <w:t>PRISM technology / pre-controller Observation Layer</w:t>
            </w:r>
          </w:p>
        </w:tc>
        <w:tc>
          <w:tcPr>
            <w:tcW w:w="2681" w:type="dxa"/>
            <w:tcMar>
              <w:top w:w="100" w:type="dxa"/>
              <w:left w:w="110" w:type="dxa"/>
              <w:bottom w:w="100" w:type="dxa"/>
              <w:right w:w="110" w:type="dxa"/>
            </w:tcMar>
            <w:vAlign w:val="center"/>
          </w:tcPr>
          <w:p w14:paraId="26B6B901" w14:textId="77777777" w:rsidR="000404DE" w:rsidRDefault="00000000">
            <w:r>
              <w:rPr>
                <w:sz w:val="18"/>
              </w:rPr>
              <w:t>ASTOP</w:t>
            </w:r>
          </w:p>
        </w:tc>
      </w:tr>
      <w:tr w:rsidR="000404DE" w14:paraId="51CCA969" w14:textId="77777777" w:rsidTr="009F4C36">
        <w:tc>
          <w:tcPr>
            <w:tcW w:w="2411" w:type="dxa"/>
            <w:tcMar>
              <w:top w:w="100" w:type="dxa"/>
              <w:left w:w="110" w:type="dxa"/>
              <w:bottom w:w="100" w:type="dxa"/>
              <w:right w:w="110" w:type="dxa"/>
            </w:tcMar>
            <w:vAlign w:val="center"/>
          </w:tcPr>
          <w:p w14:paraId="2DBA9602" w14:textId="77777777" w:rsidR="000404DE" w:rsidRDefault="00000000">
            <w:pPr>
              <w:jc w:val="center"/>
            </w:pPr>
            <w:r>
              <w:rPr>
                <w:sz w:val="18"/>
              </w:rPr>
              <w:t>Computation — software</w:t>
            </w:r>
          </w:p>
        </w:tc>
        <w:tc>
          <w:tcPr>
            <w:tcW w:w="4787" w:type="dxa"/>
            <w:tcMar>
              <w:top w:w="100" w:type="dxa"/>
              <w:left w:w="110" w:type="dxa"/>
              <w:bottom w:w="100" w:type="dxa"/>
              <w:right w:w="110" w:type="dxa"/>
            </w:tcMar>
            <w:vAlign w:val="center"/>
          </w:tcPr>
          <w:p w14:paraId="6A19895D" w14:textId="77777777" w:rsidR="000404DE" w:rsidRPr="009F4C36" w:rsidRDefault="00000000">
            <w:pPr>
              <w:rPr>
                <w:lang w:val="pt-BR"/>
              </w:rPr>
            </w:pPr>
            <w:r w:rsidRPr="009F4C36">
              <w:rPr>
                <w:sz w:val="18"/>
                <w:lang w:val="pt-BR"/>
              </w:rPr>
              <w:t>AXIOM, AXIOM-TENSOR, CRE, FQNM, QNTA</w:t>
            </w:r>
          </w:p>
        </w:tc>
        <w:tc>
          <w:tcPr>
            <w:tcW w:w="2681" w:type="dxa"/>
            <w:tcMar>
              <w:top w:w="100" w:type="dxa"/>
              <w:left w:w="110" w:type="dxa"/>
              <w:bottom w:w="100" w:type="dxa"/>
              <w:right w:w="110" w:type="dxa"/>
            </w:tcMar>
            <w:vAlign w:val="center"/>
          </w:tcPr>
          <w:p w14:paraId="70B7AF4A" w14:textId="77777777" w:rsidR="000404DE" w:rsidRDefault="00000000">
            <w:r>
              <w:rPr>
                <w:sz w:val="18"/>
              </w:rPr>
              <w:t>ALPHA Compute</w:t>
            </w:r>
          </w:p>
        </w:tc>
      </w:tr>
      <w:tr w:rsidR="000404DE" w14:paraId="698B12BE" w14:textId="77777777" w:rsidTr="009F4C36">
        <w:tc>
          <w:tcPr>
            <w:tcW w:w="2411" w:type="dxa"/>
            <w:tcMar>
              <w:top w:w="100" w:type="dxa"/>
              <w:left w:w="110" w:type="dxa"/>
              <w:bottom w:w="100" w:type="dxa"/>
              <w:right w:w="110" w:type="dxa"/>
            </w:tcMar>
            <w:vAlign w:val="center"/>
          </w:tcPr>
          <w:p w14:paraId="338C00FB" w14:textId="77777777" w:rsidR="000404DE" w:rsidRDefault="00000000">
            <w:pPr>
              <w:jc w:val="center"/>
            </w:pPr>
            <w:r>
              <w:rPr>
                <w:sz w:val="18"/>
              </w:rPr>
              <w:t>Computation — hardware</w:t>
            </w:r>
          </w:p>
        </w:tc>
        <w:tc>
          <w:tcPr>
            <w:tcW w:w="4787" w:type="dxa"/>
            <w:tcMar>
              <w:top w:w="100" w:type="dxa"/>
              <w:left w:w="110" w:type="dxa"/>
              <w:bottom w:w="100" w:type="dxa"/>
              <w:right w:w="110" w:type="dxa"/>
            </w:tcMar>
            <w:vAlign w:val="center"/>
          </w:tcPr>
          <w:p w14:paraId="1D0E5CE0" w14:textId="77777777" w:rsidR="000404DE" w:rsidRDefault="00000000">
            <w:r>
              <w:rPr>
                <w:sz w:val="18"/>
              </w:rPr>
              <w:t>Validated structures from applicable ALPHA technologies</w:t>
            </w:r>
          </w:p>
        </w:tc>
        <w:tc>
          <w:tcPr>
            <w:tcW w:w="2681" w:type="dxa"/>
            <w:tcMar>
              <w:top w:w="100" w:type="dxa"/>
              <w:left w:w="110" w:type="dxa"/>
              <w:bottom w:w="100" w:type="dxa"/>
              <w:right w:w="110" w:type="dxa"/>
            </w:tcMar>
            <w:vAlign w:val="center"/>
          </w:tcPr>
          <w:p w14:paraId="4B0DBFFC" w14:textId="77777777" w:rsidR="000404DE" w:rsidRDefault="00000000">
            <w:r>
              <w:rPr>
                <w:sz w:val="18"/>
              </w:rPr>
              <w:t>ALPHA Core</w:t>
            </w:r>
          </w:p>
        </w:tc>
      </w:tr>
    </w:tbl>
    <w:tbl>
      <w:tblPr>
        <w:tblW w:w="0" w:type="auto"/>
        <w:jc w:val="center"/>
        <w:tblLook w:val="04A0" w:firstRow="1" w:lastRow="0" w:firstColumn="1" w:lastColumn="0" w:noHBand="0" w:noVBand="1"/>
      </w:tblPr>
      <w:tblGrid>
        <w:gridCol w:w="9878"/>
      </w:tblGrid>
      <w:tr w:rsidR="000404DE" w14:paraId="1BD35737" w14:textId="77777777">
        <w:trPr>
          <w:jc w:val="center"/>
        </w:trPr>
        <w:tc>
          <w:tcPr>
            <w:tcW w:w="9878" w:type="dxa"/>
            <w:shd w:val="clear" w:color="auto" w:fill="EAF0F7"/>
            <w:tcMar>
              <w:top w:w="140" w:type="dxa"/>
              <w:left w:w="160" w:type="dxa"/>
              <w:bottom w:w="140" w:type="dxa"/>
              <w:right w:w="160" w:type="dxa"/>
            </w:tcMar>
            <w:vAlign w:val="center"/>
          </w:tcPr>
          <w:p w14:paraId="175AE7F4" w14:textId="77777777" w:rsidR="000404DE" w:rsidRDefault="00000000">
            <w:r>
              <w:rPr>
                <w:b/>
                <w:color w:val="324B69"/>
                <w:sz w:val="18"/>
              </w:rPr>
              <w:t>ARCHITECTURAL RULE</w:t>
            </w:r>
          </w:p>
          <w:p w14:paraId="158148D2" w14:textId="77777777" w:rsidR="000404DE" w:rsidRDefault="00000000">
            <w:r>
              <w:rPr>
                <w:sz w:val="18"/>
              </w:rPr>
              <w:t>Do not draw PRISM → ALPHA Compute → ALPHA Core as a mandatory pipeline. ASTOP, ALPHA Compute and ALPHA Core are independent products. They may be composed where that creates verified value.</w:t>
            </w:r>
          </w:p>
        </w:tc>
      </w:tr>
    </w:tbl>
    <w:p w14:paraId="15C591EE" w14:textId="77777777" w:rsidR="000404DE" w:rsidRDefault="00000000">
      <w:pPr>
        <w:pStyle w:val="1"/>
      </w:pPr>
      <w:r>
        <w:rPr>
          <w:rFonts w:ascii="Arial" w:hAnsi="Arial"/>
        </w:rPr>
        <w:t>11. PRISM: Observation Technology and the Observation Layer</w:t>
      </w:r>
    </w:p>
    <w:tbl>
      <w:tblPr>
        <w:tblW w:w="0" w:type="auto"/>
        <w:jc w:val="center"/>
        <w:tblLook w:val="04A0" w:firstRow="1" w:lastRow="0" w:firstColumn="1" w:lastColumn="0" w:noHBand="0" w:noVBand="1"/>
      </w:tblPr>
      <w:tblGrid>
        <w:gridCol w:w="9878"/>
      </w:tblGrid>
      <w:tr w:rsidR="000404DE" w14:paraId="49F640B0" w14:textId="77777777">
        <w:trPr>
          <w:jc w:val="center"/>
        </w:trPr>
        <w:tc>
          <w:tcPr>
            <w:tcW w:w="9878" w:type="dxa"/>
            <w:shd w:val="clear" w:color="auto" w:fill="EAF0F7"/>
            <w:tcMar>
              <w:top w:w="140" w:type="dxa"/>
              <w:left w:w="160" w:type="dxa"/>
              <w:bottom w:w="140" w:type="dxa"/>
              <w:right w:w="160" w:type="dxa"/>
            </w:tcMar>
            <w:vAlign w:val="center"/>
          </w:tcPr>
          <w:p w14:paraId="577C0CBC" w14:textId="77777777" w:rsidR="000404DE" w:rsidRDefault="00000000">
            <w:r>
              <w:rPr>
                <w:b/>
                <w:color w:val="324B69"/>
                <w:sz w:val="18"/>
              </w:rPr>
              <w:t>MAXWELL’S DEMON ANALOGY</w:t>
            </w:r>
          </w:p>
          <w:p w14:paraId="4D0167C1" w14:textId="77777777" w:rsidR="000404DE" w:rsidRDefault="00000000">
            <w:r>
              <w:rPr>
                <w:sz w:val="18"/>
              </w:rPr>
              <w:t>Conceptually, PRISM resembles Maxwell’s Demon only in the limited information-boundary sense: it distinguishes states and allows decision-relevant information to cross a boundary. It is not a thermodynamic claim and should not be described as violating entropy laws.</w:t>
            </w:r>
          </w:p>
        </w:tc>
      </w:tr>
    </w:tbl>
    <w:p w14:paraId="071C7728" w14:textId="77777777" w:rsidR="000404DE" w:rsidRDefault="00000000">
      <w:pPr>
        <w:pStyle w:val="21"/>
      </w:pPr>
      <w:r>
        <w:t>11.1 Problem addressed — expensive reasoning sees too much raw state</w:t>
      </w:r>
    </w:p>
    <w:p w14:paraId="6A13FD7D" w14:textId="77777777" w:rsidR="000404DE" w:rsidRDefault="00000000">
      <w:r>
        <w:t>Agentic systems increasingly supervise long-running computation, but the conventional observation path often exposes logs, metrics, process state and repeated status information directly to an expensive controller. The core inefficiency is not simply observation frequency. It is that the controller may receive far more raw state than is required for the next decision, forcing the reasoning system to reconstruct relevance after acquisition, serialization, tokenization and model invocation have already occurred.</w:t>
      </w:r>
    </w:p>
    <w:p w14:paraId="1BF09AF3" w14:textId="77777777" w:rsidR="000404DE" w:rsidRDefault="00000000">
      <w:pPr>
        <w:pStyle w:val="21"/>
      </w:pPr>
      <w:r>
        <w:t>11.2 Operating idea — project raw history into decision-sufficient information</w:t>
      </w:r>
    </w:p>
    <w:p w14:paraId="78751D63" w14:textId="77777777" w:rsidR="000404DE" w:rsidRDefault="00000000">
      <w:r>
        <w:t>PRISM—Projection and Representation for Intelligent Semantic Monitoring—is itriX observation technology. Its defining technical architecture is a logically independent pre-controller Observation Layer. The layer maintains state over raw history, applies a task-declared semantic projection and produces a representation organized around the downstream decision. Redundant or decision-equivalent information can be suppressed, while required identifiers, task evidence and meaningful state changes are retained.</w:t>
      </w:r>
    </w:p>
    <w:p w14:paraId="3FF55940" w14:textId="77777777" w:rsidR="000404DE" w:rsidRDefault="00000000">
      <w:r>
        <w:t xml:space="preserve">PRISM is therefore better understood as an information-boundary technology than as a polling optimization. Sparse event delivery may be one consequence, but the governing question is what </w:t>
      </w:r>
      <w:r>
        <w:lastRenderedPageBreak/>
        <w:t>information deserves to cross into expensive reasoning at all. The observer may operate as an external daemon or as an independently stateful co-resident component without changing model weights.</w:t>
      </w:r>
    </w:p>
    <w:p w14:paraId="426DB083" w14:textId="77777777" w:rsidR="000404DE" w:rsidRDefault="00000000">
      <w:pPr>
        <w:pStyle w:val="21"/>
      </w:pPr>
      <w:r>
        <w:t>11.3 Evidence and limits</w:t>
      </w:r>
    </w:p>
    <w:p w14:paraId="05195747" w14:textId="77777777" w:rsidR="000404DE" w:rsidRDefault="00000000">
      <w:r>
        <w:t>The PRISM study reports 720/720 authoritative system successes in the primary matrix, with controller decision fidelity of 350/360 under polling and 360/360 under PRISM. Among fidelity-matched comparisons, reported aggregate reductions across tested controllers were 51.9–84.5% in tokens, 28.0–54.0% in controller calls and 76.0–89.5% in delivered bytes. The study also reports counterexamples: some semantic events were larger in bytes, shorter input could induce more reasoning, and dense state change could produce more semantic notifications than polling. These cases define the boundary of the claim rather than weakening it.</w:t>
      </w:r>
    </w:p>
    <w:p w14:paraId="3835EF6C" w14:textId="77777777" w:rsidR="000404DE" w:rsidRDefault="00000000">
      <w:pPr>
        <w:pStyle w:val="21"/>
      </w:pPr>
      <w:r>
        <w:t>11.4 Product relevance</w:t>
      </w:r>
    </w:p>
    <w:p w14:paraId="082ED7A8" w14:textId="77777777" w:rsidR="000404DE" w:rsidRDefault="00000000">
      <w:r>
        <w:t>ASTOP is the product expression of PRISM. It brings the observation technology into deployable computational environments by collecting host, accelerator, process and experiment evidence and exposing it to humans, software and AI agents. ASTOP is independent of ALPHA Compute and ALPHA Core; the products may be composed where useful, but PRISM is not a mandatory precursor to ALPHA workloads.</w:t>
      </w:r>
    </w:p>
    <w:p w14:paraId="0813FE35" w14:textId="77777777" w:rsidR="000404DE" w:rsidRDefault="00000000">
      <w:r>
        <w:t>Source basis: PRISM paper and advisor briefing, August 2026; ASTOP product documentation.</w:t>
      </w:r>
    </w:p>
    <w:p w14:paraId="020BF73F" w14:textId="77777777" w:rsidR="000404DE" w:rsidRDefault="00000000">
      <w:pPr>
        <w:pStyle w:val="1"/>
      </w:pPr>
      <w:r>
        <w:rPr>
          <w:rFonts w:ascii="Arial" w:hAnsi="Arial"/>
        </w:rPr>
        <w:t>12. AXIOM: Algebraic State and High-Dimensional Structure</w:t>
      </w:r>
    </w:p>
    <w:p w14:paraId="2018E403" w14:textId="77777777" w:rsidR="000404DE" w:rsidRDefault="00000000">
      <w:pPr>
        <w:pStyle w:val="21"/>
      </w:pPr>
      <w:r>
        <w:t>12.1 Problem addressed — high-dimensional algebra becomes structurally difficult to carry</w:t>
      </w:r>
    </w:p>
    <w:p w14:paraId="75EFFC70" w14:textId="77777777" w:rsidR="000404DE" w:rsidRDefault="00000000">
      <w:r>
        <w:t>As algebraic dimension grows, computation can accumulate separate multiplication conventions, sign handling, basis rules and specialized representations. The resulting burden is not only mathematical complexity; it can also make implementation fragmented and obscure the richer internal state that later observation or reconstruction may require.</w:t>
      </w:r>
    </w:p>
    <w:p w14:paraId="12B4521F" w14:textId="77777777" w:rsidR="000404DE" w:rsidRDefault="00000000">
      <w:pPr>
        <w:pStyle w:val="21"/>
      </w:pPr>
      <w:r>
        <w:t>12.2 Operating idea — preserve algebraic state, then observe and reconstruct</w:t>
      </w:r>
    </w:p>
    <w:p w14:paraId="2ABF2570" w14:textId="77777777" w:rsidR="000404DE" w:rsidRDefault="00000000">
      <w:r>
        <w:t>AXIOM is a high-dimensional algebra/state representation technology. Its technical foundations include index-ordered and sign-controlled product rules that organize complex, quaternionic and higher structured multiplication without relying on a separate multiplication table for every dimension. The inventor-refined interpretation goes beyond basis ordering: computation evolves in a structured algebraic state space, while activation, measurement or output can be treated as projections of that state.</w:t>
      </w:r>
    </w:p>
    <w:p w14:paraId="020BF9AE" w14:textId="77777777" w:rsidR="000404DE" w:rsidRDefault="00000000">
      <w:r>
        <w:t>This observation-centered view is important because an observed value is not necessarily the entire internal state. AXIOM therefore connects representation, state evolution, observation/projection and reconstruction. The aim is to preserve reconstructable structure long enough for the computation to use it rather than collapsing the system too early into a lossy observable.</w:t>
      </w:r>
    </w:p>
    <w:p w14:paraId="20764056" w14:textId="77777777" w:rsidR="000404DE" w:rsidRDefault="00000000">
      <w:pPr>
        <w:pStyle w:val="21"/>
      </w:pPr>
      <w:r>
        <w:t>12.3 Evidence and limits</w:t>
      </w:r>
    </w:p>
    <w:p w14:paraId="738ED897" w14:textId="77777777" w:rsidR="000404DE" w:rsidRDefault="00000000">
      <w:r>
        <w:t>Academic and patent materials provide the mathematical and implementation foundation for the AXIOM algebraic framework, including tensor-sorted or index-ordered multiplication and structure-preservation results within stated scopes. These results do not establish a universal runtime advantage. Applicability depends on the algebraic structure of the workload, and performance claims require a concrete implementation, baseline and target hardware.</w:t>
      </w:r>
    </w:p>
    <w:p w14:paraId="4A181649" w14:textId="77777777" w:rsidR="000404DE" w:rsidRDefault="00000000">
      <w:pPr>
        <w:pStyle w:val="21"/>
      </w:pPr>
      <w:r>
        <w:lastRenderedPageBreak/>
        <w:t>12.4 Product relevance</w:t>
      </w:r>
    </w:p>
    <w:p w14:paraId="191BCB0F" w14:textId="77777777" w:rsidR="000404DE" w:rsidRDefault="00000000">
      <w:r>
        <w:t>Within ALPHA Compute, AXIOM provides a route for diagnosing and restructuring eligible high-dimensional algebra before ordinary execution optimization. If a validated AXIOM structure later benefits from dedicated data paths, operator support or accelerator logic, ALPHA Core can implement or accelerate that structure. ALPHA Core remains optional; AXIOM value can be established in software first.</w:t>
      </w:r>
    </w:p>
    <w:p w14:paraId="5A49BE70" w14:textId="77777777" w:rsidR="000404DE" w:rsidRDefault="00000000">
      <w:r>
        <w:t>Source basis: AXIOM patent and academic materials; Unified Mathematical View — Inventor V2.0.</w:t>
      </w:r>
    </w:p>
    <w:p w14:paraId="5A1BAD2C" w14:textId="77777777" w:rsidR="000404DE" w:rsidRDefault="00000000">
      <w:pPr>
        <w:pStyle w:val="1"/>
      </w:pPr>
      <w:r>
        <w:rPr>
          <w:rFonts w:ascii="Arial" w:hAnsi="Arial"/>
        </w:rPr>
        <w:t>13. AXIOM-TENSOR: Structured Operators and Selective Replacement</w:t>
      </w:r>
    </w:p>
    <w:tbl>
      <w:tblPr>
        <w:tblW w:w="0" w:type="auto"/>
        <w:jc w:val="center"/>
        <w:tblLook w:val="04A0" w:firstRow="1" w:lastRow="0" w:firstColumn="1" w:lastColumn="0" w:noHBand="0" w:noVBand="1"/>
      </w:tblPr>
      <w:tblGrid>
        <w:gridCol w:w="9878"/>
      </w:tblGrid>
      <w:tr w:rsidR="000404DE" w14:paraId="3C216AE2" w14:textId="77777777">
        <w:trPr>
          <w:jc w:val="center"/>
        </w:trPr>
        <w:tc>
          <w:tcPr>
            <w:tcW w:w="9878" w:type="dxa"/>
            <w:shd w:val="clear" w:color="auto" w:fill="EAF0F7"/>
            <w:tcMar>
              <w:top w:w="140" w:type="dxa"/>
              <w:left w:w="160" w:type="dxa"/>
              <w:bottom w:w="140" w:type="dxa"/>
              <w:right w:w="160" w:type="dxa"/>
            </w:tcMar>
            <w:vAlign w:val="center"/>
          </w:tcPr>
          <w:p w14:paraId="72CF4CB2" w14:textId="77777777" w:rsidR="000404DE" w:rsidRDefault="00000000">
            <w:r>
              <w:rPr>
                <w:b/>
                <w:color w:val="324B69"/>
                <w:sz w:val="18"/>
              </w:rPr>
              <w:t>CLAIM CEILING</w:t>
            </w:r>
          </w:p>
          <w:p w14:paraId="15BE2F18" w14:textId="77777777" w:rsidR="000404DE" w:rsidRDefault="00000000">
            <w:r>
              <w:rPr>
                <w:sz w:val="18"/>
              </w:rPr>
              <w:t>Always attach mode, scope and evidence level to AXIOM-TENSOR claims: exact vs reduced-budget; operator/layer vs sequential/full-model; representation vs runtime.</w:t>
            </w:r>
          </w:p>
        </w:tc>
      </w:tr>
    </w:tbl>
    <w:p w14:paraId="690E3EA9" w14:textId="77777777" w:rsidR="000404DE" w:rsidRDefault="00000000">
      <w:pPr>
        <w:pStyle w:val="21"/>
      </w:pPr>
      <w:r>
        <w:t>13.1 Problem addressed — large AI operators consume memory and movement</w:t>
      </w:r>
    </w:p>
    <w:p w14:paraId="6286BC13" w14:textId="77777777" w:rsidR="000404DE" w:rsidRDefault="00000000">
      <w:r>
        <w:t>Large AI models impose cost not only through arithmetic but through model storage, memory capacity and repeated data movement between memory and compute. AXIOM-TENSOR asks whether suitable large tensor or operator structures need to be carried in their conventional dense form, or whether the same or sufficiently similar function can be represented with a much smaller structured description.</w:t>
      </w:r>
    </w:p>
    <w:p w14:paraId="65EA0735" w14:textId="77777777" w:rsidR="000404DE" w:rsidRDefault="00000000">
      <w:pPr>
        <w:pStyle w:val="21"/>
      </w:pPr>
      <w:r>
        <w:t>13.2 Operating idea — change the representation structure, not merely numerical precision</w:t>
      </w:r>
    </w:p>
    <w:p w14:paraId="5E236214" w14:textId="77777777" w:rsidR="000404DE" w:rsidRDefault="00000000">
      <w:r>
        <w:t>AXIOM-TENSOR is a structured operator/tensor representation technology. It is distinct from conventional quantization: quantization primarily changes numerical precision, while AXIOM-TENSOR changes the representation structure itself. Two technical modes must remain separate. Exact representation asks whether a target operator can be compiled into the structured form without changing the operator; reduced-budget representation asks whether a smaller structured form can preserve an agreed quality threshold.</w:t>
      </w:r>
    </w:p>
    <w:p w14:paraId="0E7693B4" w14:textId="77777777" w:rsidR="000404DE" w:rsidRDefault="00000000">
      <w:r>
        <w:t>The productization lesson is selective rather than blanket replacement. Different model locations can have different sensitivity to structural replacement, so a practical workflow is map candidate locations → test sensitivity → classify pass/conditional/no-go → replace where admissible → verify the composed model. A failed location is useful evidence because it sharpens the eligibility map.</w:t>
      </w:r>
    </w:p>
    <w:p w14:paraId="760D0C39" w14:textId="77777777" w:rsidR="000404DE" w:rsidRDefault="00000000">
      <w:pPr>
        <w:pStyle w:val="21"/>
      </w:pPr>
      <w:r>
        <w:t>13.3 Evidence, current stage and limits</w:t>
      </w:r>
    </w:p>
    <w:p w14:paraId="6D9ACA82" w14:textId="77777777" w:rsidR="000404DE" w:rsidRDefault="00000000">
      <w:r>
        <w:t>The August technology brief describes AXIOM-TENSOR as the closest current productization candidate and reports internal examples across image classification, speech synthesis, character recognition, language and image generation in which smaller structured representations retained important functions or output characteristics. The earlier executive briefing reports a 97.7% parameter reduction for a tested cross-attention projection and illustrates strong location sensitivity: blocks 0 and 27 tracked the dense reference substantially better than block 14 in the shown examples. These results support selective representation reduction, not automatic full-model compression.</w:t>
      </w:r>
    </w:p>
    <w:p w14:paraId="6657DB54" w14:textId="77777777" w:rsidR="000404DE" w:rsidRDefault="00000000">
      <w:r>
        <w:t>A smaller representation does not automatically mean faster execution or lower energy. Runtime depends on whether the structured form is executed efficiently rather than expanded or materialized inefficiently. Memory, data movement, latency, throughput and energy must therefore be measured separately on the target software and hardware path.</w:t>
      </w:r>
    </w:p>
    <w:p w14:paraId="53861A54" w14:textId="77777777" w:rsidR="000404DE" w:rsidRDefault="00000000">
      <w:pPr>
        <w:pStyle w:val="21"/>
      </w:pPr>
      <w:r>
        <w:lastRenderedPageBreak/>
        <w:t>13.4 Product relevance</w:t>
      </w:r>
    </w:p>
    <w:p w14:paraId="5AACE92C" w14:textId="77777777" w:rsidR="000404DE" w:rsidRDefault="00000000">
      <w:r>
        <w:t>AXIOM-TENSOR belongs first in ALPHA Compute as a software-side eligibility, transformation and verification route. ALPHA Compute can determine where structural replacement is admissible and deploy the validated representation on existing hardware. ALPHA Core becomes relevant only when dedicated hardware execution of the structured form creates additional verified advantage—for example through accelerator, NPU, SoC, memory/data-path or hardware-IP integration.</w:t>
      </w:r>
    </w:p>
    <w:p w14:paraId="367A22F6" w14:textId="77777777" w:rsidR="000404DE" w:rsidRDefault="00000000">
      <w:r>
        <w:t>Source basis: QNTA + AXIOM-TENSOR Executive Briefing, 2026.08.13; ITRIX Core Technology Brief, 2026.08.28. The brief describes internal productization progress; external claims remain bounded by the underlying evidence package.</w:t>
      </w:r>
    </w:p>
    <w:p w14:paraId="069C1961" w14:textId="77777777" w:rsidR="000404DE" w:rsidRDefault="00000000">
      <w:pPr>
        <w:pStyle w:val="1"/>
      </w:pPr>
      <w:r>
        <w:rPr>
          <w:rFonts w:ascii="Arial" w:hAnsi="Arial"/>
        </w:rPr>
        <w:t>14. CRE: Structured Real Execution for Eligible Complex Operators</w:t>
      </w:r>
    </w:p>
    <w:p w14:paraId="2D8641D5" w14:textId="77777777" w:rsidR="000404DE" w:rsidRDefault="00000000">
      <w:pPr>
        <w:pStyle w:val="21"/>
      </w:pPr>
      <w:r>
        <w:t>14.1 Problem addressed — complex structure can be expensive on real-optimized execution paths</w:t>
      </w:r>
    </w:p>
    <w:p w14:paraId="12984693" w14:textId="77777777" w:rsidR="000404DE" w:rsidRDefault="00000000">
      <w:r>
        <w:t>Complex-valued and Hermitian computations are mathematically natural in many scientific and engineering workloads, yet much of the mature numerical ecosystem is highly optimized around real-valued kernels and symmetric positive-definite routines. The opportunity is not that digital machines cannot compute complex numbers; it is that a mathematically equivalent representation may expose a more favorable execution path for eligible operators.</w:t>
      </w:r>
    </w:p>
    <w:p w14:paraId="76D81FBC" w14:textId="77777777" w:rsidR="000404DE" w:rsidRDefault="00000000">
      <w:pPr>
        <w:pStyle w:val="21"/>
      </w:pPr>
      <w:r>
        <w:t>14.2 Operating idea — preserve complex meaning in structured real form</w:t>
      </w:r>
    </w:p>
    <w:p w14:paraId="5C466130" w14:textId="77777777" w:rsidR="000404DE" w:rsidRDefault="00000000">
      <w:r>
        <w:t>CRE—Conjugation–Real Embedding—maps eligible complex operators into structured real block operators while preserving relevant algebraic, adjoint, spectral and conditioning properties within the validated setting. For the commercially important Hermitian positive-definite case, the complex HPD problem maps to a real symmetric positive-definite form, allowing pivot-free Cholesky-based execution with reconstruction back to the original complex meaning.</w:t>
      </w:r>
    </w:p>
    <w:p w14:paraId="130B4BE0" w14:textId="77777777" w:rsidR="000404DE" w:rsidRDefault="00000000">
      <w:r>
        <w:t>The important discipline is preservation first, acceleration second. The imaginary component is not discarded; it is represented as structured geometry in real space. CRE is useful only when the required mathematical object survives the transformation and the complete transform–execute–reconstruct path improves the measured system outcome.</w:t>
      </w:r>
    </w:p>
    <w:p w14:paraId="336A9742" w14:textId="77777777" w:rsidR="000404DE" w:rsidRDefault="00000000">
      <w:pPr>
        <w:pStyle w:val="21"/>
      </w:pPr>
      <w:r>
        <w:t>14.3 Evidence and limits</w:t>
      </w:r>
    </w:p>
    <w:p w14:paraId="1B399260" w14:textId="77777777" w:rsidR="000404DE" w:rsidRDefault="00000000">
      <w:r>
        <w:t>The thesis and defense materials establish multiplicative, adjoint-preserving and norm-isometric properties of the embedding and report preservation of spectra and condition numbers in the validated HPD/SPD setting. Academic benchmarks report substantial speedups in defined dense inversion regimes with machine-precision-scale residual behavior, while also showing crossover effects at small sizes and sensitivity to kernel, cache and implementation conditions. The 2× real-dimensional lift must also be analyzed carefully for storage and materialization consequences.</w:t>
      </w:r>
    </w:p>
    <w:p w14:paraId="0AB126B9" w14:textId="77777777" w:rsidR="000404DE" w:rsidRDefault="00000000">
      <w:pPr>
        <w:pStyle w:val="21"/>
      </w:pPr>
      <w:r>
        <w:t>14.4 Product relevance</w:t>
      </w:r>
    </w:p>
    <w:p w14:paraId="49274360" w14:textId="77777777" w:rsidR="000404DE" w:rsidRDefault="00000000">
      <w:r>
        <w:t>CRE is an ALPHA Compute route for eligible complex/Hermitian workloads: diagnose HPD or related structural eligibility, apply the real embedding, execute through existing real solver libraries, reconstruct the complex result and verify residuals and conditioning. ALPHA Core is an optional later path when dedicated real-structured execution or data movement creates incremental hardware value.</w:t>
      </w:r>
    </w:p>
    <w:p w14:paraId="02508E40" w14:textId="77777777" w:rsidR="000404DE" w:rsidRDefault="00000000">
      <w:r>
        <w:t>Source basis: Master Thesis 2026 and thesis-defense materials; Unified Mathematical View — Inventor V2.0.</w:t>
      </w:r>
    </w:p>
    <w:p w14:paraId="676DCE97" w14:textId="77777777" w:rsidR="000404DE" w:rsidRDefault="00000000">
      <w:pPr>
        <w:pStyle w:val="1"/>
      </w:pPr>
      <w:r>
        <w:rPr>
          <w:rFonts w:ascii="Arial" w:hAnsi="Arial"/>
        </w:rPr>
        <w:lastRenderedPageBreak/>
        <w:t>15. FQNM: Conservation as Countable Transfer</w:t>
      </w:r>
    </w:p>
    <w:p w14:paraId="7A9B708A" w14:textId="77777777" w:rsidR="000404DE" w:rsidRDefault="00000000">
      <w:pPr>
        <w:pStyle w:val="21"/>
      </w:pPr>
      <w:r>
        <w:t>15.1 Problem addressed — conservation can be weakened by approximate state updates</w:t>
      </w:r>
    </w:p>
    <w:p w14:paraId="38394E60" w14:textId="77777777" w:rsidR="000404DE" w:rsidRDefault="00000000">
      <w:r>
        <w:t>Many numerical simulations represent conservative physical systems through repeated floating-point updates. Floating point is indispensable and FQNM is not a rejection of it, but in selected conservative dynamics repeated approximate updates can allow the numerical state to drift away from an invariant that the underlying physical system should preserve.</w:t>
      </w:r>
    </w:p>
    <w:p w14:paraId="0980969D" w14:textId="77777777" w:rsidR="000404DE" w:rsidRDefault="00000000">
      <w:pPr>
        <w:pStyle w:val="21"/>
      </w:pPr>
      <w:r>
        <w:t>15.2 Operating idea — make transfer countable and conservation structural</w:t>
      </w:r>
    </w:p>
    <w:p w14:paraId="251EC16E" w14:textId="77777777" w:rsidR="000404DE" w:rsidRDefault="00000000">
      <w:r>
        <w:t>FQNM—Fast Quantised Numerical Method—reframes selected conservative dynamics as quantised transfer between discrete states or cells. Its defining pattern is an integer-valued, antisymmetric flux: the transfer from one state to its neighbor is the negative of the reverse transfer. When internal transfers are summed under the stated closed or periodic boundary conditions, they cancel, so the discrete conserved total can remain an exact arithmetic invariant within the formulation.</w:t>
      </w:r>
    </w:p>
    <w:p w14:paraId="27EF5BE0" w14:textId="77777777" w:rsidR="000404DE" w:rsidRDefault="00000000">
      <w:r>
        <w:t>This changes the primitive of computation. Instead of treating the smooth continuum as the object that must be imitated directly at every step, FQNM evolves countable state and reconstructs the physical observable afterward. Conservation is therefore designed into the update rule rather than treated only as an error to be corrected after computation.</w:t>
      </w:r>
    </w:p>
    <w:p w14:paraId="24A45BB8" w14:textId="77777777" w:rsidR="000404DE" w:rsidRDefault="00000000">
      <w:pPr>
        <w:pStyle w:val="21"/>
      </w:pPr>
      <w:r>
        <w:t>15.3 Evidence and limits</w:t>
      </w:r>
    </w:p>
    <w:p w14:paraId="505F764A" w14:textId="77777777" w:rsidR="000404DE" w:rsidRDefault="00000000">
      <w:r>
        <w:t>The supplied FQNM materials provide scalar one-dimensional examples, quantisation/error arguments and experimental runtime comparisons for selected transport and conservation-law problems. These results support the integer-transfer concept within tested settings, but they do not prove that integer arithmetic is always faster or that all PDEs and simulations should move from FPU to ALU execution. Quantisation resolution, timestep and spatial discretization, stability conditions, integer range/overflow and boundary conditions remain part of every validation.</w:t>
      </w:r>
    </w:p>
    <w:p w14:paraId="7949C38E" w14:textId="77777777" w:rsidR="000404DE" w:rsidRDefault="00000000">
      <w:pPr>
        <w:pStyle w:val="21"/>
      </w:pPr>
      <w:r>
        <w:t>15.4 Product relevance</w:t>
      </w:r>
    </w:p>
    <w:p w14:paraId="1DE01427" w14:textId="77777777" w:rsidR="000404DE" w:rsidRDefault="00000000">
      <w:r>
        <w:t>FQNM enters ALPHA Compute when a workload has the required conservative structure and can pass the technology-specific eligibility gate. The software product can quantify, transform, execute and verify conservation and accuracy on existing CPU/GPU/NPU environments. ALPHA Core may later map validated integer-transfer primitives into FPGA, ASIC, NPU, ALU-oriented or other hardware execution paths where additional performance-per-watt or platform differentiation is demonstrated.</w:t>
      </w:r>
    </w:p>
    <w:p w14:paraId="3871CF7F" w14:textId="77777777" w:rsidR="000404DE" w:rsidRDefault="00000000">
      <w:r>
        <w:t>Source basis: FQNM presentation and patent materials; Unified Mathematical View — Inventor V2.0.</w:t>
      </w:r>
    </w:p>
    <w:p w14:paraId="0131FEE0" w14:textId="77777777" w:rsidR="000404DE" w:rsidRDefault="00000000">
      <w:pPr>
        <w:pStyle w:val="1"/>
      </w:pPr>
      <w:r>
        <w:rPr>
          <w:rFonts w:ascii="Arial" w:hAnsi="Arial"/>
        </w:rPr>
        <w:t>16. QNTA: Learning as Explicit Inference-Compatible State Transition</w:t>
      </w:r>
    </w:p>
    <w:tbl>
      <w:tblPr>
        <w:tblW w:w="0" w:type="auto"/>
        <w:jc w:val="center"/>
        <w:tblLook w:val="04A0" w:firstRow="1" w:lastRow="0" w:firstColumn="1" w:lastColumn="0" w:noHBand="0" w:noVBand="1"/>
      </w:tblPr>
      <w:tblGrid>
        <w:gridCol w:w="9878"/>
      </w:tblGrid>
      <w:tr w:rsidR="000404DE" w14:paraId="31A89435" w14:textId="77777777">
        <w:trPr>
          <w:jc w:val="center"/>
        </w:trPr>
        <w:tc>
          <w:tcPr>
            <w:tcW w:w="9878" w:type="dxa"/>
            <w:shd w:val="clear" w:color="auto" w:fill="EAF0F7"/>
            <w:tcMar>
              <w:top w:w="140" w:type="dxa"/>
              <w:left w:w="160" w:type="dxa"/>
              <w:bottom w:w="140" w:type="dxa"/>
              <w:right w:w="160" w:type="dxa"/>
            </w:tcMar>
            <w:vAlign w:val="center"/>
          </w:tcPr>
          <w:p w14:paraId="760B92A4" w14:textId="77777777" w:rsidR="000404DE" w:rsidRDefault="00000000">
            <w:r>
              <w:rPr>
                <w:b/>
                <w:color w:val="324B69"/>
                <w:sz w:val="18"/>
              </w:rPr>
              <w:t>CLAIM CEILING</w:t>
            </w:r>
          </w:p>
          <w:p w14:paraId="3505916B" w14:textId="77777777" w:rsidR="000404DE" w:rsidRDefault="00000000">
            <w:r>
              <w:rPr>
                <w:sz w:val="18"/>
              </w:rPr>
              <w:t>QNTA does not prove that any model can train on any NPU, that frontier models can be trained at the edge, or that GPUs are obsolete. It widens the design space for selected learning processes; eligibility, scale, residency, fallback, convergence and performance must be validated per model, operator set, runtime and device.</w:t>
            </w:r>
          </w:p>
        </w:tc>
      </w:tr>
    </w:tbl>
    <w:p w14:paraId="2B4A8308" w14:textId="77777777" w:rsidR="000404DE" w:rsidRDefault="00000000">
      <w:pPr>
        <w:pStyle w:val="21"/>
      </w:pPr>
      <w:r>
        <w:t>16.1 Problem addressed — AI training and AI inference live in different execution worlds</w:t>
      </w:r>
    </w:p>
    <w:p w14:paraId="64919236" w14:textId="77777777" w:rsidR="000404DE" w:rsidRDefault="00000000">
      <w:r>
        <w:t xml:space="preserve">Modern AI infrastructure largely separates where intelligence is trained from where it is used. Training relies on automatic differentiation, optimizer logic, mutable state and specialized software/hardware, while </w:t>
      </w:r>
      <w:r>
        <w:lastRenderedPageBreak/>
        <w:t>inference runs across a much wider population of CPU, GPU, NPU, mobile and edge devices. QNTA asks whether selected learning processes can be expressed so that inference-oriented environments can participate in learning rather than only consuming a finished model.</w:t>
      </w:r>
    </w:p>
    <w:p w14:paraId="3FA30652" w14:textId="77777777" w:rsidR="000404DE" w:rsidRDefault="00000000">
      <w:pPr>
        <w:pStyle w:val="21"/>
      </w:pPr>
      <w:r>
        <w:t>16.2 Operating idea — make learning computation and state transition explicit</w:t>
      </w:r>
    </w:p>
    <w:p w14:paraId="6C36566C" w14:textId="77777777" w:rsidR="000404DE" w:rsidRDefault="00000000">
      <w:r>
        <w:t>QNTA externalizes selected learning computation and mutable state into an explicit learning contract. The current materials describe TF for forward computation, TB for error transfer and TU for update. Precision, ordering and state are declared rather than being hidden entirely inside autograd and optimizer machinery, and the intended execution model uses inference-compatible operations plus a small controller to advance the state.</w:t>
      </w:r>
    </w:p>
    <w:p w14:paraId="7B9E56E1" w14:textId="77777777" w:rsidR="000404DE" w:rsidRDefault="00000000">
      <w:r>
        <w:t>The conceptual shift is therefore not “make conventional training smaller.” It is to translate learning itself into an execution structure that can be evaluated across a broader set of runtimes and devices. This potentially weakens the historical boundary between training hardware and inference hardware, but only where operator support, residency, state handling and convergence can be demonstrated.</w:t>
      </w:r>
    </w:p>
    <w:p w14:paraId="0477FA71" w14:textId="77777777" w:rsidR="000404DE" w:rsidRDefault="00000000">
      <w:pPr>
        <w:pStyle w:val="21"/>
      </w:pPr>
      <w:r>
        <w:t>16.3 Evidence, current stage and limits</w:t>
      </w:r>
    </w:p>
    <w:p w14:paraId="09CF688B" w14:textId="77777777" w:rsidR="000404DE" w:rsidRDefault="00000000">
      <w:r>
        <w:t>Reported evidence includes XOR learning through a standard ONNX inference session, 100-step TF/TB/TU execution on an Intel AI Boost NPU without hidden CPU graph fallback in the reported test, and implementations of the same learning contract across Apple, Arm, Intel and NVIDIA/RTX environments. The August technology brief further reports internal extension from simple models toward small models reflecting structures used in modern larger AI systems, while retaining a lightweight model-state representation. These results establish execution feasibility for tested paths, not universal on-device training.</w:t>
      </w:r>
    </w:p>
    <w:p w14:paraId="74EA4567" w14:textId="77777777" w:rsidR="000404DE" w:rsidRDefault="00000000">
      <w:r>
        <w:t>QNTA does not establish that any model can train on any NPU, that frontier models can be trained efficiently at the edge, or that GPUs and conventional training frameworks are obsolete. The next proof frontier is realistic scale: operator coverage, fallback behavior, state memory, convergence, host-device movement, latency, throughput and energy must be measured for each target deployment.</w:t>
      </w:r>
    </w:p>
    <w:p w14:paraId="5A75875D" w14:textId="77777777" w:rsidR="000404DE" w:rsidRDefault="00000000">
      <w:pPr>
        <w:pStyle w:val="21"/>
      </w:pPr>
      <w:r>
        <w:t>16.4 Product relevance</w:t>
      </w:r>
    </w:p>
    <w:p w14:paraId="69D6D9DE" w14:textId="77777777" w:rsidR="000404DE" w:rsidRDefault="00000000">
      <w:r>
        <w:t>QNTA belongs first in ALPHA Compute because the primary intervention is a software-side restructuring of learning computation and state. A complete QNTA deployment can therefore exist on current hardware without ALPHA Core. ALPHA Core becomes an optional extension if validated QNTA state-transfer, control or data-path structures justify dedicated hardware implementation.</w:t>
      </w:r>
    </w:p>
    <w:p w14:paraId="727106BE" w14:textId="77777777" w:rsidR="000404DE" w:rsidRDefault="00000000">
      <w:pPr>
        <w:pStyle w:val="21"/>
      </w:pPr>
      <w:r>
        <w:t>16.5 Strategic complementarity with AXIOM-TENSOR</w:t>
      </w:r>
    </w:p>
    <w:p w14:paraId="751C92D8" w14:textId="77777777" w:rsidR="000404DE" w:rsidRDefault="00000000">
      <w:r>
        <w:t>AXIOM-TENSOR and QNTA address different halves of a possible edge-intelligence constraint. AXIOM-TENSOR seeks to reduce the structural footprint of suitable AI operators so more intelligence can fit within constrained memory and hardware. QNTA seeks to widen the hardware and runtime environments that can participate in learning and updating that intelligence. Their combined direction is therefore “fit intelligence, then let it adapt”: smaller AI representations that can be updated closer to where they are used.</w:t>
      </w:r>
    </w:p>
    <w:p w14:paraId="643A50FE" w14:textId="77777777" w:rsidR="000404DE" w:rsidRDefault="00000000">
      <w:r>
        <w:t>The two technologies have separate evidence paths and have not yet been validated as one integrated product or end-to-end performance claim. Any combined benefit must be tested as a composed system; separate compression and learning results cannot be multiplied or assumed to carry over automatically.</w:t>
      </w:r>
    </w:p>
    <w:p w14:paraId="2C42091A" w14:textId="77777777" w:rsidR="000404DE" w:rsidRDefault="00000000">
      <w:r>
        <w:t>Source basis: QNTA + AXIOM-TENSOR Executive Briefing, 2026.08.13; ITRIX Core Technology Brief, 2026.08.28. Underlying QNTA SYSTEMS / CONTRACT records cited by the earlier briefing were not supplied in this white-paper source package.</w:t>
      </w:r>
    </w:p>
    <w:p w14:paraId="7C63E257" w14:textId="77777777" w:rsidR="000404DE" w:rsidRDefault="00000000">
      <w:pPr>
        <w:pStyle w:val="1"/>
      </w:pPr>
      <w:r>
        <w:rPr>
          <w:rFonts w:ascii="Arial" w:hAnsi="Arial"/>
        </w:rPr>
        <w:lastRenderedPageBreak/>
        <w:t>17. Composition Without a Universal Pipeline</w:t>
      </w:r>
    </w:p>
    <w:p w14:paraId="1EEF10C7" w14:textId="77777777" w:rsidR="000404DE" w:rsidRDefault="00000000">
      <w:r>
        <w:t>The technologies solve different structural problems. PRISM governs what decision-relevant information crosses the observation boundary. AXIOM organizes high-dimensional algebraic state. AXIOM-TENSOR restructures suitable large operators. CRE exposes eligible complex structure through a real execution route. FQNM makes selected conservative transfer countable. QNTA makes selected learning computation and state transition explicit. Some workloads may use one technology, more than one, or none. They are not a mandatory sequence, and combined gains require an end-to-end benchmark of the actual composed configuration.</w:t>
      </w:r>
    </w:p>
    <w:p w14:paraId="54636ECB" w14:textId="77777777" w:rsidR="000404DE" w:rsidRDefault="00000000">
      <w:r>
        <w:t>Benefits from separate technologies must not be added or multiplied unless the complete composed configuration is measured end to end. A combined advantage is an experiment, not a spreadsheet identity.</w:t>
      </w:r>
    </w:p>
    <w:p w14:paraId="059E4D0C" w14:textId="77777777" w:rsidR="000404DE" w:rsidRDefault="00000000">
      <w:r>
        <w:br w:type="page"/>
      </w:r>
    </w:p>
    <w:p w14:paraId="24FE7D08" w14:textId="77777777" w:rsidR="000404DE" w:rsidRDefault="00000000">
      <w:r>
        <w:rPr>
          <w:b/>
          <w:color w:val="14233C"/>
          <w:sz w:val="48"/>
        </w:rPr>
        <w:lastRenderedPageBreak/>
        <w:t>PART IV — PRODUCT</w:t>
      </w:r>
    </w:p>
    <w:p w14:paraId="520F742C" w14:textId="77777777" w:rsidR="000404DE" w:rsidRDefault="00000000">
      <w:r>
        <w:rPr>
          <w:color w:val="555F6E"/>
          <w:sz w:val="24"/>
        </w:rPr>
        <w:t>Three independent products built on the corrected architecture</w:t>
      </w:r>
    </w:p>
    <w:p w14:paraId="35E894C6" w14:textId="77777777" w:rsidR="000404DE" w:rsidRDefault="00000000">
      <w:pPr>
        <w:pStyle w:val="1"/>
      </w:pPr>
      <w:r>
        <w:rPr>
          <w:rFonts w:ascii="Arial" w:hAnsi="Arial"/>
        </w:rPr>
        <w:t>18. ASTOP</w:t>
      </w:r>
    </w:p>
    <w:p w14:paraId="36A05323" w14:textId="77777777" w:rsidR="000404DE" w:rsidRDefault="00000000">
      <w:r>
        <w:t>ASTOP—A System Trans-Observation Projector—is the observation product. It projects heterogeneous host, accelerator, process and experiment state into three consistent views: an interactive terminal, a stable machine-readable schema, and an event-driven service for autonomous agents.</w:t>
      </w:r>
    </w:p>
    <w:p w14:paraId="3FA22C13" w14:textId="77777777" w:rsidR="000404DE" w:rsidRDefault="00000000">
      <w:r>
        <w:t>The product separates acquisition from interpretation. Platform collectors obtain the strongest available evidence; shared models normalize it without inventing missing quantities; presentation layers expose the same state to humans, scripts and agents. A measured zero is evidence; an unavailable value remains N/A or null.</w:t>
      </w:r>
    </w:p>
    <w:p w14:paraId="4B819DE2" w14:textId="77777777" w:rsidR="000404DE" w:rsidRDefault="00000000">
      <w:pPr>
        <w:pStyle w:val="21"/>
      </w:pPr>
      <w:r>
        <w:rPr>
          <w:rFonts w:ascii="Arial" w:hAnsi="Arial"/>
        </w:rPr>
        <w:t>ASTOP product capabilities</w:t>
      </w:r>
    </w:p>
    <w:tbl>
      <w:tblPr>
        <w:tblStyle w:val="af9"/>
        <w:tblW w:w="0" w:type="auto"/>
        <w:jc w:val="center"/>
        <w:tblLook w:val="04A0" w:firstRow="1" w:lastRow="0" w:firstColumn="1" w:lastColumn="0" w:noHBand="0" w:noVBand="1"/>
      </w:tblPr>
      <w:tblGrid>
        <w:gridCol w:w="3116"/>
        <w:gridCol w:w="6752"/>
      </w:tblGrid>
      <w:tr w:rsidR="000404DE" w14:paraId="28C197B1" w14:textId="77777777" w:rsidTr="009F4C36">
        <w:trPr>
          <w:jc w:val="center"/>
        </w:trPr>
        <w:tc>
          <w:tcPr>
            <w:tcW w:w="3119" w:type="dxa"/>
            <w:shd w:val="clear" w:color="auto" w:fill="D9E2F3"/>
            <w:tcMar>
              <w:top w:w="100" w:type="dxa"/>
              <w:left w:w="110" w:type="dxa"/>
              <w:bottom w:w="100" w:type="dxa"/>
              <w:right w:w="110" w:type="dxa"/>
            </w:tcMar>
            <w:vAlign w:val="center"/>
          </w:tcPr>
          <w:p w14:paraId="4692BDCB" w14:textId="77777777" w:rsidR="000404DE" w:rsidRDefault="00000000">
            <w:pPr>
              <w:jc w:val="center"/>
            </w:pPr>
            <w:r>
              <w:rPr>
                <w:b/>
                <w:sz w:val="18"/>
              </w:rPr>
              <w:t>Capability</w:t>
            </w:r>
          </w:p>
        </w:tc>
        <w:tc>
          <w:tcPr>
            <w:tcW w:w="6759" w:type="dxa"/>
            <w:shd w:val="clear" w:color="auto" w:fill="D9E2F3"/>
            <w:tcMar>
              <w:top w:w="100" w:type="dxa"/>
              <w:left w:w="110" w:type="dxa"/>
              <w:bottom w:w="100" w:type="dxa"/>
              <w:right w:w="110" w:type="dxa"/>
            </w:tcMar>
            <w:vAlign w:val="center"/>
          </w:tcPr>
          <w:p w14:paraId="0687F4A8" w14:textId="77777777" w:rsidR="000404DE" w:rsidRDefault="00000000">
            <w:pPr>
              <w:jc w:val="center"/>
            </w:pPr>
            <w:r>
              <w:rPr>
                <w:b/>
                <w:sz w:val="18"/>
              </w:rPr>
              <w:t>Purpose</w:t>
            </w:r>
          </w:p>
        </w:tc>
      </w:tr>
      <w:tr w:rsidR="000404DE" w14:paraId="6CF0960C" w14:textId="77777777" w:rsidTr="009F4C36">
        <w:trPr>
          <w:jc w:val="center"/>
        </w:trPr>
        <w:tc>
          <w:tcPr>
            <w:tcW w:w="3119" w:type="dxa"/>
            <w:tcMar>
              <w:top w:w="100" w:type="dxa"/>
              <w:left w:w="110" w:type="dxa"/>
              <w:bottom w:w="100" w:type="dxa"/>
              <w:right w:w="110" w:type="dxa"/>
            </w:tcMar>
            <w:vAlign w:val="center"/>
          </w:tcPr>
          <w:p w14:paraId="25E51FCB" w14:textId="77777777" w:rsidR="000404DE" w:rsidRDefault="00000000">
            <w:pPr>
              <w:jc w:val="center"/>
            </w:pPr>
            <w:r>
              <w:rPr>
                <w:sz w:val="18"/>
              </w:rPr>
              <w:t>Interactive observation</w:t>
            </w:r>
          </w:p>
        </w:tc>
        <w:tc>
          <w:tcPr>
            <w:tcW w:w="6759" w:type="dxa"/>
            <w:tcMar>
              <w:top w:w="100" w:type="dxa"/>
              <w:left w:w="110" w:type="dxa"/>
              <w:bottom w:w="100" w:type="dxa"/>
              <w:right w:w="110" w:type="dxa"/>
            </w:tcMar>
            <w:vAlign w:val="center"/>
          </w:tcPr>
          <w:p w14:paraId="620174F4" w14:textId="77777777" w:rsidR="000404DE" w:rsidRDefault="00000000">
            <w:r>
              <w:rPr>
                <w:sz w:val="18"/>
              </w:rPr>
              <w:t>Live system inspection, comparison and process attribution.</w:t>
            </w:r>
          </w:p>
        </w:tc>
      </w:tr>
      <w:tr w:rsidR="000404DE" w14:paraId="66AFA05A" w14:textId="77777777" w:rsidTr="009F4C36">
        <w:trPr>
          <w:jc w:val="center"/>
        </w:trPr>
        <w:tc>
          <w:tcPr>
            <w:tcW w:w="3119" w:type="dxa"/>
            <w:tcMar>
              <w:top w:w="100" w:type="dxa"/>
              <w:left w:w="110" w:type="dxa"/>
              <w:bottom w:w="100" w:type="dxa"/>
              <w:right w:w="110" w:type="dxa"/>
            </w:tcMar>
            <w:vAlign w:val="center"/>
          </w:tcPr>
          <w:p w14:paraId="64B9294B" w14:textId="77777777" w:rsidR="000404DE" w:rsidRDefault="00000000">
            <w:pPr>
              <w:jc w:val="center"/>
            </w:pPr>
            <w:r>
              <w:rPr>
                <w:sz w:val="18"/>
              </w:rPr>
              <w:t>Programmatic output</w:t>
            </w:r>
          </w:p>
        </w:tc>
        <w:tc>
          <w:tcPr>
            <w:tcW w:w="6759" w:type="dxa"/>
            <w:tcMar>
              <w:top w:w="100" w:type="dxa"/>
              <w:left w:w="110" w:type="dxa"/>
              <w:bottom w:w="100" w:type="dxa"/>
              <w:right w:w="110" w:type="dxa"/>
            </w:tcMar>
            <w:vAlign w:val="center"/>
          </w:tcPr>
          <w:p w14:paraId="2E72017B" w14:textId="77777777" w:rsidR="000404DE" w:rsidRDefault="00000000">
            <w:r>
              <w:rPr>
                <w:sz w:val="18"/>
              </w:rPr>
              <w:t>Stable JSON/CSV/recording for reproducible sampling and downstream analysis.</w:t>
            </w:r>
          </w:p>
        </w:tc>
      </w:tr>
      <w:tr w:rsidR="000404DE" w14:paraId="62CC893A" w14:textId="77777777" w:rsidTr="009F4C36">
        <w:trPr>
          <w:jc w:val="center"/>
        </w:trPr>
        <w:tc>
          <w:tcPr>
            <w:tcW w:w="3119" w:type="dxa"/>
            <w:tcMar>
              <w:top w:w="100" w:type="dxa"/>
              <w:left w:w="110" w:type="dxa"/>
              <w:bottom w:w="100" w:type="dxa"/>
              <w:right w:w="110" w:type="dxa"/>
            </w:tcMar>
            <w:vAlign w:val="center"/>
          </w:tcPr>
          <w:p w14:paraId="7AA78046" w14:textId="77777777" w:rsidR="000404DE" w:rsidRDefault="00000000">
            <w:pPr>
              <w:jc w:val="center"/>
            </w:pPr>
            <w:r>
              <w:rPr>
                <w:sz w:val="18"/>
              </w:rPr>
              <w:t>Agent observation service</w:t>
            </w:r>
          </w:p>
        </w:tc>
        <w:tc>
          <w:tcPr>
            <w:tcW w:w="6759" w:type="dxa"/>
            <w:tcMar>
              <w:top w:w="100" w:type="dxa"/>
              <w:left w:w="110" w:type="dxa"/>
              <w:bottom w:w="100" w:type="dxa"/>
              <w:right w:w="110" w:type="dxa"/>
            </w:tcMar>
            <w:vAlign w:val="center"/>
          </w:tcPr>
          <w:p w14:paraId="06F0E6A2" w14:textId="77777777" w:rsidR="000404DE" w:rsidRDefault="00000000">
            <w:r>
              <w:rPr>
                <w:sz w:val="18"/>
              </w:rPr>
              <w:t>Persistent jobs, semantic progress, server-side waits, durable terminal events and sparse event delivery.</w:t>
            </w:r>
          </w:p>
        </w:tc>
      </w:tr>
      <w:tr w:rsidR="000404DE" w14:paraId="037D47AE" w14:textId="77777777" w:rsidTr="009F4C36">
        <w:trPr>
          <w:jc w:val="center"/>
        </w:trPr>
        <w:tc>
          <w:tcPr>
            <w:tcW w:w="3119" w:type="dxa"/>
            <w:tcMar>
              <w:top w:w="100" w:type="dxa"/>
              <w:left w:w="110" w:type="dxa"/>
              <w:bottom w:w="100" w:type="dxa"/>
              <w:right w:w="110" w:type="dxa"/>
            </w:tcMar>
            <w:vAlign w:val="center"/>
          </w:tcPr>
          <w:p w14:paraId="5BB94EA2" w14:textId="77777777" w:rsidR="000404DE" w:rsidRDefault="00000000">
            <w:pPr>
              <w:jc w:val="center"/>
            </w:pPr>
            <w:r>
              <w:rPr>
                <w:sz w:val="18"/>
              </w:rPr>
              <w:t>Cross-platform telemetry</w:t>
            </w:r>
          </w:p>
        </w:tc>
        <w:tc>
          <w:tcPr>
            <w:tcW w:w="6759" w:type="dxa"/>
            <w:tcMar>
              <w:top w:w="100" w:type="dxa"/>
              <w:left w:w="110" w:type="dxa"/>
              <w:bottom w:w="100" w:type="dxa"/>
              <w:right w:w="110" w:type="dxa"/>
            </w:tcMar>
            <w:vAlign w:val="center"/>
          </w:tcPr>
          <w:p w14:paraId="6F0A9183" w14:textId="77777777" w:rsidR="000404DE" w:rsidRDefault="00000000">
            <w:r>
              <w:rPr>
                <w:sz w:val="18"/>
              </w:rPr>
              <w:t>macOS and Linux collectors with hardware/driver-dependent availability and explicit degradation.</w:t>
            </w:r>
          </w:p>
        </w:tc>
      </w:tr>
      <w:tr w:rsidR="000404DE" w14:paraId="092D9A75" w14:textId="77777777" w:rsidTr="009F4C36">
        <w:trPr>
          <w:jc w:val="center"/>
        </w:trPr>
        <w:tc>
          <w:tcPr>
            <w:tcW w:w="3119" w:type="dxa"/>
            <w:tcMar>
              <w:top w:w="100" w:type="dxa"/>
              <w:left w:w="110" w:type="dxa"/>
              <w:bottom w:w="100" w:type="dxa"/>
              <w:right w:w="110" w:type="dxa"/>
            </w:tcMar>
            <w:vAlign w:val="center"/>
          </w:tcPr>
          <w:p w14:paraId="78337FB3" w14:textId="77777777" w:rsidR="000404DE" w:rsidRDefault="00000000">
            <w:pPr>
              <w:jc w:val="center"/>
            </w:pPr>
            <w:r>
              <w:rPr>
                <w:sz w:val="18"/>
              </w:rPr>
              <w:t>Observation authority</w:t>
            </w:r>
          </w:p>
        </w:tc>
        <w:tc>
          <w:tcPr>
            <w:tcW w:w="6759" w:type="dxa"/>
            <w:tcMar>
              <w:top w:w="100" w:type="dxa"/>
              <w:left w:w="110" w:type="dxa"/>
              <w:bottom w:w="100" w:type="dxa"/>
              <w:right w:w="110" w:type="dxa"/>
            </w:tcMar>
            <w:vAlign w:val="center"/>
          </w:tcPr>
          <w:p w14:paraId="6AB6FDA5" w14:textId="77777777" w:rsidR="000404DE" w:rsidRDefault="00000000">
            <w:r>
              <w:rPr>
                <w:sz w:val="18"/>
              </w:rPr>
              <w:t>One server owns canonical observation state so clients do not duplicate samplers or maintain contradictory job state.</w:t>
            </w:r>
          </w:p>
        </w:tc>
      </w:tr>
    </w:tbl>
    <w:tbl>
      <w:tblPr>
        <w:tblW w:w="0" w:type="auto"/>
        <w:jc w:val="center"/>
        <w:tblLook w:val="04A0" w:firstRow="1" w:lastRow="0" w:firstColumn="1" w:lastColumn="0" w:noHBand="0" w:noVBand="1"/>
      </w:tblPr>
      <w:tblGrid>
        <w:gridCol w:w="9878"/>
      </w:tblGrid>
      <w:tr w:rsidR="000404DE" w14:paraId="6070FBCD" w14:textId="77777777">
        <w:trPr>
          <w:jc w:val="center"/>
        </w:trPr>
        <w:tc>
          <w:tcPr>
            <w:tcW w:w="9878" w:type="dxa"/>
            <w:shd w:val="clear" w:color="auto" w:fill="EAF0F7"/>
            <w:tcMar>
              <w:top w:w="140" w:type="dxa"/>
              <w:left w:w="160" w:type="dxa"/>
              <w:bottom w:w="140" w:type="dxa"/>
              <w:right w:w="160" w:type="dxa"/>
            </w:tcMar>
            <w:vAlign w:val="center"/>
          </w:tcPr>
          <w:p w14:paraId="358B231E" w14:textId="77777777" w:rsidR="000404DE" w:rsidRDefault="00000000">
            <w:r>
              <w:rPr>
                <w:b/>
                <w:color w:val="324B69"/>
                <w:sz w:val="18"/>
              </w:rPr>
              <w:t>PRODUCT BOUNDARY</w:t>
            </w:r>
          </w:p>
          <w:p w14:paraId="35CEFA9C" w14:textId="77777777" w:rsidR="000404DE" w:rsidRDefault="00000000">
            <w:r>
              <w:rPr>
                <w:sz w:val="18"/>
              </w:rPr>
              <w:t>ASTOP is not simply an nvtop-style dashboard. Its distinctive product direction is a trustworthy evidence interface for humans, software and autonomous agents. Observation commands are separate from explicit state-changing guard/signal authority.</w:t>
            </w:r>
          </w:p>
        </w:tc>
      </w:tr>
    </w:tbl>
    <w:p w14:paraId="6978CC19" w14:textId="77777777" w:rsidR="000404DE" w:rsidRDefault="00000000">
      <w:r>
        <w:rPr>
          <w:i/>
          <w:color w:val="646464"/>
          <w:sz w:val="17"/>
        </w:rPr>
        <w:t>Source basis: ASTOP README, research status and agent-observation design.</w:t>
      </w:r>
    </w:p>
    <w:p w14:paraId="5A3AD91C" w14:textId="77777777" w:rsidR="000404DE" w:rsidRDefault="00000000">
      <w:pPr>
        <w:pStyle w:val="1"/>
      </w:pPr>
      <w:r>
        <w:rPr>
          <w:rFonts w:ascii="Arial" w:hAnsi="Arial"/>
        </w:rPr>
        <w:t>19. ALPHA Compute</w:t>
      </w:r>
    </w:p>
    <w:p w14:paraId="1EA7F4F2" w14:textId="77777777" w:rsidR="000404DE" w:rsidRDefault="00000000">
      <w:r>
        <w:t>ALPHA Compute is the independent software computational infrastructure product. It diagnoses structural inefficiency, determines technology eligibility, selects and applies an applicable route, executes or routes the transformed structure through existing software libraries, solvers, compilers and runtimes, verifies/reconstructs results, measures advantage and can remain in production without ALPHA Core.</w:t>
      </w:r>
    </w:p>
    <w:tbl>
      <w:tblPr>
        <w:tblStyle w:val="af9"/>
        <w:tblW w:w="0" w:type="auto"/>
        <w:jc w:val="center"/>
        <w:tblLook w:val="04A0" w:firstRow="1" w:lastRow="0" w:firstColumn="1" w:lastColumn="0" w:noHBand="0" w:noVBand="1"/>
      </w:tblPr>
      <w:tblGrid>
        <w:gridCol w:w="2833"/>
        <w:gridCol w:w="3824"/>
        <w:gridCol w:w="3211"/>
      </w:tblGrid>
      <w:tr w:rsidR="000404DE" w14:paraId="7FEAFF4C" w14:textId="77777777" w:rsidTr="009F4C36">
        <w:trPr>
          <w:jc w:val="center"/>
        </w:trPr>
        <w:tc>
          <w:tcPr>
            <w:tcW w:w="2836" w:type="dxa"/>
            <w:shd w:val="clear" w:color="auto" w:fill="D9E2F3"/>
            <w:tcMar>
              <w:top w:w="100" w:type="dxa"/>
              <w:left w:w="110" w:type="dxa"/>
              <w:bottom w:w="100" w:type="dxa"/>
              <w:right w:w="110" w:type="dxa"/>
            </w:tcMar>
            <w:vAlign w:val="center"/>
          </w:tcPr>
          <w:p w14:paraId="2C6C9F5D" w14:textId="77777777" w:rsidR="000404DE" w:rsidRDefault="00000000">
            <w:pPr>
              <w:jc w:val="center"/>
            </w:pPr>
            <w:r>
              <w:rPr>
                <w:b/>
                <w:sz w:val="18"/>
              </w:rPr>
              <w:t>Module</w:t>
            </w:r>
          </w:p>
        </w:tc>
        <w:tc>
          <w:tcPr>
            <w:tcW w:w="3828" w:type="dxa"/>
            <w:shd w:val="clear" w:color="auto" w:fill="D9E2F3"/>
            <w:tcMar>
              <w:top w:w="100" w:type="dxa"/>
              <w:left w:w="110" w:type="dxa"/>
              <w:bottom w:w="100" w:type="dxa"/>
              <w:right w:w="110" w:type="dxa"/>
            </w:tcMar>
            <w:vAlign w:val="center"/>
          </w:tcPr>
          <w:p w14:paraId="5E2A7625" w14:textId="77777777" w:rsidR="000404DE" w:rsidRDefault="00000000">
            <w:pPr>
              <w:jc w:val="center"/>
            </w:pPr>
            <w:r>
              <w:rPr>
                <w:b/>
                <w:sz w:val="18"/>
              </w:rPr>
              <w:t>Customer-facing function</w:t>
            </w:r>
          </w:p>
        </w:tc>
        <w:tc>
          <w:tcPr>
            <w:tcW w:w="3215" w:type="dxa"/>
            <w:shd w:val="clear" w:color="auto" w:fill="D9E2F3"/>
            <w:tcMar>
              <w:top w:w="100" w:type="dxa"/>
              <w:left w:w="110" w:type="dxa"/>
              <w:bottom w:w="100" w:type="dxa"/>
              <w:right w:w="110" w:type="dxa"/>
            </w:tcMar>
            <w:vAlign w:val="center"/>
          </w:tcPr>
          <w:p w14:paraId="1E034E99" w14:textId="77777777" w:rsidR="000404DE" w:rsidRDefault="00000000">
            <w:pPr>
              <w:jc w:val="center"/>
            </w:pPr>
            <w:r>
              <w:rPr>
                <w:b/>
                <w:sz w:val="18"/>
              </w:rPr>
              <w:t>Decision output</w:t>
            </w:r>
          </w:p>
        </w:tc>
      </w:tr>
      <w:tr w:rsidR="000404DE" w14:paraId="430E7567" w14:textId="77777777" w:rsidTr="009F4C36">
        <w:trPr>
          <w:jc w:val="center"/>
        </w:trPr>
        <w:tc>
          <w:tcPr>
            <w:tcW w:w="2836" w:type="dxa"/>
            <w:tcMar>
              <w:top w:w="100" w:type="dxa"/>
              <w:left w:w="110" w:type="dxa"/>
              <w:bottom w:w="100" w:type="dxa"/>
              <w:right w:w="110" w:type="dxa"/>
            </w:tcMar>
            <w:vAlign w:val="center"/>
          </w:tcPr>
          <w:p w14:paraId="7550FDE4" w14:textId="77777777" w:rsidR="000404DE" w:rsidRDefault="00000000">
            <w:pPr>
              <w:jc w:val="center"/>
            </w:pPr>
            <w:r>
              <w:rPr>
                <w:sz w:val="18"/>
              </w:rPr>
              <w:t>Bottleneck Assessment</w:t>
            </w:r>
          </w:p>
        </w:tc>
        <w:tc>
          <w:tcPr>
            <w:tcW w:w="3828" w:type="dxa"/>
            <w:tcMar>
              <w:top w:w="100" w:type="dxa"/>
              <w:left w:w="110" w:type="dxa"/>
              <w:bottom w:w="100" w:type="dxa"/>
              <w:right w:w="110" w:type="dxa"/>
            </w:tcMar>
            <w:vAlign w:val="center"/>
          </w:tcPr>
          <w:p w14:paraId="3F291AA0" w14:textId="77777777" w:rsidR="000404DE" w:rsidRDefault="00000000">
            <w:r>
              <w:rPr>
                <w:sz w:val="18"/>
              </w:rPr>
              <w:t>Map workload, representation, movement, state and execution boundaries.</w:t>
            </w:r>
          </w:p>
        </w:tc>
        <w:tc>
          <w:tcPr>
            <w:tcW w:w="3215" w:type="dxa"/>
            <w:tcMar>
              <w:top w:w="100" w:type="dxa"/>
              <w:left w:w="110" w:type="dxa"/>
              <w:bottom w:w="100" w:type="dxa"/>
              <w:right w:w="110" w:type="dxa"/>
            </w:tcMar>
            <w:vAlign w:val="center"/>
          </w:tcPr>
          <w:p w14:paraId="26EF3D46" w14:textId="77777777" w:rsidR="000404DE" w:rsidRDefault="00000000">
            <w:r>
              <w:rPr>
                <w:sz w:val="18"/>
              </w:rPr>
              <w:t>Proceed / no-go and candidate technology.</w:t>
            </w:r>
          </w:p>
        </w:tc>
      </w:tr>
      <w:tr w:rsidR="000404DE" w14:paraId="16CCCD87" w14:textId="77777777" w:rsidTr="009F4C36">
        <w:trPr>
          <w:jc w:val="center"/>
        </w:trPr>
        <w:tc>
          <w:tcPr>
            <w:tcW w:w="2836" w:type="dxa"/>
            <w:tcMar>
              <w:top w:w="100" w:type="dxa"/>
              <w:left w:w="110" w:type="dxa"/>
              <w:bottom w:w="100" w:type="dxa"/>
              <w:right w:w="110" w:type="dxa"/>
            </w:tcMar>
            <w:vAlign w:val="center"/>
          </w:tcPr>
          <w:p w14:paraId="1CBADB7E" w14:textId="77777777" w:rsidR="000404DE" w:rsidRDefault="00000000">
            <w:pPr>
              <w:jc w:val="center"/>
            </w:pPr>
            <w:r>
              <w:rPr>
                <w:sz w:val="18"/>
              </w:rPr>
              <w:lastRenderedPageBreak/>
              <w:t>Eligibility &amp; Sensitivity Mapping</w:t>
            </w:r>
          </w:p>
        </w:tc>
        <w:tc>
          <w:tcPr>
            <w:tcW w:w="3828" w:type="dxa"/>
            <w:tcMar>
              <w:top w:w="100" w:type="dxa"/>
              <w:left w:w="110" w:type="dxa"/>
              <w:bottom w:w="100" w:type="dxa"/>
              <w:right w:w="110" w:type="dxa"/>
            </w:tcMar>
            <w:vAlign w:val="center"/>
          </w:tcPr>
          <w:p w14:paraId="478339E7" w14:textId="77777777" w:rsidR="000404DE" w:rsidRDefault="00000000">
            <w:r>
              <w:rPr>
                <w:sz w:val="18"/>
              </w:rPr>
              <w:t>Test operator/layer/location, learning-contract, runtime and device constraints.</w:t>
            </w:r>
          </w:p>
        </w:tc>
        <w:tc>
          <w:tcPr>
            <w:tcW w:w="3215" w:type="dxa"/>
            <w:tcMar>
              <w:top w:w="100" w:type="dxa"/>
              <w:left w:w="110" w:type="dxa"/>
              <w:bottom w:w="100" w:type="dxa"/>
              <w:right w:w="110" w:type="dxa"/>
            </w:tcMar>
            <w:vAlign w:val="center"/>
          </w:tcPr>
          <w:p w14:paraId="1051378D" w14:textId="77777777" w:rsidR="000404DE" w:rsidRDefault="00000000">
            <w:r>
              <w:rPr>
                <w:sz w:val="18"/>
              </w:rPr>
              <w:t>Pass / conditional / no-go map.</w:t>
            </w:r>
          </w:p>
        </w:tc>
      </w:tr>
      <w:tr w:rsidR="000404DE" w14:paraId="7CC27F21" w14:textId="77777777" w:rsidTr="009F4C36">
        <w:trPr>
          <w:jc w:val="center"/>
        </w:trPr>
        <w:tc>
          <w:tcPr>
            <w:tcW w:w="2836" w:type="dxa"/>
            <w:tcMar>
              <w:top w:w="100" w:type="dxa"/>
              <w:left w:w="110" w:type="dxa"/>
              <w:bottom w:w="100" w:type="dxa"/>
              <w:right w:w="110" w:type="dxa"/>
            </w:tcMar>
            <w:vAlign w:val="center"/>
          </w:tcPr>
          <w:p w14:paraId="49F57B73" w14:textId="77777777" w:rsidR="000404DE" w:rsidRDefault="00000000">
            <w:pPr>
              <w:jc w:val="center"/>
            </w:pPr>
            <w:r>
              <w:rPr>
                <w:sz w:val="18"/>
              </w:rPr>
              <w:t>Transformation PoC</w:t>
            </w:r>
          </w:p>
        </w:tc>
        <w:tc>
          <w:tcPr>
            <w:tcW w:w="3828" w:type="dxa"/>
            <w:tcMar>
              <w:top w:w="100" w:type="dxa"/>
              <w:left w:w="110" w:type="dxa"/>
              <w:bottom w:w="100" w:type="dxa"/>
              <w:right w:w="110" w:type="dxa"/>
            </w:tcMar>
            <w:vAlign w:val="center"/>
          </w:tcPr>
          <w:p w14:paraId="698DC896" w14:textId="77777777" w:rsidR="000404DE" w:rsidRDefault="00000000">
            <w:r>
              <w:rPr>
                <w:sz w:val="18"/>
              </w:rPr>
              <w:t>Implement an applicable AXIOM, AXIOM-TENSOR, CRE, FQNM or QNTA route.</w:t>
            </w:r>
          </w:p>
        </w:tc>
        <w:tc>
          <w:tcPr>
            <w:tcW w:w="3215" w:type="dxa"/>
            <w:tcMar>
              <w:top w:w="100" w:type="dxa"/>
              <w:left w:w="110" w:type="dxa"/>
              <w:bottom w:w="100" w:type="dxa"/>
              <w:right w:w="110" w:type="dxa"/>
            </w:tcMar>
            <w:vAlign w:val="center"/>
          </w:tcPr>
          <w:p w14:paraId="7F550C36" w14:textId="77777777" w:rsidR="000404DE" w:rsidRDefault="00000000">
            <w:r>
              <w:rPr>
                <w:sz w:val="18"/>
              </w:rPr>
              <w:t>Whether technical thresholds are achieved.</w:t>
            </w:r>
          </w:p>
        </w:tc>
      </w:tr>
      <w:tr w:rsidR="000404DE" w14:paraId="28AC6E29" w14:textId="77777777" w:rsidTr="009F4C36">
        <w:trPr>
          <w:jc w:val="center"/>
        </w:trPr>
        <w:tc>
          <w:tcPr>
            <w:tcW w:w="2836" w:type="dxa"/>
            <w:tcMar>
              <w:top w:w="100" w:type="dxa"/>
              <w:left w:w="110" w:type="dxa"/>
              <w:bottom w:w="100" w:type="dxa"/>
              <w:right w:w="110" w:type="dxa"/>
            </w:tcMar>
            <w:vAlign w:val="center"/>
          </w:tcPr>
          <w:p w14:paraId="4C941D95" w14:textId="77777777" w:rsidR="000404DE" w:rsidRDefault="00000000">
            <w:pPr>
              <w:jc w:val="center"/>
            </w:pPr>
            <w:r>
              <w:rPr>
                <w:sz w:val="18"/>
              </w:rPr>
              <w:t>Verification &amp; Recovery</w:t>
            </w:r>
          </w:p>
        </w:tc>
        <w:tc>
          <w:tcPr>
            <w:tcW w:w="3828" w:type="dxa"/>
            <w:tcMar>
              <w:top w:w="100" w:type="dxa"/>
              <w:left w:w="110" w:type="dxa"/>
              <w:bottom w:w="100" w:type="dxa"/>
              <w:right w:w="110" w:type="dxa"/>
            </w:tcMar>
            <w:vAlign w:val="center"/>
          </w:tcPr>
          <w:p w14:paraId="693FBC10" w14:textId="77777777" w:rsidR="000404DE" w:rsidRDefault="00000000">
            <w:r>
              <w:rPr>
                <w:sz w:val="18"/>
              </w:rPr>
              <w:t>Check equivalence, residual, conservation, stability, reconstruction or learning behavior.</w:t>
            </w:r>
          </w:p>
        </w:tc>
        <w:tc>
          <w:tcPr>
            <w:tcW w:w="3215" w:type="dxa"/>
            <w:tcMar>
              <w:top w:w="100" w:type="dxa"/>
              <w:left w:w="110" w:type="dxa"/>
              <w:bottom w:w="100" w:type="dxa"/>
              <w:right w:w="110" w:type="dxa"/>
            </w:tcMar>
            <w:vAlign w:val="center"/>
          </w:tcPr>
          <w:p w14:paraId="4D1E90F9" w14:textId="77777777" w:rsidR="000404DE" w:rsidRDefault="00000000">
            <w:r>
              <w:rPr>
                <w:sz w:val="18"/>
              </w:rPr>
              <w:t>Evidence that the intended problem is still being solved.</w:t>
            </w:r>
          </w:p>
        </w:tc>
      </w:tr>
      <w:tr w:rsidR="000404DE" w14:paraId="181350D7" w14:textId="77777777" w:rsidTr="009F4C36">
        <w:trPr>
          <w:jc w:val="center"/>
        </w:trPr>
        <w:tc>
          <w:tcPr>
            <w:tcW w:w="2836" w:type="dxa"/>
            <w:tcMar>
              <w:top w:w="100" w:type="dxa"/>
              <w:left w:w="110" w:type="dxa"/>
              <w:bottom w:w="100" w:type="dxa"/>
              <w:right w:w="110" w:type="dxa"/>
            </w:tcMar>
            <w:vAlign w:val="center"/>
          </w:tcPr>
          <w:p w14:paraId="7A0ADC3B" w14:textId="77777777" w:rsidR="000404DE" w:rsidRDefault="00000000">
            <w:pPr>
              <w:jc w:val="center"/>
            </w:pPr>
            <w:r>
              <w:rPr>
                <w:sz w:val="18"/>
              </w:rPr>
              <w:t>Value Measurement</w:t>
            </w:r>
          </w:p>
        </w:tc>
        <w:tc>
          <w:tcPr>
            <w:tcW w:w="3828" w:type="dxa"/>
            <w:tcMar>
              <w:top w:w="100" w:type="dxa"/>
              <w:left w:w="110" w:type="dxa"/>
              <w:bottom w:w="100" w:type="dxa"/>
              <w:right w:w="110" w:type="dxa"/>
            </w:tcMar>
            <w:vAlign w:val="center"/>
          </w:tcPr>
          <w:p w14:paraId="0DAFAC43" w14:textId="77777777" w:rsidR="000404DE" w:rsidRDefault="00000000">
            <w:r>
              <w:rPr>
                <w:sz w:val="18"/>
              </w:rPr>
              <w:t>Measure runtime, memory, movement, power where reliable and economic impact.</w:t>
            </w:r>
          </w:p>
        </w:tc>
        <w:tc>
          <w:tcPr>
            <w:tcW w:w="3215" w:type="dxa"/>
            <w:tcMar>
              <w:top w:w="100" w:type="dxa"/>
              <w:left w:w="110" w:type="dxa"/>
              <w:bottom w:w="100" w:type="dxa"/>
              <w:right w:w="110" w:type="dxa"/>
            </w:tcMar>
            <w:vAlign w:val="center"/>
          </w:tcPr>
          <w:p w14:paraId="27703E50" w14:textId="77777777" w:rsidR="000404DE" w:rsidRDefault="00000000">
            <w:r>
              <w:rPr>
                <w:sz w:val="18"/>
              </w:rPr>
              <w:t>Input to production and licensing decisions.</w:t>
            </w:r>
          </w:p>
        </w:tc>
      </w:tr>
    </w:tbl>
    <w:tbl>
      <w:tblPr>
        <w:tblW w:w="0" w:type="auto"/>
        <w:jc w:val="center"/>
        <w:tblLook w:val="04A0" w:firstRow="1" w:lastRow="0" w:firstColumn="1" w:lastColumn="0" w:noHBand="0" w:noVBand="1"/>
      </w:tblPr>
      <w:tblGrid>
        <w:gridCol w:w="9878"/>
      </w:tblGrid>
      <w:tr w:rsidR="000404DE" w14:paraId="42891377" w14:textId="77777777">
        <w:trPr>
          <w:jc w:val="center"/>
        </w:trPr>
        <w:tc>
          <w:tcPr>
            <w:tcW w:w="9878" w:type="dxa"/>
            <w:shd w:val="clear" w:color="auto" w:fill="EAF0F7"/>
            <w:tcMar>
              <w:top w:w="140" w:type="dxa"/>
              <w:left w:w="160" w:type="dxa"/>
              <w:bottom w:w="140" w:type="dxa"/>
              <w:right w:w="160" w:type="dxa"/>
            </w:tcMar>
            <w:vAlign w:val="center"/>
          </w:tcPr>
          <w:p w14:paraId="38111069" w14:textId="77777777" w:rsidR="000404DE" w:rsidRDefault="00000000">
            <w:r>
              <w:rPr>
                <w:b/>
                <w:color w:val="324B69"/>
                <w:sz w:val="18"/>
              </w:rPr>
              <w:t>INDEPENDENCE RULE</w:t>
            </w:r>
          </w:p>
          <w:p w14:paraId="01AF70DA" w14:textId="77777777" w:rsidR="000404DE" w:rsidRDefault="00000000">
            <w:r>
              <w:rPr>
                <w:sz w:val="18"/>
              </w:rPr>
              <w:t>ALPHA Compute is not a pre-stage for ALPHA Core. A software-only deployment on existing CPU, GPU, NPU, cloud or HPC infrastructure can be the complete production solution.</w:t>
            </w:r>
          </w:p>
        </w:tc>
      </w:tr>
    </w:tbl>
    <w:p w14:paraId="1FBCA5E2" w14:textId="77777777" w:rsidR="000404DE" w:rsidRDefault="00000000">
      <w:pPr>
        <w:pStyle w:val="1"/>
      </w:pPr>
      <w:r>
        <w:rPr>
          <w:rFonts w:ascii="Arial" w:hAnsi="Arial"/>
        </w:rPr>
        <w:t>20. ALPHA Core</w:t>
      </w:r>
    </w:p>
    <w:p w14:paraId="23349DEE" w14:textId="77777777" w:rsidR="000404DE" w:rsidRDefault="00000000">
      <w:r>
        <w:t>ALPHA Core is the separate hardware-layer product. Its role begins when a validated ALPHA structure deserves deeper implementation or acceleration in FPGA, ASIC, NPU, accelerator, memory/data-path or other hardware architecture. Hardware value must be compared against the software-only ALPHA Compute baseline.</w:t>
      </w:r>
    </w:p>
    <w:tbl>
      <w:tblPr>
        <w:tblStyle w:val="af9"/>
        <w:tblW w:w="0" w:type="auto"/>
        <w:jc w:val="center"/>
        <w:tblLook w:val="04A0" w:firstRow="1" w:lastRow="0" w:firstColumn="1" w:lastColumn="0" w:noHBand="0" w:noVBand="1"/>
      </w:tblPr>
      <w:tblGrid>
        <w:gridCol w:w="2832"/>
        <w:gridCol w:w="3541"/>
        <w:gridCol w:w="3495"/>
      </w:tblGrid>
      <w:tr w:rsidR="000404DE" w14:paraId="6E8F8735" w14:textId="77777777" w:rsidTr="009F4C36">
        <w:trPr>
          <w:jc w:val="center"/>
        </w:trPr>
        <w:tc>
          <w:tcPr>
            <w:tcW w:w="2836" w:type="dxa"/>
            <w:shd w:val="clear" w:color="auto" w:fill="D9E2F3"/>
            <w:tcMar>
              <w:top w:w="100" w:type="dxa"/>
              <w:left w:w="110" w:type="dxa"/>
              <w:bottom w:w="100" w:type="dxa"/>
              <w:right w:w="110" w:type="dxa"/>
            </w:tcMar>
            <w:vAlign w:val="center"/>
          </w:tcPr>
          <w:p w14:paraId="349B6A3C" w14:textId="77777777" w:rsidR="000404DE" w:rsidRDefault="00000000">
            <w:pPr>
              <w:jc w:val="center"/>
            </w:pPr>
            <w:r>
              <w:rPr>
                <w:b/>
                <w:sz w:val="18"/>
              </w:rPr>
              <w:t>Hardware path</w:t>
            </w:r>
          </w:p>
        </w:tc>
        <w:tc>
          <w:tcPr>
            <w:tcW w:w="3544" w:type="dxa"/>
            <w:shd w:val="clear" w:color="auto" w:fill="D9E2F3"/>
            <w:tcMar>
              <w:top w:w="100" w:type="dxa"/>
              <w:left w:w="110" w:type="dxa"/>
              <w:bottom w:w="100" w:type="dxa"/>
              <w:right w:w="110" w:type="dxa"/>
            </w:tcMar>
            <w:vAlign w:val="center"/>
          </w:tcPr>
          <w:p w14:paraId="4947512B" w14:textId="77777777" w:rsidR="000404DE" w:rsidRDefault="00000000">
            <w:pPr>
              <w:jc w:val="center"/>
            </w:pPr>
            <w:r>
              <w:rPr>
                <w:b/>
                <w:sz w:val="18"/>
              </w:rPr>
              <w:t>Purpose</w:t>
            </w:r>
          </w:p>
        </w:tc>
        <w:tc>
          <w:tcPr>
            <w:tcW w:w="3499" w:type="dxa"/>
            <w:shd w:val="clear" w:color="auto" w:fill="D9E2F3"/>
            <w:tcMar>
              <w:top w:w="100" w:type="dxa"/>
              <w:left w:w="110" w:type="dxa"/>
              <w:bottom w:w="100" w:type="dxa"/>
              <w:right w:w="110" w:type="dxa"/>
            </w:tcMar>
            <w:vAlign w:val="center"/>
          </w:tcPr>
          <w:p w14:paraId="5001C280" w14:textId="77777777" w:rsidR="000404DE" w:rsidRDefault="00000000">
            <w:pPr>
              <w:jc w:val="center"/>
            </w:pPr>
            <w:r>
              <w:rPr>
                <w:b/>
                <w:sz w:val="18"/>
              </w:rPr>
              <w:t>Proof discipline</w:t>
            </w:r>
          </w:p>
        </w:tc>
      </w:tr>
      <w:tr w:rsidR="000404DE" w14:paraId="5C6BD199" w14:textId="77777777" w:rsidTr="009F4C36">
        <w:trPr>
          <w:jc w:val="center"/>
        </w:trPr>
        <w:tc>
          <w:tcPr>
            <w:tcW w:w="2836" w:type="dxa"/>
            <w:tcMar>
              <w:top w:w="100" w:type="dxa"/>
              <w:left w:w="110" w:type="dxa"/>
              <w:bottom w:w="100" w:type="dxa"/>
              <w:right w:w="110" w:type="dxa"/>
            </w:tcMar>
            <w:vAlign w:val="center"/>
          </w:tcPr>
          <w:p w14:paraId="1342ECE0" w14:textId="77777777" w:rsidR="000404DE" w:rsidRDefault="00000000">
            <w:pPr>
              <w:jc w:val="center"/>
            </w:pPr>
            <w:r>
              <w:rPr>
                <w:sz w:val="18"/>
              </w:rPr>
              <w:t>AXIOM / AXIOM-TENSOR</w:t>
            </w:r>
          </w:p>
        </w:tc>
        <w:tc>
          <w:tcPr>
            <w:tcW w:w="3544" w:type="dxa"/>
            <w:tcMar>
              <w:top w:w="100" w:type="dxa"/>
              <w:left w:w="110" w:type="dxa"/>
              <w:bottom w:w="100" w:type="dxa"/>
              <w:right w:w="110" w:type="dxa"/>
            </w:tcMar>
            <w:vAlign w:val="center"/>
          </w:tcPr>
          <w:p w14:paraId="09860127" w14:textId="77777777" w:rsidR="000404DE" w:rsidRDefault="00000000">
            <w:r>
              <w:rPr>
                <w:sz w:val="18"/>
              </w:rPr>
              <w:t>Support validated structured execution in hardware.</w:t>
            </w:r>
          </w:p>
        </w:tc>
        <w:tc>
          <w:tcPr>
            <w:tcW w:w="3499" w:type="dxa"/>
            <w:tcMar>
              <w:top w:w="100" w:type="dxa"/>
              <w:left w:w="110" w:type="dxa"/>
              <w:bottom w:w="100" w:type="dxa"/>
              <w:right w:w="110" w:type="dxa"/>
            </w:tcMar>
            <w:vAlign w:val="center"/>
          </w:tcPr>
          <w:p w14:paraId="74E6FC59" w14:textId="77777777" w:rsidR="000404DE" w:rsidRDefault="00000000">
            <w:r>
              <w:rPr>
                <w:sz w:val="18"/>
              </w:rPr>
              <w:t>Keep representation, memory, runtime and silicon claims separate.</w:t>
            </w:r>
          </w:p>
        </w:tc>
      </w:tr>
      <w:tr w:rsidR="000404DE" w14:paraId="137B8E5C" w14:textId="77777777" w:rsidTr="009F4C36">
        <w:trPr>
          <w:jc w:val="center"/>
        </w:trPr>
        <w:tc>
          <w:tcPr>
            <w:tcW w:w="2836" w:type="dxa"/>
            <w:tcMar>
              <w:top w:w="100" w:type="dxa"/>
              <w:left w:w="110" w:type="dxa"/>
              <w:bottom w:w="100" w:type="dxa"/>
              <w:right w:w="110" w:type="dxa"/>
            </w:tcMar>
            <w:vAlign w:val="center"/>
          </w:tcPr>
          <w:p w14:paraId="2F54D0BF" w14:textId="77777777" w:rsidR="000404DE" w:rsidRDefault="00000000">
            <w:pPr>
              <w:jc w:val="center"/>
            </w:pPr>
            <w:r>
              <w:rPr>
                <w:sz w:val="18"/>
              </w:rPr>
              <w:t>CRE</w:t>
            </w:r>
          </w:p>
        </w:tc>
        <w:tc>
          <w:tcPr>
            <w:tcW w:w="3544" w:type="dxa"/>
            <w:tcMar>
              <w:top w:w="100" w:type="dxa"/>
              <w:left w:w="110" w:type="dxa"/>
              <w:bottom w:w="100" w:type="dxa"/>
              <w:right w:w="110" w:type="dxa"/>
            </w:tcMar>
            <w:vAlign w:val="center"/>
          </w:tcPr>
          <w:p w14:paraId="63D8F405" w14:textId="77777777" w:rsidR="000404DE" w:rsidRDefault="00000000">
            <w:r>
              <w:rPr>
                <w:sz w:val="18"/>
              </w:rPr>
              <w:t>Support eligible real-structured/SPD-oriented execution.</w:t>
            </w:r>
          </w:p>
        </w:tc>
        <w:tc>
          <w:tcPr>
            <w:tcW w:w="3499" w:type="dxa"/>
            <w:tcMar>
              <w:top w:w="100" w:type="dxa"/>
              <w:left w:w="110" w:type="dxa"/>
              <w:bottom w:w="100" w:type="dxa"/>
              <w:right w:w="110" w:type="dxa"/>
            </w:tcMar>
            <w:vAlign w:val="center"/>
          </w:tcPr>
          <w:p w14:paraId="15164C58" w14:textId="77777777" w:rsidR="000404DE" w:rsidRDefault="00000000">
            <w:r>
              <w:rPr>
                <w:sz w:val="18"/>
              </w:rPr>
              <w:t>Measure workload, precision, latency/throughput, power and integration overhead.</w:t>
            </w:r>
          </w:p>
        </w:tc>
      </w:tr>
      <w:tr w:rsidR="000404DE" w14:paraId="36B5A333" w14:textId="77777777" w:rsidTr="009F4C36">
        <w:trPr>
          <w:jc w:val="center"/>
        </w:trPr>
        <w:tc>
          <w:tcPr>
            <w:tcW w:w="2836" w:type="dxa"/>
            <w:tcMar>
              <w:top w:w="100" w:type="dxa"/>
              <w:left w:w="110" w:type="dxa"/>
              <w:bottom w:w="100" w:type="dxa"/>
              <w:right w:w="110" w:type="dxa"/>
            </w:tcMar>
            <w:vAlign w:val="center"/>
          </w:tcPr>
          <w:p w14:paraId="0611105B" w14:textId="77777777" w:rsidR="000404DE" w:rsidRDefault="00000000">
            <w:pPr>
              <w:jc w:val="center"/>
            </w:pPr>
            <w:r>
              <w:rPr>
                <w:sz w:val="18"/>
              </w:rPr>
              <w:t>FQNM</w:t>
            </w:r>
          </w:p>
        </w:tc>
        <w:tc>
          <w:tcPr>
            <w:tcW w:w="3544" w:type="dxa"/>
            <w:tcMar>
              <w:top w:w="100" w:type="dxa"/>
              <w:left w:w="110" w:type="dxa"/>
              <w:bottom w:w="100" w:type="dxa"/>
              <w:right w:w="110" w:type="dxa"/>
            </w:tcMar>
            <w:vAlign w:val="center"/>
          </w:tcPr>
          <w:p w14:paraId="57AD179F" w14:textId="77777777" w:rsidR="000404DE" w:rsidRDefault="00000000">
            <w:r>
              <w:rPr>
                <w:sz w:val="18"/>
              </w:rPr>
              <w:t>Map validated integer-transfer operations toward ALU/NPU/FPGA/ASIC execution.</w:t>
            </w:r>
          </w:p>
        </w:tc>
        <w:tc>
          <w:tcPr>
            <w:tcW w:w="3499" w:type="dxa"/>
            <w:tcMar>
              <w:top w:w="100" w:type="dxa"/>
              <w:left w:w="110" w:type="dxa"/>
              <w:bottom w:w="100" w:type="dxa"/>
              <w:right w:w="110" w:type="dxa"/>
            </w:tcMar>
            <w:vAlign w:val="center"/>
          </w:tcPr>
          <w:p w14:paraId="2670212E" w14:textId="77777777" w:rsidR="000404DE" w:rsidRDefault="00000000">
            <w:r>
              <w:rPr>
                <w:sz w:val="18"/>
              </w:rPr>
              <w:t>Record quantisation, range, conservation, accuracy, stability and energy.</w:t>
            </w:r>
          </w:p>
        </w:tc>
      </w:tr>
      <w:tr w:rsidR="000404DE" w14:paraId="6F16BCE3" w14:textId="77777777" w:rsidTr="009F4C36">
        <w:trPr>
          <w:jc w:val="center"/>
        </w:trPr>
        <w:tc>
          <w:tcPr>
            <w:tcW w:w="2836" w:type="dxa"/>
            <w:tcMar>
              <w:top w:w="100" w:type="dxa"/>
              <w:left w:w="110" w:type="dxa"/>
              <w:bottom w:w="100" w:type="dxa"/>
              <w:right w:w="110" w:type="dxa"/>
            </w:tcMar>
            <w:vAlign w:val="center"/>
          </w:tcPr>
          <w:p w14:paraId="7142ABEC" w14:textId="77777777" w:rsidR="000404DE" w:rsidRDefault="00000000">
            <w:pPr>
              <w:jc w:val="center"/>
            </w:pPr>
            <w:r>
              <w:rPr>
                <w:sz w:val="18"/>
              </w:rPr>
              <w:t>QNTA</w:t>
            </w:r>
          </w:p>
        </w:tc>
        <w:tc>
          <w:tcPr>
            <w:tcW w:w="3544" w:type="dxa"/>
            <w:tcMar>
              <w:top w:w="100" w:type="dxa"/>
              <w:left w:w="110" w:type="dxa"/>
              <w:bottom w:w="100" w:type="dxa"/>
              <w:right w:w="110" w:type="dxa"/>
            </w:tcMar>
            <w:vAlign w:val="center"/>
          </w:tcPr>
          <w:p w14:paraId="25CA791E" w14:textId="77777777" w:rsidR="000404DE" w:rsidRDefault="00000000">
            <w:r>
              <w:rPr>
                <w:sz w:val="18"/>
              </w:rPr>
              <w:t>Optionally implement validated state-transfer, control or data-path structures.</w:t>
            </w:r>
          </w:p>
        </w:tc>
        <w:tc>
          <w:tcPr>
            <w:tcW w:w="3499" w:type="dxa"/>
            <w:tcMar>
              <w:top w:w="100" w:type="dxa"/>
              <w:left w:w="110" w:type="dxa"/>
              <w:bottom w:w="100" w:type="dxa"/>
              <w:right w:w="110" w:type="dxa"/>
            </w:tcMar>
            <w:vAlign w:val="center"/>
          </w:tcPr>
          <w:p w14:paraId="63953B74" w14:textId="77777777" w:rsidR="000404DE" w:rsidRDefault="00000000">
            <w:r>
              <w:rPr>
                <w:sz w:val="18"/>
              </w:rPr>
              <w:t>Compare against software QNTA path; record residency, state, coverage, latency and energy.</w:t>
            </w:r>
          </w:p>
        </w:tc>
      </w:tr>
    </w:tbl>
    <w:tbl>
      <w:tblPr>
        <w:tblW w:w="0" w:type="auto"/>
        <w:jc w:val="center"/>
        <w:tblLook w:val="04A0" w:firstRow="1" w:lastRow="0" w:firstColumn="1" w:lastColumn="0" w:noHBand="0" w:noVBand="1"/>
      </w:tblPr>
      <w:tblGrid>
        <w:gridCol w:w="9878"/>
      </w:tblGrid>
      <w:tr w:rsidR="000404DE" w14:paraId="7C556AD5" w14:textId="77777777">
        <w:trPr>
          <w:jc w:val="center"/>
        </w:trPr>
        <w:tc>
          <w:tcPr>
            <w:tcW w:w="9878" w:type="dxa"/>
            <w:shd w:val="clear" w:color="auto" w:fill="EAF0F7"/>
            <w:tcMar>
              <w:top w:w="140" w:type="dxa"/>
              <w:left w:w="160" w:type="dxa"/>
              <w:bottom w:w="140" w:type="dxa"/>
              <w:right w:w="160" w:type="dxa"/>
            </w:tcMar>
            <w:vAlign w:val="center"/>
          </w:tcPr>
          <w:p w14:paraId="565931F2" w14:textId="77777777" w:rsidR="000404DE" w:rsidRDefault="00000000">
            <w:r>
              <w:rPr>
                <w:b/>
                <w:color w:val="324B69"/>
                <w:sz w:val="18"/>
              </w:rPr>
              <w:t>PRODUCT BOUNDARY</w:t>
            </w:r>
          </w:p>
          <w:p w14:paraId="36DDF6E4" w14:textId="77777777" w:rsidR="000404DE" w:rsidRDefault="00000000">
            <w:r>
              <w:rPr>
                <w:sz w:val="18"/>
              </w:rPr>
              <w:t>ALPHA Core is optional. Software interfaces, drivers and firmware may be required to operate hardware, but they are enabling interfaces rather than the identity of the product.</w:t>
            </w:r>
          </w:p>
        </w:tc>
      </w:tr>
    </w:tbl>
    <w:p w14:paraId="73F05DB2" w14:textId="77777777" w:rsidR="000404DE" w:rsidRDefault="00000000">
      <w:pPr>
        <w:pStyle w:val="1"/>
      </w:pPr>
      <w:r>
        <w:rPr>
          <w:rFonts w:ascii="Arial" w:hAnsi="Arial"/>
        </w:rPr>
        <w:t>21. Three Independent Products, One Infrastructure Thesis</w:t>
      </w:r>
    </w:p>
    <w:tbl>
      <w:tblPr>
        <w:tblStyle w:val="af9"/>
        <w:tblW w:w="0" w:type="auto"/>
        <w:jc w:val="center"/>
        <w:tblLook w:val="04A0" w:firstRow="1" w:lastRow="0" w:firstColumn="1" w:lastColumn="0" w:noHBand="0" w:noVBand="1"/>
      </w:tblPr>
      <w:tblGrid>
        <w:gridCol w:w="1982"/>
        <w:gridCol w:w="2628"/>
        <w:gridCol w:w="2628"/>
        <w:gridCol w:w="2630"/>
      </w:tblGrid>
      <w:tr w:rsidR="000404DE" w14:paraId="28EE936E" w14:textId="77777777" w:rsidTr="009F4C36">
        <w:trPr>
          <w:jc w:val="center"/>
        </w:trPr>
        <w:tc>
          <w:tcPr>
            <w:tcW w:w="1984" w:type="dxa"/>
            <w:shd w:val="clear" w:color="auto" w:fill="D9E2F3"/>
            <w:tcMar>
              <w:top w:w="100" w:type="dxa"/>
              <w:left w:w="110" w:type="dxa"/>
              <w:bottom w:w="100" w:type="dxa"/>
              <w:right w:w="110" w:type="dxa"/>
            </w:tcMar>
            <w:vAlign w:val="center"/>
          </w:tcPr>
          <w:p w14:paraId="67475A4A" w14:textId="77777777" w:rsidR="000404DE" w:rsidRDefault="00000000">
            <w:pPr>
              <w:jc w:val="center"/>
            </w:pPr>
            <w:r>
              <w:rPr>
                <w:b/>
                <w:sz w:val="18"/>
              </w:rPr>
              <w:t>Product</w:t>
            </w:r>
          </w:p>
        </w:tc>
        <w:tc>
          <w:tcPr>
            <w:tcW w:w="2630" w:type="dxa"/>
            <w:shd w:val="clear" w:color="auto" w:fill="D9E2F3"/>
            <w:tcMar>
              <w:top w:w="100" w:type="dxa"/>
              <w:left w:w="110" w:type="dxa"/>
              <w:bottom w:w="100" w:type="dxa"/>
              <w:right w:w="110" w:type="dxa"/>
            </w:tcMar>
            <w:vAlign w:val="center"/>
          </w:tcPr>
          <w:p w14:paraId="375FC6FD" w14:textId="77777777" w:rsidR="000404DE" w:rsidRDefault="00000000">
            <w:pPr>
              <w:jc w:val="center"/>
            </w:pPr>
            <w:r>
              <w:rPr>
                <w:b/>
                <w:sz w:val="18"/>
              </w:rPr>
              <w:t>Primary job</w:t>
            </w:r>
          </w:p>
        </w:tc>
        <w:tc>
          <w:tcPr>
            <w:tcW w:w="2631" w:type="dxa"/>
            <w:shd w:val="clear" w:color="auto" w:fill="D9E2F3"/>
            <w:tcMar>
              <w:top w:w="100" w:type="dxa"/>
              <w:left w:w="110" w:type="dxa"/>
              <w:bottom w:w="100" w:type="dxa"/>
              <w:right w:w="110" w:type="dxa"/>
            </w:tcMar>
            <w:vAlign w:val="center"/>
          </w:tcPr>
          <w:p w14:paraId="7061A648" w14:textId="77777777" w:rsidR="000404DE" w:rsidRDefault="00000000">
            <w:pPr>
              <w:jc w:val="center"/>
            </w:pPr>
            <w:r>
              <w:rPr>
                <w:b/>
                <w:sz w:val="18"/>
              </w:rPr>
              <w:t>Independent value</w:t>
            </w:r>
          </w:p>
        </w:tc>
        <w:tc>
          <w:tcPr>
            <w:tcW w:w="2631" w:type="dxa"/>
            <w:shd w:val="clear" w:color="auto" w:fill="D9E2F3"/>
            <w:tcMar>
              <w:top w:w="100" w:type="dxa"/>
              <w:left w:w="110" w:type="dxa"/>
              <w:bottom w:w="100" w:type="dxa"/>
              <w:right w:w="110" w:type="dxa"/>
            </w:tcMar>
            <w:vAlign w:val="center"/>
          </w:tcPr>
          <w:p w14:paraId="6D351835" w14:textId="77777777" w:rsidR="000404DE" w:rsidRDefault="00000000">
            <w:pPr>
              <w:jc w:val="center"/>
            </w:pPr>
            <w:r>
              <w:rPr>
                <w:b/>
                <w:sz w:val="18"/>
              </w:rPr>
              <w:t>Possible composition</w:t>
            </w:r>
          </w:p>
        </w:tc>
      </w:tr>
      <w:tr w:rsidR="000404DE" w14:paraId="4A76C332" w14:textId="77777777" w:rsidTr="009F4C36">
        <w:trPr>
          <w:jc w:val="center"/>
        </w:trPr>
        <w:tc>
          <w:tcPr>
            <w:tcW w:w="1984" w:type="dxa"/>
            <w:tcMar>
              <w:top w:w="100" w:type="dxa"/>
              <w:left w:w="110" w:type="dxa"/>
              <w:bottom w:w="100" w:type="dxa"/>
              <w:right w:w="110" w:type="dxa"/>
            </w:tcMar>
            <w:vAlign w:val="center"/>
          </w:tcPr>
          <w:p w14:paraId="639AA545" w14:textId="77777777" w:rsidR="000404DE" w:rsidRDefault="00000000">
            <w:pPr>
              <w:jc w:val="center"/>
            </w:pPr>
            <w:r>
              <w:rPr>
                <w:sz w:val="18"/>
              </w:rPr>
              <w:lastRenderedPageBreak/>
              <w:t>ASTOP</w:t>
            </w:r>
          </w:p>
        </w:tc>
        <w:tc>
          <w:tcPr>
            <w:tcW w:w="2630" w:type="dxa"/>
            <w:tcMar>
              <w:top w:w="100" w:type="dxa"/>
              <w:left w:w="110" w:type="dxa"/>
              <w:bottom w:w="100" w:type="dxa"/>
              <w:right w:w="110" w:type="dxa"/>
            </w:tcMar>
            <w:vAlign w:val="center"/>
          </w:tcPr>
          <w:p w14:paraId="3EC33EC1" w14:textId="77777777" w:rsidR="000404DE" w:rsidRDefault="00000000">
            <w:r>
              <w:rPr>
                <w:sz w:val="18"/>
              </w:rPr>
              <w:t>Observe and expose trustworthy decision-relevant computational evidence.</w:t>
            </w:r>
          </w:p>
        </w:tc>
        <w:tc>
          <w:tcPr>
            <w:tcW w:w="2631" w:type="dxa"/>
            <w:tcMar>
              <w:top w:w="100" w:type="dxa"/>
              <w:left w:w="110" w:type="dxa"/>
              <w:bottom w:w="100" w:type="dxa"/>
              <w:right w:w="110" w:type="dxa"/>
            </w:tcMar>
            <w:vAlign w:val="center"/>
          </w:tcPr>
          <w:p w14:paraId="634B4129" w14:textId="77777777" w:rsidR="000404DE" w:rsidRDefault="00000000">
            <w:r>
              <w:rPr>
                <w:sz w:val="18"/>
              </w:rPr>
              <w:t>Useful for human operators, scripts and AI agents without ALPHA.</w:t>
            </w:r>
          </w:p>
        </w:tc>
        <w:tc>
          <w:tcPr>
            <w:tcW w:w="2631" w:type="dxa"/>
            <w:tcMar>
              <w:top w:w="100" w:type="dxa"/>
              <w:left w:w="110" w:type="dxa"/>
              <w:bottom w:w="100" w:type="dxa"/>
              <w:right w:w="110" w:type="dxa"/>
            </w:tcMar>
            <w:vAlign w:val="center"/>
          </w:tcPr>
          <w:p w14:paraId="590FB3EF" w14:textId="77777777" w:rsidR="000404DE" w:rsidRDefault="00000000">
            <w:r>
              <w:rPr>
                <w:sz w:val="18"/>
              </w:rPr>
              <w:t>Can measure before/after state around ALPHA interventions and support agentic operations.</w:t>
            </w:r>
          </w:p>
        </w:tc>
      </w:tr>
      <w:tr w:rsidR="000404DE" w14:paraId="10BC6F93" w14:textId="77777777" w:rsidTr="009F4C36">
        <w:trPr>
          <w:jc w:val="center"/>
        </w:trPr>
        <w:tc>
          <w:tcPr>
            <w:tcW w:w="1984" w:type="dxa"/>
            <w:tcMar>
              <w:top w:w="100" w:type="dxa"/>
              <w:left w:w="110" w:type="dxa"/>
              <w:bottom w:w="100" w:type="dxa"/>
              <w:right w:w="110" w:type="dxa"/>
            </w:tcMar>
            <w:vAlign w:val="center"/>
          </w:tcPr>
          <w:p w14:paraId="492B3A2B" w14:textId="77777777" w:rsidR="000404DE" w:rsidRDefault="00000000">
            <w:pPr>
              <w:jc w:val="center"/>
            </w:pPr>
            <w:r>
              <w:rPr>
                <w:sz w:val="18"/>
              </w:rPr>
              <w:t>ALPHA Compute</w:t>
            </w:r>
          </w:p>
        </w:tc>
        <w:tc>
          <w:tcPr>
            <w:tcW w:w="2630" w:type="dxa"/>
            <w:tcMar>
              <w:top w:w="100" w:type="dxa"/>
              <w:left w:w="110" w:type="dxa"/>
              <w:bottom w:w="100" w:type="dxa"/>
              <w:right w:w="110" w:type="dxa"/>
            </w:tcMar>
            <w:vAlign w:val="center"/>
          </w:tcPr>
          <w:p w14:paraId="1A6357C5" w14:textId="77777777" w:rsidR="000404DE" w:rsidRDefault="00000000">
            <w:r>
              <w:rPr>
                <w:sz w:val="18"/>
              </w:rPr>
              <w:t>Diagnose, transform, execute, verify and measure eligible computation in software.</w:t>
            </w:r>
          </w:p>
        </w:tc>
        <w:tc>
          <w:tcPr>
            <w:tcW w:w="2631" w:type="dxa"/>
            <w:tcMar>
              <w:top w:w="100" w:type="dxa"/>
              <w:left w:w="110" w:type="dxa"/>
              <w:bottom w:w="100" w:type="dxa"/>
              <w:right w:w="110" w:type="dxa"/>
            </w:tcMar>
            <w:vAlign w:val="center"/>
          </w:tcPr>
          <w:p w14:paraId="702AD35D" w14:textId="77777777" w:rsidR="000404DE" w:rsidRDefault="00000000">
            <w:r>
              <w:rPr>
                <w:sz w:val="18"/>
              </w:rPr>
              <w:t>Can be complete production software on existing hardware.</w:t>
            </w:r>
          </w:p>
        </w:tc>
        <w:tc>
          <w:tcPr>
            <w:tcW w:w="2631" w:type="dxa"/>
            <w:tcMar>
              <w:top w:w="100" w:type="dxa"/>
              <w:left w:w="110" w:type="dxa"/>
              <w:bottom w:w="100" w:type="dxa"/>
              <w:right w:w="110" w:type="dxa"/>
            </w:tcMar>
            <w:vAlign w:val="center"/>
          </w:tcPr>
          <w:p w14:paraId="35FB9CD5" w14:textId="77777777" w:rsidR="000404DE" w:rsidRDefault="00000000">
            <w:r>
              <w:rPr>
                <w:sz w:val="18"/>
              </w:rPr>
              <w:t>May use ASTOP for observation/measurement; may later justify ALPHA Core.</w:t>
            </w:r>
          </w:p>
        </w:tc>
      </w:tr>
      <w:tr w:rsidR="000404DE" w14:paraId="323C25E8" w14:textId="77777777" w:rsidTr="009F4C36">
        <w:trPr>
          <w:jc w:val="center"/>
        </w:trPr>
        <w:tc>
          <w:tcPr>
            <w:tcW w:w="1984" w:type="dxa"/>
            <w:tcMar>
              <w:top w:w="100" w:type="dxa"/>
              <w:left w:w="110" w:type="dxa"/>
              <w:bottom w:w="100" w:type="dxa"/>
              <w:right w:w="110" w:type="dxa"/>
            </w:tcMar>
            <w:vAlign w:val="center"/>
          </w:tcPr>
          <w:p w14:paraId="281105DD" w14:textId="77777777" w:rsidR="000404DE" w:rsidRDefault="00000000">
            <w:pPr>
              <w:jc w:val="center"/>
            </w:pPr>
            <w:r>
              <w:rPr>
                <w:sz w:val="18"/>
              </w:rPr>
              <w:t>ALPHA Core</w:t>
            </w:r>
          </w:p>
        </w:tc>
        <w:tc>
          <w:tcPr>
            <w:tcW w:w="2630" w:type="dxa"/>
            <w:tcMar>
              <w:top w:w="100" w:type="dxa"/>
              <w:left w:w="110" w:type="dxa"/>
              <w:bottom w:w="100" w:type="dxa"/>
              <w:right w:w="110" w:type="dxa"/>
            </w:tcMar>
            <w:vAlign w:val="center"/>
          </w:tcPr>
          <w:p w14:paraId="301AB040" w14:textId="77777777" w:rsidR="000404DE" w:rsidRDefault="00000000">
            <w:r>
              <w:rPr>
                <w:sz w:val="18"/>
              </w:rPr>
              <w:t>Implement/accelerate validated structures in hardware.</w:t>
            </w:r>
          </w:p>
        </w:tc>
        <w:tc>
          <w:tcPr>
            <w:tcW w:w="2631" w:type="dxa"/>
            <w:tcMar>
              <w:top w:w="100" w:type="dxa"/>
              <w:left w:w="110" w:type="dxa"/>
              <w:bottom w:w="100" w:type="dxa"/>
              <w:right w:w="110" w:type="dxa"/>
            </w:tcMar>
            <w:vAlign w:val="center"/>
          </w:tcPr>
          <w:p w14:paraId="0AE84D3D" w14:textId="77777777" w:rsidR="000404DE" w:rsidRDefault="00000000">
            <w:r>
              <w:rPr>
                <w:sz w:val="18"/>
              </w:rPr>
              <w:t>Creates hardware-level differentiation where justified.</w:t>
            </w:r>
          </w:p>
        </w:tc>
        <w:tc>
          <w:tcPr>
            <w:tcW w:w="2631" w:type="dxa"/>
            <w:tcMar>
              <w:top w:w="100" w:type="dxa"/>
              <w:left w:w="110" w:type="dxa"/>
              <w:bottom w:w="100" w:type="dxa"/>
              <w:right w:w="110" w:type="dxa"/>
            </w:tcMar>
            <w:vAlign w:val="center"/>
          </w:tcPr>
          <w:p w14:paraId="0CE7C34D" w14:textId="77777777" w:rsidR="000404DE" w:rsidRDefault="00000000">
            <w:r>
              <w:rPr>
                <w:sz w:val="18"/>
              </w:rPr>
              <w:t>Can execute structures first proven through ALPHA Compute; can be observed by ASTOP.</w:t>
            </w:r>
          </w:p>
        </w:tc>
      </w:tr>
    </w:tbl>
    <w:p w14:paraId="48871351" w14:textId="77777777" w:rsidR="000404DE" w:rsidRDefault="00000000">
      <w:r>
        <w:t>The three products are commercially independent and may be licensed separately. Where useful, they can also be composed. A future closed loop can be described as Observe → Decide → Transform → Execute → Observe. That loop is a strategic composition direction, not a claim that ASTOP, ALPHA Compute and ALPHA Core are already integrated into one autonomous system.</w:t>
      </w:r>
    </w:p>
    <w:p w14:paraId="00FCE2B2" w14:textId="77777777" w:rsidR="000404DE" w:rsidRDefault="00000000">
      <w:pPr>
        <w:pStyle w:val="1"/>
        <w:pageBreakBefore/>
      </w:pPr>
      <w:r>
        <w:rPr>
          <w:rFonts w:ascii="Arial" w:hAnsi="Arial"/>
        </w:rPr>
        <w:lastRenderedPageBreak/>
        <w:t>22. Integration Into the Existing Compute Stack</w:t>
      </w:r>
    </w:p>
    <w:tbl>
      <w:tblPr>
        <w:tblStyle w:val="af9"/>
        <w:tblW w:w="0" w:type="auto"/>
        <w:jc w:val="center"/>
        <w:tblLook w:val="04A0" w:firstRow="1" w:lastRow="0" w:firstColumn="1" w:lastColumn="0" w:noHBand="0" w:noVBand="1"/>
      </w:tblPr>
      <w:tblGrid>
        <w:gridCol w:w="2695"/>
        <w:gridCol w:w="3254"/>
        <w:gridCol w:w="3919"/>
      </w:tblGrid>
      <w:tr w:rsidR="000404DE" w14:paraId="2FA980A6" w14:textId="77777777" w:rsidTr="009F4C36">
        <w:trPr>
          <w:jc w:val="center"/>
        </w:trPr>
        <w:tc>
          <w:tcPr>
            <w:tcW w:w="2695" w:type="dxa"/>
            <w:shd w:val="clear" w:color="auto" w:fill="D9E2F3"/>
            <w:tcMar>
              <w:top w:w="100" w:type="dxa"/>
              <w:left w:w="110" w:type="dxa"/>
              <w:bottom w:w="100" w:type="dxa"/>
              <w:right w:w="110" w:type="dxa"/>
            </w:tcMar>
            <w:vAlign w:val="center"/>
          </w:tcPr>
          <w:p w14:paraId="00917918" w14:textId="77777777" w:rsidR="000404DE" w:rsidRDefault="00000000">
            <w:pPr>
              <w:jc w:val="center"/>
            </w:pPr>
            <w:r>
              <w:rPr>
                <w:b/>
                <w:sz w:val="18"/>
              </w:rPr>
              <w:t>Layer</w:t>
            </w:r>
          </w:p>
        </w:tc>
        <w:tc>
          <w:tcPr>
            <w:tcW w:w="3260" w:type="dxa"/>
            <w:shd w:val="clear" w:color="auto" w:fill="D9E2F3"/>
            <w:tcMar>
              <w:top w:w="100" w:type="dxa"/>
              <w:left w:w="110" w:type="dxa"/>
              <w:bottom w:w="100" w:type="dxa"/>
              <w:right w:w="110" w:type="dxa"/>
            </w:tcMar>
            <w:vAlign w:val="center"/>
          </w:tcPr>
          <w:p w14:paraId="67DF4A8F" w14:textId="77777777" w:rsidR="000404DE" w:rsidRDefault="00000000">
            <w:pPr>
              <w:jc w:val="center"/>
            </w:pPr>
            <w:r>
              <w:rPr>
                <w:b/>
                <w:sz w:val="18"/>
              </w:rPr>
              <w:t>Existing role</w:t>
            </w:r>
          </w:p>
        </w:tc>
        <w:tc>
          <w:tcPr>
            <w:tcW w:w="3924" w:type="dxa"/>
            <w:shd w:val="clear" w:color="auto" w:fill="D9E2F3"/>
            <w:tcMar>
              <w:top w:w="100" w:type="dxa"/>
              <w:left w:w="110" w:type="dxa"/>
              <w:bottom w:w="100" w:type="dxa"/>
              <w:right w:w="110" w:type="dxa"/>
            </w:tcMar>
            <w:vAlign w:val="center"/>
          </w:tcPr>
          <w:p w14:paraId="7C3C482A" w14:textId="77777777" w:rsidR="000404DE" w:rsidRDefault="00000000">
            <w:pPr>
              <w:jc w:val="center"/>
            </w:pPr>
            <w:r>
              <w:rPr>
                <w:b/>
                <w:sz w:val="18"/>
              </w:rPr>
              <w:t>itriX intervention</w:t>
            </w:r>
          </w:p>
        </w:tc>
      </w:tr>
      <w:tr w:rsidR="000404DE" w14:paraId="02C06D2F" w14:textId="77777777" w:rsidTr="009F4C36">
        <w:trPr>
          <w:jc w:val="center"/>
        </w:trPr>
        <w:tc>
          <w:tcPr>
            <w:tcW w:w="2695" w:type="dxa"/>
            <w:tcMar>
              <w:top w:w="100" w:type="dxa"/>
              <w:left w:w="110" w:type="dxa"/>
              <w:bottom w:w="100" w:type="dxa"/>
              <w:right w:w="110" w:type="dxa"/>
            </w:tcMar>
            <w:vAlign w:val="center"/>
          </w:tcPr>
          <w:p w14:paraId="14B930DB" w14:textId="77777777" w:rsidR="000404DE" w:rsidRDefault="00000000">
            <w:pPr>
              <w:jc w:val="center"/>
            </w:pPr>
            <w:r>
              <w:rPr>
                <w:sz w:val="18"/>
              </w:rPr>
              <w:t>Application / agent</w:t>
            </w:r>
          </w:p>
        </w:tc>
        <w:tc>
          <w:tcPr>
            <w:tcW w:w="3260" w:type="dxa"/>
            <w:tcMar>
              <w:top w:w="100" w:type="dxa"/>
              <w:left w:w="110" w:type="dxa"/>
              <w:bottom w:w="100" w:type="dxa"/>
              <w:right w:w="110" w:type="dxa"/>
            </w:tcMar>
            <w:vAlign w:val="center"/>
          </w:tcPr>
          <w:p w14:paraId="1F93FF27" w14:textId="77777777" w:rsidR="000404DE" w:rsidRDefault="00000000">
            <w:r>
              <w:rPr>
                <w:sz w:val="18"/>
              </w:rPr>
              <w:t>Defines task and business objective.</w:t>
            </w:r>
          </w:p>
        </w:tc>
        <w:tc>
          <w:tcPr>
            <w:tcW w:w="3924" w:type="dxa"/>
            <w:tcMar>
              <w:top w:w="100" w:type="dxa"/>
              <w:left w:w="110" w:type="dxa"/>
              <w:bottom w:w="100" w:type="dxa"/>
              <w:right w:w="110" w:type="dxa"/>
            </w:tcMar>
            <w:vAlign w:val="center"/>
          </w:tcPr>
          <w:p w14:paraId="0BB03A7C" w14:textId="77777777" w:rsidR="000404DE" w:rsidRDefault="00000000">
            <w:r>
              <w:rPr>
                <w:sz w:val="18"/>
              </w:rPr>
              <w:t>Remains above the infrastructure layer.</w:t>
            </w:r>
          </w:p>
        </w:tc>
      </w:tr>
      <w:tr w:rsidR="000404DE" w14:paraId="5D6E1346" w14:textId="77777777" w:rsidTr="009F4C36">
        <w:trPr>
          <w:jc w:val="center"/>
        </w:trPr>
        <w:tc>
          <w:tcPr>
            <w:tcW w:w="2695" w:type="dxa"/>
            <w:tcMar>
              <w:top w:w="100" w:type="dxa"/>
              <w:left w:w="110" w:type="dxa"/>
              <w:bottom w:w="100" w:type="dxa"/>
              <w:right w:w="110" w:type="dxa"/>
            </w:tcMar>
            <w:vAlign w:val="center"/>
          </w:tcPr>
          <w:p w14:paraId="2B295827" w14:textId="77777777" w:rsidR="000404DE" w:rsidRDefault="00000000">
            <w:pPr>
              <w:jc w:val="center"/>
            </w:pPr>
            <w:r>
              <w:rPr>
                <w:sz w:val="18"/>
              </w:rPr>
              <w:t>Observation boundary</w:t>
            </w:r>
          </w:p>
        </w:tc>
        <w:tc>
          <w:tcPr>
            <w:tcW w:w="3260" w:type="dxa"/>
            <w:tcMar>
              <w:top w:w="100" w:type="dxa"/>
              <w:left w:w="110" w:type="dxa"/>
              <w:bottom w:w="100" w:type="dxa"/>
              <w:right w:w="110" w:type="dxa"/>
            </w:tcMar>
            <w:vAlign w:val="center"/>
          </w:tcPr>
          <w:p w14:paraId="6C278CDC" w14:textId="77777777" w:rsidR="000404DE" w:rsidRDefault="00000000">
            <w:r>
              <w:rPr>
                <w:sz w:val="18"/>
              </w:rPr>
              <w:t>Logs, metrics, status APIs, polling.</w:t>
            </w:r>
          </w:p>
        </w:tc>
        <w:tc>
          <w:tcPr>
            <w:tcW w:w="3924" w:type="dxa"/>
            <w:tcMar>
              <w:top w:w="100" w:type="dxa"/>
              <w:left w:w="110" w:type="dxa"/>
              <w:bottom w:w="100" w:type="dxa"/>
              <w:right w:w="110" w:type="dxa"/>
            </w:tcMar>
            <w:vAlign w:val="center"/>
          </w:tcPr>
          <w:p w14:paraId="4453C9B6" w14:textId="77777777" w:rsidR="000404DE" w:rsidRDefault="00000000">
            <w:r>
              <w:rPr>
                <w:sz w:val="18"/>
              </w:rPr>
              <w:t>PRISM technology, realized through the ASTOP product where applicable.</w:t>
            </w:r>
          </w:p>
        </w:tc>
      </w:tr>
      <w:tr w:rsidR="000404DE" w14:paraId="2CF882A3" w14:textId="77777777" w:rsidTr="009F4C36">
        <w:trPr>
          <w:jc w:val="center"/>
        </w:trPr>
        <w:tc>
          <w:tcPr>
            <w:tcW w:w="2695" w:type="dxa"/>
            <w:tcMar>
              <w:top w:w="100" w:type="dxa"/>
              <w:left w:w="110" w:type="dxa"/>
              <w:bottom w:w="100" w:type="dxa"/>
              <w:right w:w="110" w:type="dxa"/>
            </w:tcMar>
            <w:vAlign w:val="center"/>
          </w:tcPr>
          <w:p w14:paraId="62E63B32" w14:textId="77777777" w:rsidR="000404DE" w:rsidRDefault="00000000">
            <w:pPr>
              <w:jc w:val="center"/>
            </w:pPr>
            <w:r>
              <w:rPr>
                <w:sz w:val="18"/>
              </w:rPr>
              <w:t>Reasoning / orchestration</w:t>
            </w:r>
          </w:p>
        </w:tc>
        <w:tc>
          <w:tcPr>
            <w:tcW w:w="3260" w:type="dxa"/>
            <w:tcMar>
              <w:top w:w="100" w:type="dxa"/>
              <w:left w:w="110" w:type="dxa"/>
              <w:bottom w:w="100" w:type="dxa"/>
              <w:right w:w="110" w:type="dxa"/>
            </w:tcMar>
            <w:vAlign w:val="center"/>
          </w:tcPr>
          <w:p w14:paraId="3579D40B" w14:textId="77777777" w:rsidR="000404DE" w:rsidRDefault="00000000">
            <w:r>
              <w:rPr>
                <w:sz w:val="18"/>
              </w:rPr>
              <w:t>Agent/controller chooses actions.</w:t>
            </w:r>
          </w:p>
        </w:tc>
        <w:tc>
          <w:tcPr>
            <w:tcW w:w="3924" w:type="dxa"/>
            <w:tcMar>
              <w:top w:w="100" w:type="dxa"/>
              <w:left w:w="110" w:type="dxa"/>
              <w:bottom w:w="100" w:type="dxa"/>
              <w:right w:w="110" w:type="dxa"/>
            </w:tcMar>
            <w:vAlign w:val="center"/>
          </w:tcPr>
          <w:p w14:paraId="1DC86C89" w14:textId="77777777" w:rsidR="000404DE" w:rsidRDefault="00000000">
            <w:r>
              <w:rPr>
                <w:sz w:val="18"/>
              </w:rPr>
              <w:t>Consumes decision-facing evidence; not replaced by PRISM.</w:t>
            </w:r>
          </w:p>
        </w:tc>
      </w:tr>
      <w:tr w:rsidR="000404DE" w14:paraId="2E07E238" w14:textId="77777777" w:rsidTr="009F4C36">
        <w:trPr>
          <w:jc w:val="center"/>
        </w:trPr>
        <w:tc>
          <w:tcPr>
            <w:tcW w:w="2695" w:type="dxa"/>
            <w:tcMar>
              <w:top w:w="100" w:type="dxa"/>
              <w:left w:w="110" w:type="dxa"/>
              <w:bottom w:w="100" w:type="dxa"/>
              <w:right w:w="110" w:type="dxa"/>
            </w:tcMar>
            <w:vAlign w:val="center"/>
          </w:tcPr>
          <w:p w14:paraId="54B869E6" w14:textId="77777777" w:rsidR="000404DE" w:rsidRDefault="00000000">
            <w:pPr>
              <w:jc w:val="center"/>
            </w:pPr>
            <w:r>
              <w:rPr>
                <w:sz w:val="18"/>
              </w:rPr>
              <w:t>Framework / software stack</w:t>
            </w:r>
          </w:p>
        </w:tc>
        <w:tc>
          <w:tcPr>
            <w:tcW w:w="3260" w:type="dxa"/>
            <w:tcMar>
              <w:top w:w="100" w:type="dxa"/>
              <w:left w:w="110" w:type="dxa"/>
              <w:bottom w:w="100" w:type="dxa"/>
              <w:right w:w="110" w:type="dxa"/>
            </w:tcMar>
            <w:vAlign w:val="center"/>
          </w:tcPr>
          <w:p w14:paraId="41C38FB8" w14:textId="77777777" w:rsidR="000404DE" w:rsidRDefault="00000000">
            <w:r>
              <w:rPr>
                <w:sz w:val="18"/>
              </w:rPr>
              <w:t>Builds graphs and invokes operators.</w:t>
            </w:r>
          </w:p>
        </w:tc>
        <w:tc>
          <w:tcPr>
            <w:tcW w:w="3924" w:type="dxa"/>
            <w:tcMar>
              <w:top w:w="100" w:type="dxa"/>
              <w:left w:w="110" w:type="dxa"/>
              <w:bottom w:w="100" w:type="dxa"/>
              <w:right w:w="110" w:type="dxa"/>
            </w:tcMar>
            <w:vAlign w:val="center"/>
          </w:tcPr>
          <w:p w14:paraId="066D66A8" w14:textId="77777777" w:rsidR="000404DE" w:rsidRDefault="00000000">
            <w:r>
              <w:rPr>
                <w:sz w:val="18"/>
              </w:rPr>
              <w:t>Integration point for ALPHA Compute.</w:t>
            </w:r>
          </w:p>
        </w:tc>
      </w:tr>
      <w:tr w:rsidR="000404DE" w14:paraId="67FD3C2F" w14:textId="77777777" w:rsidTr="009F4C36">
        <w:trPr>
          <w:jc w:val="center"/>
        </w:trPr>
        <w:tc>
          <w:tcPr>
            <w:tcW w:w="2695" w:type="dxa"/>
            <w:tcMar>
              <w:top w:w="100" w:type="dxa"/>
              <w:left w:w="110" w:type="dxa"/>
              <w:bottom w:w="100" w:type="dxa"/>
              <w:right w:w="110" w:type="dxa"/>
            </w:tcMar>
            <w:vAlign w:val="center"/>
          </w:tcPr>
          <w:p w14:paraId="7F7E581B" w14:textId="77777777" w:rsidR="000404DE" w:rsidRDefault="00000000">
            <w:pPr>
              <w:jc w:val="center"/>
            </w:pPr>
            <w:r>
              <w:rPr>
                <w:sz w:val="18"/>
              </w:rPr>
              <w:t>ALPHA Compute</w:t>
            </w:r>
          </w:p>
        </w:tc>
        <w:tc>
          <w:tcPr>
            <w:tcW w:w="3260" w:type="dxa"/>
            <w:tcMar>
              <w:top w:w="100" w:type="dxa"/>
              <w:left w:w="110" w:type="dxa"/>
              <w:bottom w:w="100" w:type="dxa"/>
              <w:right w:w="110" w:type="dxa"/>
            </w:tcMar>
            <w:vAlign w:val="center"/>
          </w:tcPr>
          <w:p w14:paraId="2D06F4E0" w14:textId="77777777" w:rsidR="000404DE" w:rsidRDefault="00000000">
            <w:r>
              <w:rPr>
                <w:sz w:val="18"/>
              </w:rPr>
              <w:t>Absent in conventional stack.</w:t>
            </w:r>
          </w:p>
        </w:tc>
        <w:tc>
          <w:tcPr>
            <w:tcW w:w="3924" w:type="dxa"/>
            <w:tcMar>
              <w:top w:w="100" w:type="dxa"/>
              <w:left w:w="110" w:type="dxa"/>
              <w:bottom w:w="100" w:type="dxa"/>
              <w:right w:w="110" w:type="dxa"/>
            </w:tcMar>
            <w:vAlign w:val="center"/>
          </w:tcPr>
          <w:p w14:paraId="7EED12F5" w14:textId="77777777" w:rsidR="000404DE" w:rsidRDefault="00000000">
            <w:r>
              <w:rPr>
                <w:sz w:val="18"/>
              </w:rPr>
              <w:t>Diagnoses and transforms eligible computation; routes through existing software.</w:t>
            </w:r>
          </w:p>
        </w:tc>
      </w:tr>
      <w:tr w:rsidR="000404DE" w14:paraId="68603FFC" w14:textId="77777777" w:rsidTr="009F4C36">
        <w:trPr>
          <w:jc w:val="center"/>
        </w:trPr>
        <w:tc>
          <w:tcPr>
            <w:tcW w:w="2695" w:type="dxa"/>
            <w:tcMar>
              <w:top w:w="100" w:type="dxa"/>
              <w:left w:w="110" w:type="dxa"/>
              <w:bottom w:w="100" w:type="dxa"/>
              <w:right w:w="110" w:type="dxa"/>
            </w:tcMar>
            <w:vAlign w:val="center"/>
          </w:tcPr>
          <w:p w14:paraId="78FAC896" w14:textId="77777777" w:rsidR="000404DE" w:rsidRDefault="00000000">
            <w:pPr>
              <w:jc w:val="center"/>
            </w:pPr>
            <w:r>
              <w:rPr>
                <w:sz w:val="18"/>
              </w:rPr>
              <w:t>Libraries / solvers / compilers</w:t>
            </w:r>
          </w:p>
        </w:tc>
        <w:tc>
          <w:tcPr>
            <w:tcW w:w="3260" w:type="dxa"/>
            <w:tcMar>
              <w:top w:w="100" w:type="dxa"/>
              <w:left w:w="110" w:type="dxa"/>
              <w:bottom w:w="100" w:type="dxa"/>
              <w:right w:w="110" w:type="dxa"/>
            </w:tcMar>
            <w:vAlign w:val="center"/>
          </w:tcPr>
          <w:p w14:paraId="47EE29D0" w14:textId="77777777" w:rsidR="000404DE" w:rsidRDefault="00000000">
            <w:r>
              <w:rPr>
                <w:sz w:val="18"/>
              </w:rPr>
              <w:t>Provide optimized primitives.</w:t>
            </w:r>
          </w:p>
        </w:tc>
        <w:tc>
          <w:tcPr>
            <w:tcW w:w="3924" w:type="dxa"/>
            <w:tcMar>
              <w:top w:w="100" w:type="dxa"/>
              <w:left w:w="110" w:type="dxa"/>
              <w:bottom w:w="100" w:type="dxa"/>
              <w:right w:w="110" w:type="dxa"/>
            </w:tcMar>
            <w:vAlign w:val="center"/>
          </w:tcPr>
          <w:p w14:paraId="16C6EC34" w14:textId="77777777" w:rsidR="000404DE" w:rsidRDefault="00000000">
            <w:r>
              <w:rPr>
                <w:sz w:val="18"/>
              </w:rPr>
              <w:t>Remain part of the production path.</w:t>
            </w:r>
          </w:p>
        </w:tc>
      </w:tr>
      <w:tr w:rsidR="000404DE" w14:paraId="4A3EE01D" w14:textId="77777777" w:rsidTr="009F4C36">
        <w:trPr>
          <w:jc w:val="center"/>
        </w:trPr>
        <w:tc>
          <w:tcPr>
            <w:tcW w:w="2695" w:type="dxa"/>
            <w:tcMar>
              <w:top w:w="100" w:type="dxa"/>
              <w:left w:w="110" w:type="dxa"/>
              <w:bottom w:w="100" w:type="dxa"/>
              <w:right w:w="110" w:type="dxa"/>
            </w:tcMar>
            <w:vAlign w:val="center"/>
          </w:tcPr>
          <w:p w14:paraId="4F83901F" w14:textId="77777777" w:rsidR="000404DE" w:rsidRDefault="00000000">
            <w:pPr>
              <w:jc w:val="center"/>
            </w:pPr>
            <w:r>
              <w:rPr>
                <w:sz w:val="18"/>
              </w:rPr>
              <w:t>ALPHA Core</w:t>
            </w:r>
          </w:p>
        </w:tc>
        <w:tc>
          <w:tcPr>
            <w:tcW w:w="3260" w:type="dxa"/>
            <w:tcMar>
              <w:top w:w="100" w:type="dxa"/>
              <w:left w:w="110" w:type="dxa"/>
              <w:bottom w:w="100" w:type="dxa"/>
              <w:right w:w="110" w:type="dxa"/>
            </w:tcMar>
            <w:vAlign w:val="center"/>
          </w:tcPr>
          <w:p w14:paraId="053CCC7B" w14:textId="77777777" w:rsidR="000404DE" w:rsidRDefault="00000000">
            <w:r>
              <w:rPr>
                <w:sz w:val="18"/>
              </w:rPr>
              <w:t>Absent in conventional stack.</w:t>
            </w:r>
          </w:p>
        </w:tc>
        <w:tc>
          <w:tcPr>
            <w:tcW w:w="3924" w:type="dxa"/>
            <w:tcMar>
              <w:top w:w="100" w:type="dxa"/>
              <w:left w:w="110" w:type="dxa"/>
              <w:bottom w:w="100" w:type="dxa"/>
              <w:right w:w="110" w:type="dxa"/>
            </w:tcMar>
            <w:vAlign w:val="center"/>
          </w:tcPr>
          <w:p w14:paraId="087D4EA6" w14:textId="77777777" w:rsidR="000404DE" w:rsidRDefault="00000000">
            <w:r>
              <w:rPr>
                <w:sz w:val="18"/>
              </w:rPr>
              <w:t>Optional deeper hardware implementation/acceleration.</w:t>
            </w:r>
          </w:p>
        </w:tc>
      </w:tr>
      <w:tr w:rsidR="000404DE" w14:paraId="13B41C62" w14:textId="77777777" w:rsidTr="009F4C36">
        <w:trPr>
          <w:jc w:val="center"/>
        </w:trPr>
        <w:tc>
          <w:tcPr>
            <w:tcW w:w="2695" w:type="dxa"/>
            <w:tcMar>
              <w:top w:w="100" w:type="dxa"/>
              <w:left w:w="110" w:type="dxa"/>
              <w:bottom w:w="100" w:type="dxa"/>
              <w:right w:w="110" w:type="dxa"/>
            </w:tcMar>
            <w:vAlign w:val="center"/>
          </w:tcPr>
          <w:p w14:paraId="6928A002" w14:textId="77777777" w:rsidR="000404DE" w:rsidRPr="009F4C36" w:rsidRDefault="00000000">
            <w:pPr>
              <w:jc w:val="center"/>
              <w:rPr>
                <w:lang w:val="fr-FR"/>
              </w:rPr>
            </w:pPr>
            <w:r w:rsidRPr="009F4C36">
              <w:rPr>
                <w:sz w:val="18"/>
                <w:lang w:val="fr-FR"/>
              </w:rPr>
              <w:t>CPU/GPU/NPU/FPGA/cloud</w:t>
            </w:r>
          </w:p>
        </w:tc>
        <w:tc>
          <w:tcPr>
            <w:tcW w:w="3260" w:type="dxa"/>
            <w:tcMar>
              <w:top w:w="100" w:type="dxa"/>
              <w:left w:w="110" w:type="dxa"/>
              <w:bottom w:w="100" w:type="dxa"/>
              <w:right w:w="110" w:type="dxa"/>
            </w:tcMar>
            <w:vAlign w:val="center"/>
          </w:tcPr>
          <w:p w14:paraId="568F6702" w14:textId="77777777" w:rsidR="000404DE" w:rsidRDefault="00000000">
            <w:r>
              <w:rPr>
                <w:sz w:val="18"/>
              </w:rPr>
              <w:t>Executes work.</w:t>
            </w:r>
          </w:p>
        </w:tc>
        <w:tc>
          <w:tcPr>
            <w:tcW w:w="3924" w:type="dxa"/>
            <w:tcMar>
              <w:top w:w="100" w:type="dxa"/>
              <w:left w:w="110" w:type="dxa"/>
              <w:bottom w:w="100" w:type="dxa"/>
              <w:right w:w="110" w:type="dxa"/>
            </w:tcMar>
            <w:vAlign w:val="center"/>
          </w:tcPr>
          <w:p w14:paraId="566FA259" w14:textId="77777777" w:rsidR="000404DE" w:rsidRDefault="00000000">
            <w:r>
              <w:rPr>
                <w:sz w:val="18"/>
              </w:rPr>
              <w:t>Existing hardware can run ASTOP and ALPHA Compute; selected hardware may embed ALPHA Core.</w:t>
            </w:r>
          </w:p>
        </w:tc>
      </w:tr>
    </w:tbl>
    <w:p w14:paraId="7FB18C3A" w14:textId="77777777" w:rsidR="000404DE" w:rsidRDefault="00000000">
      <w:r>
        <w:br w:type="page"/>
      </w:r>
    </w:p>
    <w:p w14:paraId="595D88DA" w14:textId="77777777" w:rsidR="000404DE" w:rsidRDefault="00000000">
      <w:r>
        <w:rPr>
          <w:b/>
          <w:color w:val="14233C"/>
          <w:sz w:val="48"/>
        </w:rPr>
        <w:lastRenderedPageBreak/>
        <w:t>PART V — PROOF</w:t>
      </w:r>
    </w:p>
    <w:p w14:paraId="7457EFBB" w14:textId="77777777" w:rsidR="000404DE" w:rsidRDefault="00000000">
      <w:r>
        <w:rPr>
          <w:color w:val="555F6E"/>
          <w:sz w:val="24"/>
        </w:rPr>
        <w:t>From architectural possibility to reproducible industrial evidence</w:t>
      </w:r>
    </w:p>
    <w:p w14:paraId="6C94BF49" w14:textId="77777777" w:rsidR="000404DE" w:rsidRDefault="00000000">
      <w:pPr>
        <w:pStyle w:val="1"/>
      </w:pPr>
      <w:r>
        <w:t>23. Evidence-to-License Framework</w:t>
      </w:r>
    </w:p>
    <w:p w14:paraId="217B3228" w14:textId="77777777" w:rsidR="000404DE" w:rsidRDefault="00000000">
      <w:r>
        <w:t>itriX uses an Evidence-to-License Framework to prevent entity identity from being confused with proof or licensing readiness. A technology may be mathematically established while its implementation remains experimental. A product may exist while a particular technical, customer-value or licensing claim remains unproven. The status therefore attaches to the specific claim or licensed capability, not permanently to the technology or product.</w:t>
      </w:r>
    </w:p>
    <w:p w14:paraId="0E3FEBE5" w14:textId="77777777" w:rsidR="000404DE" w:rsidRDefault="00000000">
      <w:r>
        <w:t>The canonical progression is: Mathematical → Experimental → Implemented → Validated → Value-Verified → Licensable. The sequence asks progressively stronger questions: Is the property established? Can the effect be measured? Can it be implemented? Does it work against an agreed customer/system baseline? Does it create attributable value? Can production rights be responsibly granted within a defined scope? This is an evidence-and-rights discipline, not a promise that every claim must advance through every stage. The Evidence-to-License Framework defines evidentiary status; the AI-Powered Sales Platform operationalizes the customer journey that moves a qualified opportunity through the appropriate stages without overstating what has been proven.</w:t>
      </w:r>
    </w:p>
    <w:tbl>
      <w:tblPr>
        <w:tblStyle w:val="af9"/>
        <w:tblW w:w="0" w:type="auto"/>
        <w:jc w:val="center"/>
        <w:tblLook w:val="04A0" w:firstRow="1" w:lastRow="0" w:firstColumn="1" w:lastColumn="0" w:noHBand="0" w:noVBand="1"/>
      </w:tblPr>
      <w:tblGrid>
        <w:gridCol w:w="1561"/>
        <w:gridCol w:w="4153"/>
        <w:gridCol w:w="4154"/>
      </w:tblGrid>
      <w:tr w:rsidR="000404DE" w14:paraId="226E148F" w14:textId="77777777" w:rsidTr="009F4C36">
        <w:trPr>
          <w:jc w:val="center"/>
        </w:trPr>
        <w:tc>
          <w:tcPr>
            <w:tcW w:w="1561" w:type="dxa"/>
            <w:shd w:val="clear" w:color="auto" w:fill="D9E2F3"/>
            <w:tcMar>
              <w:top w:w="100" w:type="dxa"/>
              <w:left w:w="110" w:type="dxa"/>
              <w:bottom w:w="100" w:type="dxa"/>
              <w:right w:w="110" w:type="dxa"/>
            </w:tcMar>
            <w:vAlign w:val="center"/>
          </w:tcPr>
          <w:p w14:paraId="45496EFB" w14:textId="77777777" w:rsidR="000404DE" w:rsidRDefault="00000000">
            <w:r>
              <w:rPr>
                <w:sz w:val="18"/>
              </w:rPr>
              <w:t>Status</w:t>
            </w:r>
          </w:p>
        </w:tc>
        <w:tc>
          <w:tcPr>
            <w:tcW w:w="4159" w:type="dxa"/>
            <w:shd w:val="clear" w:color="auto" w:fill="D9E2F3"/>
            <w:tcMar>
              <w:top w:w="100" w:type="dxa"/>
              <w:left w:w="110" w:type="dxa"/>
              <w:bottom w:w="100" w:type="dxa"/>
              <w:right w:w="110" w:type="dxa"/>
            </w:tcMar>
            <w:vAlign w:val="center"/>
          </w:tcPr>
          <w:p w14:paraId="2D337544" w14:textId="77777777" w:rsidR="000404DE" w:rsidRDefault="00000000">
            <w:r>
              <w:rPr>
                <w:sz w:val="18"/>
              </w:rPr>
              <w:t>What it establishes</w:t>
            </w:r>
          </w:p>
        </w:tc>
        <w:tc>
          <w:tcPr>
            <w:tcW w:w="4159" w:type="dxa"/>
            <w:shd w:val="clear" w:color="auto" w:fill="D9E2F3"/>
            <w:tcMar>
              <w:top w:w="100" w:type="dxa"/>
              <w:left w:w="110" w:type="dxa"/>
              <w:bottom w:w="100" w:type="dxa"/>
              <w:right w:w="110" w:type="dxa"/>
            </w:tcMar>
            <w:vAlign w:val="center"/>
          </w:tcPr>
          <w:p w14:paraId="2A2682A1" w14:textId="77777777" w:rsidR="000404DE" w:rsidRDefault="00000000">
            <w:r>
              <w:rPr>
                <w:sz w:val="18"/>
              </w:rPr>
              <w:t>What it cannot establish alone</w:t>
            </w:r>
          </w:p>
        </w:tc>
      </w:tr>
      <w:tr w:rsidR="000404DE" w14:paraId="2D78FEB2" w14:textId="77777777" w:rsidTr="009F4C36">
        <w:trPr>
          <w:jc w:val="center"/>
        </w:trPr>
        <w:tc>
          <w:tcPr>
            <w:tcW w:w="1561" w:type="dxa"/>
            <w:tcMar>
              <w:top w:w="100" w:type="dxa"/>
              <w:left w:w="110" w:type="dxa"/>
              <w:bottom w:w="100" w:type="dxa"/>
              <w:right w:w="110" w:type="dxa"/>
            </w:tcMar>
            <w:vAlign w:val="center"/>
          </w:tcPr>
          <w:p w14:paraId="74178305" w14:textId="77777777" w:rsidR="000404DE" w:rsidRDefault="00000000">
            <w:r>
              <w:rPr>
                <w:sz w:val="18"/>
              </w:rPr>
              <w:t>Mathematical</w:t>
            </w:r>
          </w:p>
        </w:tc>
        <w:tc>
          <w:tcPr>
            <w:tcW w:w="4159" w:type="dxa"/>
            <w:tcMar>
              <w:top w:w="100" w:type="dxa"/>
              <w:left w:w="110" w:type="dxa"/>
              <w:bottom w:w="100" w:type="dxa"/>
              <w:right w:w="110" w:type="dxa"/>
            </w:tcMar>
            <w:vAlign w:val="center"/>
          </w:tcPr>
          <w:p w14:paraId="450A4530" w14:textId="77777777" w:rsidR="000404DE" w:rsidRDefault="00000000">
            <w:r>
              <w:rPr>
                <w:sz w:val="18"/>
              </w:rPr>
              <w:t>The required theorem, invariant, equivalence or structural property under stated assumptions.</w:t>
            </w:r>
          </w:p>
        </w:tc>
        <w:tc>
          <w:tcPr>
            <w:tcW w:w="4159" w:type="dxa"/>
            <w:tcMar>
              <w:top w:w="100" w:type="dxa"/>
              <w:left w:w="110" w:type="dxa"/>
              <w:bottom w:w="100" w:type="dxa"/>
              <w:right w:w="110" w:type="dxa"/>
            </w:tcMar>
            <w:vAlign w:val="center"/>
          </w:tcPr>
          <w:p w14:paraId="360D0B58" w14:textId="77777777" w:rsidR="000404DE" w:rsidRDefault="00000000">
            <w:r>
              <w:rPr>
                <w:sz w:val="18"/>
              </w:rPr>
              <w:t>Implementation feasibility, system performance, customer value or production licensing readiness.</w:t>
            </w:r>
          </w:p>
        </w:tc>
      </w:tr>
      <w:tr w:rsidR="000404DE" w14:paraId="5D3E35E1" w14:textId="77777777" w:rsidTr="009F4C36">
        <w:trPr>
          <w:jc w:val="center"/>
        </w:trPr>
        <w:tc>
          <w:tcPr>
            <w:tcW w:w="1561" w:type="dxa"/>
            <w:tcMar>
              <w:top w:w="100" w:type="dxa"/>
              <w:left w:w="110" w:type="dxa"/>
              <w:bottom w:w="100" w:type="dxa"/>
              <w:right w:w="110" w:type="dxa"/>
            </w:tcMar>
            <w:vAlign w:val="center"/>
          </w:tcPr>
          <w:p w14:paraId="15CFB055" w14:textId="77777777" w:rsidR="000404DE" w:rsidRDefault="00000000">
            <w:r>
              <w:rPr>
                <w:sz w:val="18"/>
              </w:rPr>
              <w:t>Experimental</w:t>
            </w:r>
          </w:p>
        </w:tc>
        <w:tc>
          <w:tcPr>
            <w:tcW w:w="4159" w:type="dxa"/>
            <w:tcMar>
              <w:top w:w="100" w:type="dxa"/>
              <w:left w:w="110" w:type="dxa"/>
              <w:bottom w:w="100" w:type="dxa"/>
              <w:right w:w="110" w:type="dxa"/>
            </w:tcMar>
            <w:vAlign w:val="center"/>
          </w:tcPr>
          <w:p w14:paraId="5BAC7329" w14:textId="77777777" w:rsidR="000404DE" w:rsidRDefault="00000000">
            <w:r>
              <w:rPr>
                <w:sz w:val="18"/>
              </w:rPr>
              <w:t>Measured technical behavior in a defined benchmark or configuration.</w:t>
            </w:r>
          </w:p>
        </w:tc>
        <w:tc>
          <w:tcPr>
            <w:tcW w:w="4159" w:type="dxa"/>
            <w:tcMar>
              <w:top w:w="100" w:type="dxa"/>
              <w:left w:w="110" w:type="dxa"/>
              <w:bottom w:w="100" w:type="dxa"/>
              <w:right w:w="110" w:type="dxa"/>
            </w:tcMar>
            <w:vAlign w:val="center"/>
          </w:tcPr>
          <w:p w14:paraId="01CAD446" w14:textId="77777777" w:rsidR="000404DE" w:rsidRDefault="00000000">
            <w:r>
              <w:rPr>
                <w:sz w:val="18"/>
              </w:rPr>
              <w:t>Generality beyond the tested configuration, working product implementation or customer validation.</w:t>
            </w:r>
          </w:p>
        </w:tc>
      </w:tr>
      <w:tr w:rsidR="000404DE" w14:paraId="2D02C456" w14:textId="77777777" w:rsidTr="009F4C36">
        <w:trPr>
          <w:jc w:val="center"/>
        </w:trPr>
        <w:tc>
          <w:tcPr>
            <w:tcW w:w="1561" w:type="dxa"/>
            <w:tcMar>
              <w:top w:w="100" w:type="dxa"/>
              <w:left w:w="110" w:type="dxa"/>
              <w:bottom w:w="100" w:type="dxa"/>
              <w:right w:w="110" w:type="dxa"/>
            </w:tcMar>
            <w:vAlign w:val="center"/>
          </w:tcPr>
          <w:p w14:paraId="36A5D846" w14:textId="77777777" w:rsidR="000404DE" w:rsidRDefault="00000000">
            <w:r>
              <w:rPr>
                <w:sz w:val="18"/>
              </w:rPr>
              <w:t>Implemented</w:t>
            </w:r>
          </w:p>
        </w:tc>
        <w:tc>
          <w:tcPr>
            <w:tcW w:w="4159" w:type="dxa"/>
            <w:tcMar>
              <w:top w:w="100" w:type="dxa"/>
              <w:left w:w="110" w:type="dxa"/>
              <w:bottom w:w="100" w:type="dxa"/>
              <w:right w:w="110" w:type="dxa"/>
            </w:tcMar>
            <w:vAlign w:val="center"/>
          </w:tcPr>
          <w:p w14:paraId="1366D69D" w14:textId="77777777" w:rsidR="000404DE" w:rsidRDefault="00000000">
            <w:r>
              <w:rPr>
                <w:sz w:val="18"/>
              </w:rPr>
              <w:t>A working implementation that can be exercised, integrated and evaluated.</w:t>
            </w:r>
          </w:p>
        </w:tc>
        <w:tc>
          <w:tcPr>
            <w:tcW w:w="4159" w:type="dxa"/>
            <w:tcMar>
              <w:top w:w="100" w:type="dxa"/>
              <w:left w:w="110" w:type="dxa"/>
              <w:bottom w:w="100" w:type="dxa"/>
              <w:right w:w="110" w:type="dxa"/>
            </w:tcMar>
            <w:vAlign w:val="center"/>
          </w:tcPr>
          <w:p w14:paraId="6B440F10" w14:textId="77777777" w:rsidR="000404DE" w:rsidRDefault="00000000">
            <w:r>
              <w:rPr>
                <w:sz w:val="18"/>
              </w:rPr>
              <w:t>Customer-specific validation, attributable economic value or a production license right.</w:t>
            </w:r>
          </w:p>
        </w:tc>
      </w:tr>
      <w:tr w:rsidR="000404DE" w14:paraId="655C3552" w14:textId="77777777" w:rsidTr="009F4C36">
        <w:trPr>
          <w:jc w:val="center"/>
        </w:trPr>
        <w:tc>
          <w:tcPr>
            <w:tcW w:w="1561" w:type="dxa"/>
            <w:tcMar>
              <w:top w:w="100" w:type="dxa"/>
              <w:left w:w="110" w:type="dxa"/>
              <w:bottom w:w="100" w:type="dxa"/>
              <w:right w:w="110" w:type="dxa"/>
            </w:tcMar>
            <w:vAlign w:val="center"/>
          </w:tcPr>
          <w:p w14:paraId="5E32E3E4" w14:textId="77777777" w:rsidR="000404DE" w:rsidRDefault="00000000">
            <w:r>
              <w:rPr>
                <w:sz w:val="18"/>
              </w:rPr>
              <w:t>Validated</w:t>
            </w:r>
          </w:p>
        </w:tc>
        <w:tc>
          <w:tcPr>
            <w:tcW w:w="4159" w:type="dxa"/>
            <w:tcMar>
              <w:top w:w="100" w:type="dxa"/>
              <w:left w:w="110" w:type="dxa"/>
              <w:bottom w:w="100" w:type="dxa"/>
              <w:right w:w="110" w:type="dxa"/>
            </w:tcMar>
            <w:vAlign w:val="center"/>
          </w:tcPr>
          <w:p w14:paraId="615D9B0F" w14:textId="77777777" w:rsidR="000404DE" w:rsidRDefault="00000000">
            <w:r>
              <w:rPr>
                <w:sz w:val="18"/>
              </w:rPr>
              <w:t>Successful performance against an agreed workload, environment, baseline and acceptance criterion.</w:t>
            </w:r>
          </w:p>
        </w:tc>
        <w:tc>
          <w:tcPr>
            <w:tcW w:w="4159" w:type="dxa"/>
            <w:tcMar>
              <w:top w:w="100" w:type="dxa"/>
              <w:left w:w="110" w:type="dxa"/>
              <w:bottom w:w="100" w:type="dxa"/>
              <w:right w:w="110" w:type="dxa"/>
            </w:tcMar>
            <w:vAlign w:val="center"/>
          </w:tcPr>
          <w:p w14:paraId="5F128A9B" w14:textId="77777777" w:rsidR="000404DE" w:rsidRDefault="00000000">
            <w:r>
              <w:rPr>
                <w:sz w:val="18"/>
              </w:rPr>
              <w:t>Transferability to every workload/customer or verified economic value.</w:t>
            </w:r>
          </w:p>
        </w:tc>
      </w:tr>
      <w:tr w:rsidR="000404DE" w14:paraId="193C8CAA" w14:textId="77777777" w:rsidTr="009F4C36">
        <w:trPr>
          <w:jc w:val="center"/>
        </w:trPr>
        <w:tc>
          <w:tcPr>
            <w:tcW w:w="1561" w:type="dxa"/>
            <w:tcMar>
              <w:top w:w="100" w:type="dxa"/>
              <w:left w:w="110" w:type="dxa"/>
              <w:bottom w:w="100" w:type="dxa"/>
              <w:right w:w="110" w:type="dxa"/>
            </w:tcMar>
            <w:vAlign w:val="center"/>
          </w:tcPr>
          <w:p w14:paraId="1D7682E7" w14:textId="77777777" w:rsidR="000404DE" w:rsidRDefault="00000000">
            <w:r>
              <w:rPr>
                <w:sz w:val="18"/>
              </w:rPr>
              <w:t>Value-Verified</w:t>
            </w:r>
          </w:p>
        </w:tc>
        <w:tc>
          <w:tcPr>
            <w:tcW w:w="4159" w:type="dxa"/>
            <w:tcMar>
              <w:top w:w="100" w:type="dxa"/>
              <w:left w:w="110" w:type="dxa"/>
              <w:bottom w:w="100" w:type="dxa"/>
              <w:right w:w="110" w:type="dxa"/>
            </w:tcMar>
            <w:vAlign w:val="center"/>
          </w:tcPr>
          <w:p w14:paraId="668891E9" w14:textId="77777777" w:rsidR="000404DE" w:rsidRDefault="00000000">
            <w:r>
              <w:rPr>
                <w:sz w:val="18"/>
              </w:rPr>
              <w:t>Measured and attributable customer value derived from a validated technical result.</w:t>
            </w:r>
          </w:p>
        </w:tc>
        <w:tc>
          <w:tcPr>
            <w:tcW w:w="4159" w:type="dxa"/>
            <w:tcMar>
              <w:top w:w="100" w:type="dxa"/>
              <w:left w:w="110" w:type="dxa"/>
              <w:bottom w:w="100" w:type="dxa"/>
              <w:right w:w="110" w:type="dxa"/>
            </w:tcMar>
            <w:vAlign w:val="center"/>
          </w:tcPr>
          <w:p w14:paraId="2052881D" w14:textId="77777777" w:rsidR="000404DE" w:rsidRDefault="00000000">
            <w:r>
              <w:rPr>
                <w:sz w:val="18"/>
              </w:rPr>
              <w:t>Universal economics or readiness to grant production rights without IP, scope, contract and support controls.</w:t>
            </w:r>
          </w:p>
        </w:tc>
      </w:tr>
      <w:tr w:rsidR="000404DE" w14:paraId="5BF1028C" w14:textId="77777777" w:rsidTr="009F4C36">
        <w:trPr>
          <w:jc w:val="center"/>
        </w:trPr>
        <w:tc>
          <w:tcPr>
            <w:tcW w:w="1561" w:type="dxa"/>
            <w:vAlign w:val="center"/>
          </w:tcPr>
          <w:p w14:paraId="42ED1E37" w14:textId="77777777" w:rsidR="000404DE" w:rsidRDefault="00000000">
            <w:r>
              <w:rPr>
                <w:sz w:val="18"/>
              </w:rPr>
              <w:t>Licensable</w:t>
            </w:r>
          </w:p>
        </w:tc>
        <w:tc>
          <w:tcPr>
            <w:tcW w:w="4159" w:type="dxa"/>
            <w:vAlign w:val="center"/>
          </w:tcPr>
          <w:p w14:paraId="1DACF043" w14:textId="77777777" w:rsidR="000404DE" w:rsidRDefault="00000000">
            <w:r>
              <w:rPr>
                <w:sz w:val="18"/>
              </w:rPr>
              <w:t>A defined capability for which itriX can responsibly grant production rights under controlled scope, IP, contractual and operating conditions.</w:t>
            </w:r>
          </w:p>
        </w:tc>
        <w:tc>
          <w:tcPr>
            <w:tcW w:w="4159" w:type="dxa"/>
            <w:vAlign w:val="center"/>
          </w:tcPr>
          <w:p w14:paraId="0E89EA5F" w14:textId="77777777" w:rsidR="000404DE" w:rsidRDefault="00000000">
            <w:r>
              <w:rPr>
                <w:sz w:val="18"/>
              </w:rPr>
              <w:t>Universal applicability, unrestricted rights, or guaranteed performance outside the licensed and validated boundary.</w:t>
            </w:r>
          </w:p>
        </w:tc>
      </w:tr>
    </w:tbl>
    <w:p w14:paraId="47FB8C00" w14:textId="77777777" w:rsidR="000404DE" w:rsidRDefault="00000000">
      <w:pPr>
        <w:pStyle w:val="1"/>
      </w:pPr>
      <w:r>
        <w:rPr>
          <w:rFonts w:ascii="Arial" w:hAnsi="Arial"/>
        </w:rPr>
        <w:t>24. PRISM / ASTOP Evidence</w:t>
      </w:r>
    </w:p>
    <w:p w14:paraId="1836BF5C" w14:textId="77777777" w:rsidR="000404DE" w:rsidRDefault="00000000">
      <w:r>
        <w:t>The PRISM study separates authoritative system outcome from controller self-report and gates efficiency claims on decision fidelity. In the primary M4 Max matrix, 720/720 system episodes succeeded. Controller decision fidelity was 350/360 under polling and 360/360 under PRISM. Among the 350 pairs faithful in both arms, every tested controller reduced aggregate tokens, calls and delivered bytes.</w:t>
      </w:r>
    </w:p>
    <w:tbl>
      <w:tblPr>
        <w:tblStyle w:val="af9"/>
        <w:tblW w:w="0" w:type="auto"/>
        <w:jc w:val="center"/>
        <w:tblLook w:val="04A0" w:firstRow="1" w:lastRow="0" w:firstColumn="1" w:lastColumn="0" w:noHBand="0" w:noVBand="1"/>
      </w:tblPr>
      <w:tblGrid>
        <w:gridCol w:w="1984"/>
        <w:gridCol w:w="3941"/>
        <w:gridCol w:w="3943"/>
      </w:tblGrid>
      <w:tr w:rsidR="000404DE" w14:paraId="00531C18" w14:textId="77777777" w:rsidTr="009F4C36">
        <w:trPr>
          <w:jc w:val="center"/>
        </w:trPr>
        <w:tc>
          <w:tcPr>
            <w:tcW w:w="1986" w:type="dxa"/>
            <w:shd w:val="clear" w:color="auto" w:fill="D9E2F3"/>
            <w:tcMar>
              <w:top w:w="100" w:type="dxa"/>
              <w:left w:w="110" w:type="dxa"/>
              <w:bottom w:w="100" w:type="dxa"/>
              <w:right w:w="110" w:type="dxa"/>
            </w:tcMar>
            <w:vAlign w:val="center"/>
          </w:tcPr>
          <w:p w14:paraId="0757DA5B" w14:textId="77777777" w:rsidR="000404DE" w:rsidRDefault="00000000">
            <w:pPr>
              <w:jc w:val="center"/>
            </w:pPr>
            <w:r>
              <w:rPr>
                <w:b/>
                <w:sz w:val="18"/>
              </w:rPr>
              <w:lastRenderedPageBreak/>
              <w:t>Metric</w:t>
            </w:r>
          </w:p>
        </w:tc>
        <w:tc>
          <w:tcPr>
            <w:tcW w:w="3946" w:type="dxa"/>
            <w:shd w:val="clear" w:color="auto" w:fill="D9E2F3"/>
            <w:tcMar>
              <w:top w:w="100" w:type="dxa"/>
              <w:left w:w="110" w:type="dxa"/>
              <w:bottom w:w="100" w:type="dxa"/>
              <w:right w:w="110" w:type="dxa"/>
            </w:tcMar>
            <w:vAlign w:val="center"/>
          </w:tcPr>
          <w:p w14:paraId="506095CC" w14:textId="77777777" w:rsidR="000404DE" w:rsidRDefault="00000000">
            <w:pPr>
              <w:jc w:val="center"/>
            </w:pPr>
            <w:r>
              <w:rPr>
                <w:b/>
                <w:sz w:val="18"/>
              </w:rPr>
              <w:t>Reported range / result</w:t>
            </w:r>
          </w:p>
        </w:tc>
        <w:tc>
          <w:tcPr>
            <w:tcW w:w="3947" w:type="dxa"/>
            <w:shd w:val="clear" w:color="auto" w:fill="D9E2F3"/>
            <w:tcMar>
              <w:top w:w="100" w:type="dxa"/>
              <w:left w:w="110" w:type="dxa"/>
              <w:bottom w:w="100" w:type="dxa"/>
              <w:right w:w="110" w:type="dxa"/>
            </w:tcMar>
            <w:vAlign w:val="center"/>
          </w:tcPr>
          <w:p w14:paraId="245F8A8D" w14:textId="77777777" w:rsidR="000404DE" w:rsidRDefault="00000000">
            <w:pPr>
              <w:jc w:val="center"/>
            </w:pPr>
            <w:r>
              <w:rPr>
                <w:b/>
                <w:sz w:val="18"/>
              </w:rPr>
              <w:t>Interpretation</w:t>
            </w:r>
          </w:p>
        </w:tc>
      </w:tr>
      <w:tr w:rsidR="000404DE" w14:paraId="2ADCB82F" w14:textId="77777777" w:rsidTr="009F4C36">
        <w:trPr>
          <w:jc w:val="center"/>
        </w:trPr>
        <w:tc>
          <w:tcPr>
            <w:tcW w:w="1986" w:type="dxa"/>
            <w:tcMar>
              <w:top w:w="100" w:type="dxa"/>
              <w:left w:w="110" w:type="dxa"/>
              <w:bottom w:w="100" w:type="dxa"/>
              <w:right w:w="110" w:type="dxa"/>
            </w:tcMar>
            <w:vAlign w:val="center"/>
          </w:tcPr>
          <w:p w14:paraId="0F69622B" w14:textId="77777777" w:rsidR="000404DE" w:rsidRDefault="00000000">
            <w:pPr>
              <w:jc w:val="center"/>
            </w:pPr>
            <w:r>
              <w:rPr>
                <w:sz w:val="18"/>
              </w:rPr>
              <w:t>Tokens</w:t>
            </w:r>
          </w:p>
        </w:tc>
        <w:tc>
          <w:tcPr>
            <w:tcW w:w="3946" w:type="dxa"/>
            <w:tcMar>
              <w:top w:w="100" w:type="dxa"/>
              <w:left w:w="110" w:type="dxa"/>
              <w:bottom w:w="100" w:type="dxa"/>
              <w:right w:w="110" w:type="dxa"/>
            </w:tcMar>
            <w:vAlign w:val="center"/>
          </w:tcPr>
          <w:p w14:paraId="58E7CDDC" w14:textId="77777777" w:rsidR="000404DE" w:rsidRDefault="00000000">
            <w:r>
              <w:rPr>
                <w:sz w:val="18"/>
              </w:rPr>
              <w:t>51.9–84.5% reduction across nine controller blocks</w:t>
            </w:r>
          </w:p>
        </w:tc>
        <w:tc>
          <w:tcPr>
            <w:tcW w:w="3947" w:type="dxa"/>
            <w:tcMar>
              <w:top w:w="100" w:type="dxa"/>
              <w:left w:w="110" w:type="dxa"/>
              <w:bottom w:w="100" w:type="dxa"/>
              <w:right w:w="110" w:type="dxa"/>
            </w:tcMar>
            <w:vAlign w:val="center"/>
          </w:tcPr>
          <w:p w14:paraId="4FD148A5" w14:textId="77777777" w:rsidR="000404DE" w:rsidRDefault="00000000">
            <w:r>
              <w:rPr>
                <w:sz w:val="18"/>
              </w:rPr>
              <w:t>Within-controller aggregate effect; not a model ranking.</w:t>
            </w:r>
          </w:p>
        </w:tc>
      </w:tr>
      <w:tr w:rsidR="000404DE" w14:paraId="4CF19323" w14:textId="77777777" w:rsidTr="009F4C36">
        <w:trPr>
          <w:jc w:val="center"/>
        </w:trPr>
        <w:tc>
          <w:tcPr>
            <w:tcW w:w="1986" w:type="dxa"/>
            <w:tcMar>
              <w:top w:w="100" w:type="dxa"/>
              <w:left w:w="110" w:type="dxa"/>
              <w:bottom w:w="100" w:type="dxa"/>
              <w:right w:w="110" w:type="dxa"/>
            </w:tcMar>
            <w:vAlign w:val="center"/>
          </w:tcPr>
          <w:p w14:paraId="7092BF88" w14:textId="77777777" w:rsidR="000404DE" w:rsidRDefault="00000000">
            <w:pPr>
              <w:jc w:val="center"/>
            </w:pPr>
            <w:r>
              <w:rPr>
                <w:sz w:val="18"/>
              </w:rPr>
              <w:t>Controller calls</w:t>
            </w:r>
          </w:p>
        </w:tc>
        <w:tc>
          <w:tcPr>
            <w:tcW w:w="3946" w:type="dxa"/>
            <w:tcMar>
              <w:top w:w="100" w:type="dxa"/>
              <w:left w:w="110" w:type="dxa"/>
              <w:bottom w:w="100" w:type="dxa"/>
              <w:right w:w="110" w:type="dxa"/>
            </w:tcMar>
            <w:vAlign w:val="center"/>
          </w:tcPr>
          <w:p w14:paraId="48CACA27" w14:textId="77777777" w:rsidR="000404DE" w:rsidRDefault="00000000">
            <w:r>
              <w:rPr>
                <w:sz w:val="18"/>
              </w:rPr>
              <w:t>28.0–54.0% reduction</w:t>
            </w:r>
          </w:p>
        </w:tc>
        <w:tc>
          <w:tcPr>
            <w:tcW w:w="3947" w:type="dxa"/>
            <w:tcMar>
              <w:top w:w="100" w:type="dxa"/>
              <w:left w:w="110" w:type="dxa"/>
              <w:bottom w:w="100" w:type="dxa"/>
              <w:right w:w="110" w:type="dxa"/>
            </w:tcMar>
            <w:vAlign w:val="center"/>
          </w:tcPr>
          <w:p w14:paraId="26BA1CDA" w14:textId="77777777" w:rsidR="000404DE" w:rsidRDefault="00000000">
            <w:r>
              <w:rPr>
                <w:sz w:val="18"/>
              </w:rPr>
              <w:t>Conditional on matched decision fidelity.</w:t>
            </w:r>
          </w:p>
        </w:tc>
      </w:tr>
      <w:tr w:rsidR="000404DE" w14:paraId="58D0C9D1" w14:textId="77777777" w:rsidTr="009F4C36">
        <w:trPr>
          <w:jc w:val="center"/>
        </w:trPr>
        <w:tc>
          <w:tcPr>
            <w:tcW w:w="1986" w:type="dxa"/>
            <w:tcMar>
              <w:top w:w="100" w:type="dxa"/>
              <w:left w:w="110" w:type="dxa"/>
              <w:bottom w:w="100" w:type="dxa"/>
              <w:right w:w="110" w:type="dxa"/>
            </w:tcMar>
            <w:vAlign w:val="center"/>
          </w:tcPr>
          <w:p w14:paraId="6AA68B8A" w14:textId="77777777" w:rsidR="000404DE" w:rsidRDefault="00000000">
            <w:pPr>
              <w:jc w:val="center"/>
            </w:pPr>
            <w:r>
              <w:rPr>
                <w:sz w:val="18"/>
              </w:rPr>
              <w:t>Delivered bytes</w:t>
            </w:r>
          </w:p>
        </w:tc>
        <w:tc>
          <w:tcPr>
            <w:tcW w:w="3946" w:type="dxa"/>
            <w:tcMar>
              <w:top w:w="100" w:type="dxa"/>
              <w:left w:w="110" w:type="dxa"/>
              <w:bottom w:w="100" w:type="dxa"/>
              <w:right w:w="110" w:type="dxa"/>
            </w:tcMar>
            <w:vAlign w:val="center"/>
          </w:tcPr>
          <w:p w14:paraId="12442792" w14:textId="77777777" w:rsidR="000404DE" w:rsidRDefault="00000000">
            <w:r>
              <w:rPr>
                <w:sz w:val="18"/>
              </w:rPr>
              <w:t>76.0–89.5% reduction</w:t>
            </w:r>
          </w:p>
        </w:tc>
        <w:tc>
          <w:tcPr>
            <w:tcW w:w="3947" w:type="dxa"/>
            <w:tcMar>
              <w:top w:w="100" w:type="dxa"/>
              <w:left w:w="110" w:type="dxa"/>
              <w:bottom w:w="100" w:type="dxa"/>
              <w:right w:w="110" w:type="dxa"/>
            </w:tcMar>
            <w:vAlign w:val="center"/>
          </w:tcPr>
          <w:p w14:paraId="5BAEB7DF" w14:textId="77777777" w:rsidR="000404DE" w:rsidRDefault="00000000">
            <w:r>
              <w:rPr>
                <w:sz w:val="18"/>
              </w:rPr>
              <w:t>Does not imply every individual event is smaller.</w:t>
            </w:r>
          </w:p>
        </w:tc>
      </w:tr>
      <w:tr w:rsidR="000404DE" w14:paraId="69C189C0" w14:textId="77777777" w:rsidTr="009F4C36">
        <w:trPr>
          <w:jc w:val="center"/>
        </w:trPr>
        <w:tc>
          <w:tcPr>
            <w:tcW w:w="1986" w:type="dxa"/>
            <w:tcMar>
              <w:top w:w="100" w:type="dxa"/>
              <w:left w:w="110" w:type="dxa"/>
              <w:bottom w:w="100" w:type="dxa"/>
              <w:right w:w="110" w:type="dxa"/>
            </w:tcMar>
            <w:vAlign w:val="center"/>
          </w:tcPr>
          <w:p w14:paraId="5CDB2EAA" w14:textId="77777777" w:rsidR="000404DE" w:rsidRDefault="00000000">
            <w:pPr>
              <w:jc w:val="center"/>
            </w:pPr>
            <w:r>
              <w:rPr>
                <w:sz w:val="18"/>
              </w:rPr>
              <w:t>System outcome</w:t>
            </w:r>
          </w:p>
        </w:tc>
        <w:tc>
          <w:tcPr>
            <w:tcW w:w="3946" w:type="dxa"/>
            <w:tcMar>
              <w:top w:w="100" w:type="dxa"/>
              <w:left w:w="110" w:type="dxa"/>
              <w:bottom w:w="100" w:type="dxa"/>
              <w:right w:w="110" w:type="dxa"/>
            </w:tcMar>
            <w:vAlign w:val="center"/>
          </w:tcPr>
          <w:p w14:paraId="5F9A247F" w14:textId="77777777" w:rsidR="000404DE" w:rsidRDefault="00000000">
            <w:r>
              <w:rPr>
                <w:sz w:val="18"/>
              </w:rPr>
              <w:t>720/720 primary episodes succeeded</w:t>
            </w:r>
          </w:p>
        </w:tc>
        <w:tc>
          <w:tcPr>
            <w:tcW w:w="3947" w:type="dxa"/>
            <w:tcMar>
              <w:top w:w="100" w:type="dxa"/>
              <w:left w:w="110" w:type="dxa"/>
              <w:bottom w:w="100" w:type="dxa"/>
              <w:right w:w="110" w:type="dxa"/>
            </w:tcMar>
            <w:vAlign w:val="center"/>
          </w:tcPr>
          <w:p w14:paraId="3776F5D4" w14:textId="77777777" w:rsidR="000404DE" w:rsidRDefault="00000000">
            <w:r>
              <w:rPr>
                <w:sz w:val="18"/>
              </w:rPr>
              <w:t>Authoritative workload result, separated from controller self-report.</w:t>
            </w:r>
          </w:p>
        </w:tc>
      </w:tr>
      <w:tr w:rsidR="000404DE" w14:paraId="2C40BFA3" w14:textId="77777777" w:rsidTr="009F4C36">
        <w:trPr>
          <w:jc w:val="center"/>
        </w:trPr>
        <w:tc>
          <w:tcPr>
            <w:tcW w:w="1986" w:type="dxa"/>
            <w:tcMar>
              <w:top w:w="100" w:type="dxa"/>
              <w:left w:w="110" w:type="dxa"/>
              <w:bottom w:w="100" w:type="dxa"/>
              <w:right w:w="110" w:type="dxa"/>
            </w:tcMar>
            <w:vAlign w:val="center"/>
          </w:tcPr>
          <w:p w14:paraId="40CE6C62" w14:textId="77777777" w:rsidR="000404DE" w:rsidRDefault="00000000">
            <w:pPr>
              <w:jc w:val="center"/>
            </w:pPr>
            <w:r>
              <w:rPr>
                <w:sz w:val="18"/>
              </w:rPr>
              <w:t>Decision fidelity</w:t>
            </w:r>
          </w:p>
        </w:tc>
        <w:tc>
          <w:tcPr>
            <w:tcW w:w="3946" w:type="dxa"/>
            <w:tcMar>
              <w:top w:w="100" w:type="dxa"/>
              <w:left w:w="110" w:type="dxa"/>
              <w:bottom w:w="100" w:type="dxa"/>
              <w:right w:w="110" w:type="dxa"/>
            </w:tcMar>
            <w:vAlign w:val="center"/>
          </w:tcPr>
          <w:p w14:paraId="4A20B914" w14:textId="77777777" w:rsidR="000404DE" w:rsidRDefault="00000000">
            <w:r>
              <w:rPr>
                <w:sz w:val="18"/>
              </w:rPr>
              <w:t>Polling 350/360; PRISM 360/360</w:t>
            </w:r>
          </w:p>
        </w:tc>
        <w:tc>
          <w:tcPr>
            <w:tcW w:w="3947" w:type="dxa"/>
            <w:tcMar>
              <w:top w:w="100" w:type="dxa"/>
              <w:left w:w="110" w:type="dxa"/>
              <w:bottom w:w="100" w:type="dxa"/>
              <w:right w:w="110" w:type="dxa"/>
            </w:tcMar>
            <w:vAlign w:val="center"/>
          </w:tcPr>
          <w:p w14:paraId="6469070F" w14:textId="77777777" w:rsidR="000404DE" w:rsidRDefault="00000000">
            <w:r>
              <w:rPr>
                <w:sz w:val="18"/>
              </w:rPr>
              <w:t>Decision quality precedes efficiency claims.</w:t>
            </w:r>
          </w:p>
        </w:tc>
      </w:tr>
    </w:tbl>
    <w:p w14:paraId="4B04AD5A" w14:textId="77777777" w:rsidR="000404DE" w:rsidRDefault="00000000">
      <w:r>
        <w:t>Counterexamples are part of the claim boundary. Dense SGD produced more semantic notifications than polling. Rust-build semantic envelopes could be larger despite fewer calls. Shorter input could induce more generated reasoning. Therefore PRISM does not claim universal componentwise dominance.</w:t>
      </w:r>
    </w:p>
    <w:p w14:paraId="0D7B2712" w14:textId="77777777" w:rsidR="000404DE" w:rsidRDefault="00000000">
      <w:r>
        <w:rPr>
          <w:i/>
          <w:color w:val="646464"/>
          <w:sz w:val="17"/>
        </w:rPr>
        <w:t>Source basis: PRISM paper and advisor briefing, 2026.</w:t>
      </w:r>
    </w:p>
    <w:p w14:paraId="48969B0E" w14:textId="77777777" w:rsidR="000404DE" w:rsidRDefault="00000000">
      <w:pPr>
        <w:pStyle w:val="1"/>
      </w:pPr>
      <w:r>
        <w:rPr>
          <w:rFonts w:ascii="Arial" w:hAnsi="Arial"/>
        </w:rPr>
        <w:t>25. Technology-Specific Go / No-Go Gates</w:t>
      </w:r>
    </w:p>
    <w:p w14:paraId="54C746CB" w14:textId="77777777" w:rsidR="000404DE" w:rsidRDefault="00000000">
      <w:pPr>
        <w:pStyle w:val="21"/>
      </w:pPr>
      <w:r>
        <w:rPr>
          <w:rFonts w:ascii="Arial" w:hAnsi="Arial"/>
        </w:rPr>
        <w:t>25.1 AXIOM / AXIOM-TENSOR</w:t>
      </w:r>
    </w:p>
    <w:p w14:paraId="7BF3CA5C" w14:textId="77777777" w:rsidR="000404DE" w:rsidRDefault="00000000">
      <w:pPr>
        <w:pStyle w:val="a0"/>
      </w:pPr>
      <w:r>
        <w:t>Identify exact algebra/operator structure and selected mode.</w:t>
      </w:r>
    </w:p>
    <w:p w14:paraId="52A72BD9" w14:textId="77777777" w:rsidR="000404DE" w:rsidRDefault="00000000">
      <w:pPr>
        <w:pStyle w:val="a0"/>
      </w:pPr>
      <w:r>
        <w:t>Separate exact representation from reduced-budget approximation.</w:t>
      </w:r>
    </w:p>
    <w:p w14:paraId="724A0A8E" w14:textId="77777777" w:rsidR="000404DE" w:rsidRDefault="00000000">
      <w:pPr>
        <w:pStyle w:val="a0"/>
      </w:pPr>
      <w:r>
        <w:t>Separate selected operator/layer evidence from sequential or full-model evidence.</w:t>
      </w:r>
    </w:p>
    <w:p w14:paraId="1D83EAEA" w14:textId="77777777" w:rsidR="000404DE" w:rsidRDefault="00000000">
      <w:pPr>
        <w:pStyle w:val="a0"/>
      </w:pPr>
      <w:r>
        <w:t>Measure representation size separately from execution memory and runtime.</w:t>
      </w:r>
    </w:p>
    <w:p w14:paraId="68D7DA43" w14:textId="77777777" w:rsidR="000404DE" w:rsidRDefault="00000000">
      <w:pPr>
        <w:pStyle w:val="21"/>
      </w:pPr>
      <w:r>
        <w:rPr>
          <w:rFonts w:ascii="Arial" w:hAnsi="Arial"/>
        </w:rPr>
        <w:t>25.2 CRE</w:t>
      </w:r>
    </w:p>
    <w:p w14:paraId="3BDD3294" w14:textId="77777777" w:rsidR="000404DE" w:rsidRDefault="00000000">
      <w:pPr>
        <w:pStyle w:val="a0"/>
      </w:pPr>
      <w:r>
        <w:t>Confirm complex/Hermitian eligibility and HPD/SPD conditions for the intended route.</w:t>
      </w:r>
    </w:p>
    <w:p w14:paraId="2FEA235F" w14:textId="77777777" w:rsidR="000404DE" w:rsidRDefault="00000000">
      <w:pPr>
        <w:pStyle w:val="a0"/>
      </w:pPr>
      <w:r>
        <w:t>Record matrix/operator size, precision, hardware and materialized vs implicit execution.</w:t>
      </w:r>
    </w:p>
    <w:p w14:paraId="445BB18D" w14:textId="77777777" w:rsidR="000404DE" w:rsidRDefault="00000000">
      <w:pPr>
        <w:pStyle w:val="a0"/>
      </w:pPr>
      <w:r>
        <w:t>Measure residual/conditioning and all transformation/reconstruction overhead.</w:t>
      </w:r>
    </w:p>
    <w:p w14:paraId="0CB7575A" w14:textId="77777777" w:rsidR="000404DE" w:rsidRDefault="00000000">
      <w:pPr>
        <w:pStyle w:val="21"/>
      </w:pPr>
      <w:r>
        <w:rPr>
          <w:rFonts w:ascii="Arial" w:hAnsi="Arial"/>
        </w:rPr>
        <w:t>25.3 FQNM</w:t>
      </w:r>
    </w:p>
    <w:p w14:paraId="709EC519" w14:textId="77777777" w:rsidR="000404DE" w:rsidRDefault="00000000">
      <w:pPr>
        <w:pStyle w:val="a0"/>
      </w:pPr>
      <w:r>
        <w:t>Confirm conservative problem structure and validated scope.</w:t>
      </w:r>
    </w:p>
    <w:p w14:paraId="15FC5322" w14:textId="77777777" w:rsidR="000404DE" w:rsidRDefault="00000000">
      <w:pPr>
        <w:pStyle w:val="a0"/>
      </w:pPr>
      <w:r>
        <w:t>Record quantisation, spatial/temporal conditions, integer dtype/range and overflow strategy.</w:t>
      </w:r>
    </w:p>
    <w:p w14:paraId="0C0E0D5B" w14:textId="77777777" w:rsidR="000404DE" w:rsidRDefault="00000000">
      <w:pPr>
        <w:pStyle w:val="a0"/>
      </w:pPr>
      <w:r>
        <w:t>Define conserved quantity and boundary conditions; measure accuracy, conservation, runtime and reproducibility.</w:t>
      </w:r>
    </w:p>
    <w:p w14:paraId="122312E9" w14:textId="77777777" w:rsidR="000404DE" w:rsidRDefault="00000000">
      <w:pPr>
        <w:pStyle w:val="21"/>
      </w:pPr>
      <w:r>
        <w:rPr>
          <w:rFonts w:ascii="Arial" w:hAnsi="Arial"/>
        </w:rPr>
        <w:t>25.4 QNTA</w:t>
      </w:r>
    </w:p>
    <w:p w14:paraId="6699269F" w14:textId="77777777" w:rsidR="000404DE" w:rsidRDefault="00000000">
      <w:pPr>
        <w:pStyle w:val="a0"/>
      </w:pPr>
      <w:r>
        <w:t>Define learning task, TF/TB/TU contract, state, precision and operator set.</w:t>
      </w:r>
    </w:p>
    <w:p w14:paraId="1C6B8186" w14:textId="77777777" w:rsidR="000404DE" w:rsidRDefault="00000000">
      <w:pPr>
        <w:pStyle w:val="a0"/>
      </w:pPr>
      <w:r>
        <w:t>Verify runtime/device eligibility, residency and fallback behavior.</w:t>
      </w:r>
    </w:p>
    <w:p w14:paraId="6354AA66" w14:textId="77777777" w:rsidR="000404DE" w:rsidRDefault="00000000">
      <w:pPr>
        <w:pStyle w:val="a0"/>
      </w:pPr>
      <w:r>
        <w:t>Measure convergence/accuracy, memory/state transfer, latency/throughput and energy only where reliable.</w:t>
      </w:r>
    </w:p>
    <w:p w14:paraId="4219F827" w14:textId="77777777" w:rsidR="000404DE" w:rsidRDefault="00000000">
      <w:pPr>
        <w:pStyle w:val="a0"/>
      </w:pPr>
      <w:r>
        <w:t>Never generalize a small learning demonstration to universal NPU training.</w:t>
      </w:r>
    </w:p>
    <w:p w14:paraId="7951B5A0" w14:textId="77777777" w:rsidR="000404DE" w:rsidRDefault="00000000">
      <w:pPr>
        <w:pStyle w:val="1"/>
      </w:pPr>
      <w:r>
        <w:rPr>
          <w:rFonts w:ascii="Arial" w:hAnsi="Arial"/>
        </w:rPr>
        <w:lastRenderedPageBreak/>
        <w:t>26. Benchmark and Validation Protocol</w:t>
      </w:r>
    </w:p>
    <w:p w14:paraId="4EB1A393" w14:textId="77777777" w:rsidR="000404DE" w:rsidRDefault="00000000">
      <w:r>
        <w:t>Before any PoC, freeze the workload, baseline, hardware, software versions, precision, transformation or projection mode, acceptance criteria and measurement period. A result is only reproducible when the compared configurations are stable and auditable.</w:t>
      </w:r>
    </w:p>
    <w:tbl>
      <w:tblPr>
        <w:tblStyle w:val="af9"/>
        <w:tblW w:w="0" w:type="auto"/>
        <w:jc w:val="center"/>
        <w:tblLook w:val="04A0" w:firstRow="1" w:lastRow="0" w:firstColumn="1" w:lastColumn="0" w:noHBand="0" w:noVBand="1"/>
      </w:tblPr>
      <w:tblGrid>
        <w:gridCol w:w="2692"/>
        <w:gridCol w:w="3588"/>
        <w:gridCol w:w="3588"/>
      </w:tblGrid>
      <w:tr w:rsidR="000404DE" w14:paraId="27BAFAB6" w14:textId="77777777" w:rsidTr="009F4C36">
        <w:trPr>
          <w:jc w:val="center"/>
        </w:trPr>
        <w:tc>
          <w:tcPr>
            <w:tcW w:w="2695" w:type="dxa"/>
            <w:shd w:val="clear" w:color="auto" w:fill="D9E2F3"/>
            <w:tcMar>
              <w:top w:w="100" w:type="dxa"/>
              <w:left w:w="110" w:type="dxa"/>
              <w:bottom w:w="100" w:type="dxa"/>
              <w:right w:w="110" w:type="dxa"/>
            </w:tcMar>
            <w:vAlign w:val="center"/>
          </w:tcPr>
          <w:p w14:paraId="0FDD2056" w14:textId="77777777" w:rsidR="000404DE" w:rsidRDefault="00000000">
            <w:pPr>
              <w:jc w:val="center"/>
            </w:pPr>
            <w:r>
              <w:rPr>
                <w:b/>
                <w:sz w:val="18"/>
              </w:rPr>
              <w:t>Category</w:t>
            </w:r>
          </w:p>
        </w:tc>
        <w:tc>
          <w:tcPr>
            <w:tcW w:w="3592" w:type="dxa"/>
            <w:shd w:val="clear" w:color="auto" w:fill="D9E2F3"/>
            <w:tcMar>
              <w:top w:w="100" w:type="dxa"/>
              <w:left w:w="110" w:type="dxa"/>
              <w:bottom w:w="100" w:type="dxa"/>
              <w:right w:w="110" w:type="dxa"/>
            </w:tcMar>
            <w:vAlign w:val="center"/>
          </w:tcPr>
          <w:p w14:paraId="312E463B" w14:textId="77777777" w:rsidR="000404DE" w:rsidRDefault="00000000">
            <w:pPr>
              <w:jc w:val="center"/>
            </w:pPr>
            <w:r>
              <w:rPr>
                <w:b/>
                <w:sz w:val="18"/>
              </w:rPr>
              <w:t>Examples</w:t>
            </w:r>
          </w:p>
        </w:tc>
        <w:tc>
          <w:tcPr>
            <w:tcW w:w="3592" w:type="dxa"/>
            <w:shd w:val="clear" w:color="auto" w:fill="D9E2F3"/>
            <w:tcMar>
              <w:top w:w="100" w:type="dxa"/>
              <w:left w:w="110" w:type="dxa"/>
              <w:bottom w:w="100" w:type="dxa"/>
              <w:right w:w="110" w:type="dxa"/>
            </w:tcMar>
            <w:vAlign w:val="center"/>
          </w:tcPr>
          <w:p w14:paraId="574907BE" w14:textId="77777777" w:rsidR="000404DE" w:rsidRDefault="00000000">
            <w:pPr>
              <w:jc w:val="center"/>
            </w:pPr>
            <w:r>
              <w:rPr>
                <w:b/>
                <w:sz w:val="18"/>
              </w:rPr>
              <w:t>Why it matters</w:t>
            </w:r>
          </w:p>
        </w:tc>
      </w:tr>
      <w:tr w:rsidR="000404DE" w14:paraId="192B4031" w14:textId="77777777" w:rsidTr="009F4C36">
        <w:trPr>
          <w:jc w:val="center"/>
        </w:trPr>
        <w:tc>
          <w:tcPr>
            <w:tcW w:w="2695" w:type="dxa"/>
            <w:tcMar>
              <w:top w:w="100" w:type="dxa"/>
              <w:left w:w="110" w:type="dxa"/>
              <w:bottom w:w="100" w:type="dxa"/>
              <w:right w:w="110" w:type="dxa"/>
            </w:tcMar>
            <w:vAlign w:val="center"/>
          </w:tcPr>
          <w:p w14:paraId="4B30E72B" w14:textId="77777777" w:rsidR="000404DE" w:rsidRDefault="00000000">
            <w:pPr>
              <w:jc w:val="center"/>
            </w:pPr>
            <w:r>
              <w:rPr>
                <w:sz w:val="18"/>
              </w:rPr>
              <w:t>Observation / projection overhead</w:t>
            </w:r>
          </w:p>
        </w:tc>
        <w:tc>
          <w:tcPr>
            <w:tcW w:w="3592" w:type="dxa"/>
            <w:tcMar>
              <w:top w:w="100" w:type="dxa"/>
              <w:left w:w="110" w:type="dxa"/>
              <w:bottom w:w="100" w:type="dxa"/>
              <w:right w:w="110" w:type="dxa"/>
            </w:tcMar>
            <w:vAlign w:val="center"/>
          </w:tcPr>
          <w:p w14:paraId="2E21284D" w14:textId="77777777" w:rsidR="000404DE" w:rsidRDefault="00000000">
            <w:r>
              <w:rPr>
                <w:sz w:val="18"/>
              </w:rPr>
              <w:t>Sampling, parsing, server cost, event encoding.</w:t>
            </w:r>
          </w:p>
        </w:tc>
        <w:tc>
          <w:tcPr>
            <w:tcW w:w="3592" w:type="dxa"/>
            <w:tcMar>
              <w:top w:w="100" w:type="dxa"/>
              <w:left w:w="110" w:type="dxa"/>
              <w:bottom w:w="100" w:type="dxa"/>
              <w:right w:w="110" w:type="dxa"/>
            </w:tcMar>
            <w:vAlign w:val="center"/>
          </w:tcPr>
          <w:p w14:paraId="4913D6FB" w14:textId="77777777" w:rsidR="000404DE" w:rsidRDefault="00000000">
            <w:r>
              <w:rPr>
                <w:sz w:val="18"/>
              </w:rPr>
              <w:t>ASTOP/PRISM savings must be net of observer-service cost for total-system claims.</w:t>
            </w:r>
          </w:p>
        </w:tc>
      </w:tr>
      <w:tr w:rsidR="000404DE" w14:paraId="1E4D5C94" w14:textId="77777777" w:rsidTr="009F4C36">
        <w:trPr>
          <w:jc w:val="center"/>
        </w:trPr>
        <w:tc>
          <w:tcPr>
            <w:tcW w:w="2695" w:type="dxa"/>
            <w:tcMar>
              <w:top w:w="100" w:type="dxa"/>
              <w:left w:w="110" w:type="dxa"/>
              <w:bottom w:w="100" w:type="dxa"/>
              <w:right w:w="110" w:type="dxa"/>
            </w:tcMar>
            <w:vAlign w:val="center"/>
          </w:tcPr>
          <w:p w14:paraId="2B4A4595" w14:textId="77777777" w:rsidR="000404DE" w:rsidRDefault="00000000">
            <w:pPr>
              <w:jc w:val="center"/>
            </w:pPr>
            <w:r>
              <w:rPr>
                <w:sz w:val="18"/>
              </w:rPr>
              <w:t>Transformation overhead</w:t>
            </w:r>
          </w:p>
        </w:tc>
        <w:tc>
          <w:tcPr>
            <w:tcW w:w="3592" w:type="dxa"/>
            <w:tcMar>
              <w:top w:w="100" w:type="dxa"/>
              <w:left w:w="110" w:type="dxa"/>
              <w:bottom w:w="100" w:type="dxa"/>
              <w:right w:w="110" w:type="dxa"/>
            </w:tcMar>
            <w:vAlign w:val="center"/>
          </w:tcPr>
          <w:p w14:paraId="5B5C3E4B" w14:textId="77777777" w:rsidR="000404DE" w:rsidRDefault="00000000">
            <w:r>
              <w:rPr>
                <w:sz w:val="18"/>
              </w:rPr>
              <w:t>Compilation, embedding, fitting, quantisation, reconstruction.</w:t>
            </w:r>
          </w:p>
        </w:tc>
        <w:tc>
          <w:tcPr>
            <w:tcW w:w="3592" w:type="dxa"/>
            <w:tcMar>
              <w:top w:w="100" w:type="dxa"/>
              <w:left w:w="110" w:type="dxa"/>
              <w:bottom w:w="100" w:type="dxa"/>
              <w:right w:w="110" w:type="dxa"/>
            </w:tcMar>
            <w:vAlign w:val="center"/>
          </w:tcPr>
          <w:p w14:paraId="7CCEA2ED" w14:textId="77777777" w:rsidR="000404DE" w:rsidRDefault="00000000">
            <w:r>
              <w:rPr>
                <w:sz w:val="18"/>
              </w:rPr>
              <w:t>A better representation can still lose if setup dominates.</w:t>
            </w:r>
          </w:p>
        </w:tc>
      </w:tr>
      <w:tr w:rsidR="000404DE" w14:paraId="0E1BED14" w14:textId="77777777" w:rsidTr="009F4C36">
        <w:trPr>
          <w:jc w:val="center"/>
        </w:trPr>
        <w:tc>
          <w:tcPr>
            <w:tcW w:w="2695" w:type="dxa"/>
            <w:tcMar>
              <w:top w:w="100" w:type="dxa"/>
              <w:left w:w="110" w:type="dxa"/>
              <w:bottom w:w="100" w:type="dxa"/>
              <w:right w:w="110" w:type="dxa"/>
            </w:tcMar>
            <w:vAlign w:val="center"/>
          </w:tcPr>
          <w:p w14:paraId="18E5649F" w14:textId="77777777" w:rsidR="000404DE" w:rsidRDefault="00000000">
            <w:pPr>
              <w:jc w:val="center"/>
            </w:pPr>
            <w:r>
              <w:rPr>
                <w:sz w:val="18"/>
              </w:rPr>
              <w:t>Execution / reasoning</w:t>
            </w:r>
          </w:p>
        </w:tc>
        <w:tc>
          <w:tcPr>
            <w:tcW w:w="3592" w:type="dxa"/>
            <w:tcMar>
              <w:top w:w="100" w:type="dxa"/>
              <w:left w:w="110" w:type="dxa"/>
              <w:bottom w:w="100" w:type="dxa"/>
              <w:right w:w="110" w:type="dxa"/>
            </w:tcMar>
            <w:vAlign w:val="center"/>
          </w:tcPr>
          <w:p w14:paraId="3351ECD9" w14:textId="77777777" w:rsidR="000404DE" w:rsidRDefault="00000000">
            <w:r>
              <w:rPr>
                <w:sz w:val="18"/>
              </w:rPr>
              <w:t>Runtime, calls, prompt tokens, completion tokens, throughput.</w:t>
            </w:r>
          </w:p>
        </w:tc>
        <w:tc>
          <w:tcPr>
            <w:tcW w:w="3592" w:type="dxa"/>
            <w:tcMar>
              <w:top w:w="100" w:type="dxa"/>
              <w:left w:w="110" w:type="dxa"/>
              <w:bottom w:w="100" w:type="dxa"/>
              <w:right w:w="110" w:type="dxa"/>
            </w:tcMar>
            <w:vAlign w:val="center"/>
          </w:tcPr>
          <w:p w14:paraId="68F80670" w14:textId="77777777" w:rsidR="000404DE" w:rsidRDefault="00000000">
            <w:r>
              <w:rPr>
                <w:sz w:val="18"/>
              </w:rPr>
              <w:t>Measures operational effect.</w:t>
            </w:r>
          </w:p>
        </w:tc>
      </w:tr>
      <w:tr w:rsidR="000404DE" w14:paraId="2FB06580" w14:textId="77777777" w:rsidTr="009F4C36">
        <w:trPr>
          <w:jc w:val="center"/>
        </w:trPr>
        <w:tc>
          <w:tcPr>
            <w:tcW w:w="2695" w:type="dxa"/>
            <w:tcMar>
              <w:top w:w="100" w:type="dxa"/>
              <w:left w:w="110" w:type="dxa"/>
              <w:bottom w:w="100" w:type="dxa"/>
              <w:right w:w="110" w:type="dxa"/>
            </w:tcMar>
            <w:vAlign w:val="center"/>
          </w:tcPr>
          <w:p w14:paraId="6062CB71" w14:textId="77777777" w:rsidR="000404DE" w:rsidRDefault="00000000">
            <w:pPr>
              <w:jc w:val="center"/>
            </w:pPr>
            <w:r>
              <w:rPr>
                <w:sz w:val="18"/>
              </w:rPr>
              <w:t>Memory / movement</w:t>
            </w:r>
          </w:p>
        </w:tc>
        <w:tc>
          <w:tcPr>
            <w:tcW w:w="3592" w:type="dxa"/>
            <w:tcMar>
              <w:top w:w="100" w:type="dxa"/>
              <w:left w:w="110" w:type="dxa"/>
              <w:bottom w:w="100" w:type="dxa"/>
              <w:right w:w="110" w:type="dxa"/>
            </w:tcMar>
            <w:vAlign w:val="center"/>
          </w:tcPr>
          <w:p w14:paraId="49238A36" w14:textId="77777777" w:rsidR="000404DE" w:rsidRDefault="00000000">
            <w:r>
              <w:rPr>
                <w:sz w:val="18"/>
              </w:rPr>
              <w:t>Peak memory, materialization, transfer time, traffic proxy.</w:t>
            </w:r>
          </w:p>
        </w:tc>
        <w:tc>
          <w:tcPr>
            <w:tcW w:w="3592" w:type="dxa"/>
            <w:tcMar>
              <w:top w:w="100" w:type="dxa"/>
              <w:left w:w="110" w:type="dxa"/>
              <w:bottom w:w="100" w:type="dxa"/>
              <w:right w:w="110" w:type="dxa"/>
            </w:tcMar>
            <w:vAlign w:val="center"/>
          </w:tcPr>
          <w:p w14:paraId="737A237D" w14:textId="77777777" w:rsidR="000404DE" w:rsidRDefault="00000000">
            <w:r>
              <w:rPr>
                <w:sz w:val="18"/>
              </w:rPr>
              <w:t>Captures costs arithmetic counts miss.</w:t>
            </w:r>
          </w:p>
        </w:tc>
      </w:tr>
      <w:tr w:rsidR="000404DE" w14:paraId="5FABD24C" w14:textId="77777777" w:rsidTr="009F4C36">
        <w:trPr>
          <w:jc w:val="center"/>
        </w:trPr>
        <w:tc>
          <w:tcPr>
            <w:tcW w:w="2695" w:type="dxa"/>
            <w:tcMar>
              <w:top w:w="100" w:type="dxa"/>
              <w:left w:w="110" w:type="dxa"/>
              <w:bottom w:w="100" w:type="dxa"/>
              <w:right w:w="110" w:type="dxa"/>
            </w:tcMar>
            <w:vAlign w:val="center"/>
          </w:tcPr>
          <w:p w14:paraId="1D32B957" w14:textId="77777777" w:rsidR="000404DE" w:rsidRDefault="00000000">
            <w:pPr>
              <w:jc w:val="center"/>
            </w:pPr>
            <w:r>
              <w:rPr>
                <w:sz w:val="18"/>
              </w:rPr>
              <w:t>Correctness / fidelity</w:t>
            </w:r>
          </w:p>
        </w:tc>
        <w:tc>
          <w:tcPr>
            <w:tcW w:w="3592" w:type="dxa"/>
            <w:tcMar>
              <w:top w:w="100" w:type="dxa"/>
              <w:left w:w="110" w:type="dxa"/>
              <w:bottom w:w="100" w:type="dxa"/>
              <w:right w:w="110" w:type="dxa"/>
            </w:tcMar>
            <w:vAlign w:val="center"/>
          </w:tcPr>
          <w:p w14:paraId="3DFD1047" w14:textId="77777777" w:rsidR="000404DE" w:rsidRDefault="00000000">
            <w:r>
              <w:rPr>
                <w:sz w:val="18"/>
              </w:rPr>
              <w:t>Decision fidelity, residual, equivalence, conservation, convergence.</w:t>
            </w:r>
          </w:p>
        </w:tc>
        <w:tc>
          <w:tcPr>
            <w:tcW w:w="3592" w:type="dxa"/>
            <w:tcMar>
              <w:top w:w="100" w:type="dxa"/>
              <w:left w:w="110" w:type="dxa"/>
              <w:bottom w:w="100" w:type="dxa"/>
              <w:right w:w="110" w:type="dxa"/>
            </w:tcMar>
            <w:vAlign w:val="center"/>
          </w:tcPr>
          <w:p w14:paraId="30664D2F" w14:textId="77777777" w:rsidR="000404DE" w:rsidRDefault="00000000">
            <w:r>
              <w:rPr>
                <w:sz w:val="18"/>
              </w:rPr>
              <w:t>Ensures the intended problem is still being solved.</w:t>
            </w:r>
          </w:p>
        </w:tc>
      </w:tr>
      <w:tr w:rsidR="000404DE" w14:paraId="00CB3A8C" w14:textId="77777777" w:rsidTr="009F4C36">
        <w:trPr>
          <w:jc w:val="center"/>
        </w:trPr>
        <w:tc>
          <w:tcPr>
            <w:tcW w:w="2695" w:type="dxa"/>
            <w:tcMar>
              <w:top w:w="100" w:type="dxa"/>
              <w:left w:w="110" w:type="dxa"/>
              <w:bottom w:w="100" w:type="dxa"/>
              <w:right w:w="110" w:type="dxa"/>
            </w:tcMar>
            <w:vAlign w:val="center"/>
          </w:tcPr>
          <w:p w14:paraId="5DAF9FB9" w14:textId="77777777" w:rsidR="000404DE" w:rsidRDefault="00000000">
            <w:pPr>
              <w:jc w:val="center"/>
            </w:pPr>
            <w:r>
              <w:rPr>
                <w:sz w:val="18"/>
              </w:rPr>
              <w:t>Energy</w:t>
            </w:r>
          </w:p>
        </w:tc>
        <w:tc>
          <w:tcPr>
            <w:tcW w:w="3592" w:type="dxa"/>
            <w:tcMar>
              <w:top w:w="100" w:type="dxa"/>
              <w:left w:w="110" w:type="dxa"/>
              <w:bottom w:w="100" w:type="dxa"/>
              <w:right w:w="110" w:type="dxa"/>
            </w:tcMar>
            <w:vAlign w:val="center"/>
          </w:tcPr>
          <w:p w14:paraId="358F6E8C" w14:textId="77777777" w:rsidR="000404DE" w:rsidRDefault="00000000">
            <w:r>
              <w:rPr>
                <w:sz w:val="18"/>
              </w:rPr>
              <w:t>Device/system energy-to-solution.</w:t>
            </w:r>
          </w:p>
        </w:tc>
        <w:tc>
          <w:tcPr>
            <w:tcW w:w="3592" w:type="dxa"/>
            <w:tcMar>
              <w:top w:w="100" w:type="dxa"/>
              <w:left w:w="110" w:type="dxa"/>
              <w:bottom w:w="100" w:type="dxa"/>
              <w:right w:w="110" w:type="dxa"/>
            </w:tcMar>
            <w:vAlign w:val="center"/>
          </w:tcPr>
          <w:p w14:paraId="5A90D1BE" w14:textId="77777777" w:rsidR="000404DE" w:rsidRDefault="00000000">
            <w:r>
              <w:rPr>
                <w:sz w:val="18"/>
              </w:rPr>
              <w:t>Required for energy claims.</w:t>
            </w:r>
          </w:p>
        </w:tc>
      </w:tr>
      <w:tr w:rsidR="000404DE" w14:paraId="5A32DE1C" w14:textId="77777777" w:rsidTr="009F4C36">
        <w:trPr>
          <w:jc w:val="center"/>
        </w:trPr>
        <w:tc>
          <w:tcPr>
            <w:tcW w:w="2695" w:type="dxa"/>
            <w:tcMar>
              <w:top w:w="100" w:type="dxa"/>
              <w:left w:w="110" w:type="dxa"/>
              <w:bottom w:w="100" w:type="dxa"/>
              <w:right w:w="110" w:type="dxa"/>
            </w:tcMar>
            <w:vAlign w:val="center"/>
          </w:tcPr>
          <w:p w14:paraId="0F91BC24" w14:textId="77777777" w:rsidR="000404DE" w:rsidRDefault="00000000">
            <w:pPr>
              <w:jc w:val="center"/>
            </w:pPr>
            <w:r>
              <w:rPr>
                <w:sz w:val="18"/>
              </w:rPr>
              <w:t>Integration</w:t>
            </w:r>
          </w:p>
        </w:tc>
        <w:tc>
          <w:tcPr>
            <w:tcW w:w="3592" w:type="dxa"/>
            <w:tcMar>
              <w:top w:w="100" w:type="dxa"/>
              <w:left w:w="110" w:type="dxa"/>
              <w:bottom w:w="100" w:type="dxa"/>
              <w:right w:w="110" w:type="dxa"/>
            </w:tcMar>
            <w:vAlign w:val="center"/>
          </w:tcPr>
          <w:p w14:paraId="64EB7C28" w14:textId="77777777" w:rsidR="000404DE" w:rsidRDefault="00000000">
            <w:r>
              <w:rPr>
                <w:sz w:val="18"/>
              </w:rPr>
              <w:t>Code changes, dependencies, service overhead, operations.</w:t>
            </w:r>
          </w:p>
        </w:tc>
        <w:tc>
          <w:tcPr>
            <w:tcW w:w="3592" w:type="dxa"/>
            <w:tcMar>
              <w:top w:w="100" w:type="dxa"/>
              <w:left w:w="110" w:type="dxa"/>
              <w:bottom w:w="100" w:type="dxa"/>
              <w:right w:w="110" w:type="dxa"/>
            </w:tcMar>
            <w:vAlign w:val="center"/>
          </w:tcPr>
          <w:p w14:paraId="3906F006" w14:textId="77777777" w:rsidR="000404DE" w:rsidRDefault="00000000">
            <w:r>
              <w:rPr>
                <w:sz w:val="18"/>
              </w:rPr>
              <w:t>Determines economic relevance.</w:t>
            </w:r>
          </w:p>
        </w:tc>
      </w:tr>
    </w:tbl>
    <w:p w14:paraId="6C7FC065" w14:textId="77777777" w:rsidR="000404DE" w:rsidRDefault="00000000">
      <w:pPr>
        <w:pStyle w:val="1"/>
      </w:pPr>
      <w:r>
        <w:t>27. Evidence-to-License and Disclosure Discipline</w:t>
      </w:r>
    </w:p>
    <w:p w14:paraId="7C04D5EE" w14:textId="77777777" w:rsidR="000404DE" w:rsidRDefault="00000000">
      <w:r>
        <w:t>Every external statement should identify both the entity and the evidentiary status of the specific claim where material. “ASTOP is a product” describes identity; “ASTOP reduced controller calls by X% in a defined test” is Experimental evidence; a customer-specific result may be Validated; an attributable value claim must be Value-Verified; and production rights should be described as Licensable only when scope, IP control, contractual terms and operating support are ready. Disclosure level and Evidence-to-License status are separate controls.</w:t>
      </w:r>
    </w:p>
    <w:tbl>
      <w:tblPr>
        <w:tblStyle w:val="af9"/>
        <w:tblW w:w="0" w:type="auto"/>
        <w:jc w:val="center"/>
        <w:tblLook w:val="04A0" w:firstRow="1" w:lastRow="0" w:firstColumn="1" w:lastColumn="0" w:noHBand="0" w:noVBand="1"/>
      </w:tblPr>
      <w:tblGrid>
        <w:gridCol w:w="2550"/>
        <w:gridCol w:w="3659"/>
        <w:gridCol w:w="3659"/>
      </w:tblGrid>
      <w:tr w:rsidR="000404DE" w14:paraId="18E92E1E" w14:textId="77777777" w:rsidTr="009F4C36">
        <w:trPr>
          <w:jc w:val="center"/>
        </w:trPr>
        <w:tc>
          <w:tcPr>
            <w:tcW w:w="2553" w:type="dxa"/>
            <w:shd w:val="clear" w:color="auto" w:fill="D9E2F3"/>
            <w:tcMar>
              <w:top w:w="100" w:type="dxa"/>
              <w:left w:w="110" w:type="dxa"/>
              <w:bottom w:w="100" w:type="dxa"/>
              <w:right w:w="110" w:type="dxa"/>
            </w:tcMar>
            <w:vAlign w:val="center"/>
          </w:tcPr>
          <w:p w14:paraId="608FF363" w14:textId="77777777" w:rsidR="000404DE" w:rsidRDefault="00000000">
            <w:pPr>
              <w:jc w:val="center"/>
            </w:pPr>
            <w:r>
              <w:rPr>
                <w:b/>
                <w:sz w:val="18"/>
              </w:rPr>
              <w:t>Level</w:t>
            </w:r>
          </w:p>
        </w:tc>
        <w:tc>
          <w:tcPr>
            <w:tcW w:w="3663" w:type="dxa"/>
            <w:shd w:val="clear" w:color="auto" w:fill="D9E2F3"/>
            <w:tcMar>
              <w:top w:w="100" w:type="dxa"/>
              <w:left w:w="110" w:type="dxa"/>
              <w:bottom w:w="100" w:type="dxa"/>
              <w:right w:w="110" w:type="dxa"/>
            </w:tcMar>
            <w:vAlign w:val="center"/>
          </w:tcPr>
          <w:p w14:paraId="0D78F469" w14:textId="77777777" w:rsidR="000404DE" w:rsidRDefault="00000000">
            <w:pPr>
              <w:jc w:val="center"/>
            </w:pPr>
            <w:r>
              <w:rPr>
                <w:b/>
                <w:sz w:val="18"/>
              </w:rPr>
              <w:t>Purpose</w:t>
            </w:r>
          </w:p>
        </w:tc>
        <w:tc>
          <w:tcPr>
            <w:tcW w:w="3663" w:type="dxa"/>
            <w:shd w:val="clear" w:color="auto" w:fill="D9E2F3"/>
            <w:tcMar>
              <w:top w:w="100" w:type="dxa"/>
              <w:left w:w="110" w:type="dxa"/>
              <w:bottom w:w="100" w:type="dxa"/>
              <w:right w:w="110" w:type="dxa"/>
            </w:tcMar>
            <w:vAlign w:val="center"/>
          </w:tcPr>
          <w:p w14:paraId="744512A5" w14:textId="77777777" w:rsidR="000404DE" w:rsidRDefault="00000000">
            <w:pPr>
              <w:jc w:val="center"/>
            </w:pPr>
            <w:r>
              <w:rPr>
                <w:b/>
                <w:sz w:val="18"/>
              </w:rPr>
              <w:t>Typical content</w:t>
            </w:r>
          </w:p>
        </w:tc>
      </w:tr>
      <w:tr w:rsidR="000404DE" w14:paraId="46E4CD9F" w14:textId="77777777" w:rsidTr="009F4C36">
        <w:trPr>
          <w:jc w:val="center"/>
        </w:trPr>
        <w:tc>
          <w:tcPr>
            <w:tcW w:w="2553" w:type="dxa"/>
            <w:tcMar>
              <w:top w:w="100" w:type="dxa"/>
              <w:left w:w="110" w:type="dxa"/>
              <w:bottom w:w="100" w:type="dxa"/>
              <w:right w:w="110" w:type="dxa"/>
            </w:tcMar>
            <w:vAlign w:val="center"/>
          </w:tcPr>
          <w:p w14:paraId="449AF736" w14:textId="77777777" w:rsidR="000404DE" w:rsidRDefault="00000000">
            <w:pPr>
              <w:jc w:val="center"/>
            </w:pPr>
            <w:r>
              <w:rPr>
                <w:sz w:val="18"/>
              </w:rPr>
              <w:t>Public</w:t>
            </w:r>
          </w:p>
        </w:tc>
        <w:tc>
          <w:tcPr>
            <w:tcW w:w="3663" w:type="dxa"/>
            <w:tcMar>
              <w:top w:w="100" w:type="dxa"/>
              <w:left w:w="110" w:type="dxa"/>
              <w:bottom w:w="100" w:type="dxa"/>
              <w:right w:w="110" w:type="dxa"/>
            </w:tcMar>
            <w:vAlign w:val="center"/>
          </w:tcPr>
          <w:p w14:paraId="080AA2F2" w14:textId="77777777" w:rsidR="000404DE" w:rsidRDefault="00000000">
            <w:r>
              <w:rPr>
                <w:sz w:val="18"/>
              </w:rPr>
              <w:t>Explain category and relevance safely.</w:t>
            </w:r>
          </w:p>
        </w:tc>
        <w:tc>
          <w:tcPr>
            <w:tcW w:w="3663" w:type="dxa"/>
            <w:tcMar>
              <w:top w:w="100" w:type="dxa"/>
              <w:left w:w="110" w:type="dxa"/>
              <w:bottom w:w="100" w:type="dxa"/>
              <w:right w:w="110" w:type="dxa"/>
            </w:tcMar>
            <w:vAlign w:val="center"/>
          </w:tcPr>
          <w:p w14:paraId="1B19C69A" w14:textId="77777777" w:rsidR="000404DE" w:rsidRDefault="00000000">
            <w:r>
              <w:rPr>
                <w:sz w:val="18"/>
              </w:rPr>
              <w:t>High-level architecture, product roles, evidence ranges and applicability caveats.</w:t>
            </w:r>
          </w:p>
        </w:tc>
      </w:tr>
      <w:tr w:rsidR="000404DE" w14:paraId="667A9C21" w14:textId="77777777" w:rsidTr="009F4C36">
        <w:trPr>
          <w:jc w:val="center"/>
        </w:trPr>
        <w:tc>
          <w:tcPr>
            <w:tcW w:w="2553" w:type="dxa"/>
            <w:tcMar>
              <w:top w:w="100" w:type="dxa"/>
              <w:left w:w="110" w:type="dxa"/>
              <w:bottom w:w="100" w:type="dxa"/>
              <w:right w:w="110" w:type="dxa"/>
            </w:tcMar>
            <w:vAlign w:val="center"/>
          </w:tcPr>
          <w:p w14:paraId="52B13822" w14:textId="77777777" w:rsidR="000404DE" w:rsidRDefault="00000000">
            <w:pPr>
              <w:jc w:val="center"/>
            </w:pPr>
            <w:r>
              <w:rPr>
                <w:sz w:val="18"/>
              </w:rPr>
              <w:t>NDA / evaluation</w:t>
            </w:r>
          </w:p>
        </w:tc>
        <w:tc>
          <w:tcPr>
            <w:tcW w:w="3663" w:type="dxa"/>
            <w:tcMar>
              <w:top w:w="100" w:type="dxa"/>
              <w:left w:w="110" w:type="dxa"/>
              <w:bottom w:w="100" w:type="dxa"/>
              <w:right w:w="110" w:type="dxa"/>
            </w:tcMar>
            <w:vAlign w:val="center"/>
          </w:tcPr>
          <w:p w14:paraId="73C3555A" w14:textId="77777777" w:rsidR="000404DE" w:rsidRDefault="00000000">
            <w:r>
              <w:rPr>
                <w:sz w:val="18"/>
              </w:rPr>
              <w:t>Enable technical qualification.</w:t>
            </w:r>
          </w:p>
        </w:tc>
        <w:tc>
          <w:tcPr>
            <w:tcW w:w="3663" w:type="dxa"/>
            <w:tcMar>
              <w:top w:w="100" w:type="dxa"/>
              <w:left w:w="110" w:type="dxa"/>
              <w:bottom w:w="100" w:type="dxa"/>
              <w:right w:w="110" w:type="dxa"/>
            </w:tcMar>
            <w:vAlign w:val="center"/>
          </w:tcPr>
          <w:p w14:paraId="27AE5834" w14:textId="77777777" w:rsidR="000404DE" w:rsidRDefault="00000000">
            <w:r>
              <w:rPr>
                <w:sz w:val="18"/>
              </w:rPr>
              <w:t>Eligibility, methodology, controlled proof details and benchmark configuration.</w:t>
            </w:r>
          </w:p>
        </w:tc>
      </w:tr>
      <w:tr w:rsidR="000404DE" w14:paraId="6756C569" w14:textId="77777777" w:rsidTr="009F4C36">
        <w:trPr>
          <w:jc w:val="center"/>
        </w:trPr>
        <w:tc>
          <w:tcPr>
            <w:tcW w:w="2553" w:type="dxa"/>
            <w:tcMar>
              <w:top w:w="100" w:type="dxa"/>
              <w:left w:w="110" w:type="dxa"/>
              <w:bottom w:w="100" w:type="dxa"/>
              <w:right w:w="110" w:type="dxa"/>
            </w:tcMar>
            <w:vAlign w:val="center"/>
          </w:tcPr>
          <w:p w14:paraId="08C484A5" w14:textId="77777777" w:rsidR="000404DE" w:rsidRDefault="00000000">
            <w:pPr>
              <w:jc w:val="center"/>
            </w:pPr>
            <w:r>
              <w:rPr>
                <w:sz w:val="18"/>
              </w:rPr>
              <w:t>Diligence / partner engineering</w:t>
            </w:r>
          </w:p>
        </w:tc>
        <w:tc>
          <w:tcPr>
            <w:tcW w:w="3663" w:type="dxa"/>
            <w:tcMar>
              <w:top w:w="100" w:type="dxa"/>
              <w:left w:w="110" w:type="dxa"/>
              <w:bottom w:w="100" w:type="dxa"/>
              <w:right w:w="110" w:type="dxa"/>
            </w:tcMar>
            <w:vAlign w:val="center"/>
          </w:tcPr>
          <w:p w14:paraId="76215B92" w14:textId="77777777" w:rsidR="000404DE" w:rsidRDefault="00000000">
            <w:r>
              <w:rPr>
                <w:sz w:val="18"/>
              </w:rPr>
              <w:t>Support investment or integration.</w:t>
            </w:r>
          </w:p>
        </w:tc>
        <w:tc>
          <w:tcPr>
            <w:tcW w:w="3663" w:type="dxa"/>
            <w:tcMar>
              <w:top w:w="100" w:type="dxa"/>
              <w:left w:w="110" w:type="dxa"/>
              <w:bottom w:w="100" w:type="dxa"/>
              <w:right w:w="110" w:type="dxa"/>
            </w:tcMar>
            <w:vAlign w:val="center"/>
          </w:tcPr>
          <w:p w14:paraId="78C2E1A1" w14:textId="77777777" w:rsidR="000404DE" w:rsidRDefault="00000000">
            <w:r>
              <w:rPr>
                <w:sz w:val="18"/>
              </w:rPr>
              <w:t>Claim-to-evidence maps, detailed interfaces, limitations and reproducibility records.</w:t>
            </w:r>
          </w:p>
        </w:tc>
      </w:tr>
      <w:tr w:rsidR="000404DE" w14:paraId="37CD3FDA" w14:textId="77777777" w:rsidTr="009F4C36">
        <w:trPr>
          <w:jc w:val="center"/>
        </w:trPr>
        <w:tc>
          <w:tcPr>
            <w:tcW w:w="2553" w:type="dxa"/>
            <w:tcMar>
              <w:top w:w="100" w:type="dxa"/>
              <w:left w:w="110" w:type="dxa"/>
              <w:bottom w:w="100" w:type="dxa"/>
              <w:right w:w="110" w:type="dxa"/>
            </w:tcMar>
            <w:vAlign w:val="center"/>
          </w:tcPr>
          <w:p w14:paraId="06E04AF4" w14:textId="77777777" w:rsidR="000404DE" w:rsidRDefault="00000000">
            <w:pPr>
              <w:jc w:val="center"/>
            </w:pPr>
            <w:r>
              <w:rPr>
                <w:sz w:val="18"/>
              </w:rPr>
              <w:lastRenderedPageBreak/>
              <w:t>Confidential internal</w:t>
            </w:r>
          </w:p>
        </w:tc>
        <w:tc>
          <w:tcPr>
            <w:tcW w:w="3663" w:type="dxa"/>
            <w:tcMar>
              <w:top w:w="100" w:type="dxa"/>
              <w:left w:w="110" w:type="dxa"/>
              <w:bottom w:w="100" w:type="dxa"/>
              <w:right w:w="110" w:type="dxa"/>
            </w:tcMar>
            <w:vAlign w:val="center"/>
          </w:tcPr>
          <w:p w14:paraId="65A82524" w14:textId="77777777" w:rsidR="000404DE" w:rsidRDefault="00000000">
            <w:r>
              <w:rPr>
                <w:sz w:val="18"/>
              </w:rPr>
              <w:t>Protect competitive implementation.</w:t>
            </w:r>
          </w:p>
        </w:tc>
        <w:tc>
          <w:tcPr>
            <w:tcW w:w="3663" w:type="dxa"/>
            <w:tcMar>
              <w:top w:w="100" w:type="dxa"/>
              <w:left w:w="110" w:type="dxa"/>
              <w:bottom w:w="100" w:type="dxa"/>
              <w:right w:w="110" w:type="dxa"/>
            </w:tcMar>
            <w:vAlign w:val="center"/>
          </w:tcPr>
          <w:p w14:paraId="7EA5C03F" w14:textId="77777777" w:rsidR="000404DE" w:rsidRDefault="00000000">
            <w:r>
              <w:rPr>
                <w:sz w:val="18"/>
              </w:rPr>
              <w:t>Code, orchestration, optimization tricks, unfiled inventions and partner-specific details.</w:t>
            </w:r>
          </w:p>
        </w:tc>
      </w:tr>
    </w:tbl>
    <w:tbl>
      <w:tblPr>
        <w:tblW w:w="0" w:type="auto"/>
        <w:jc w:val="center"/>
        <w:tblLook w:val="04A0" w:firstRow="1" w:lastRow="0" w:firstColumn="1" w:lastColumn="0" w:noHBand="0" w:noVBand="1"/>
      </w:tblPr>
      <w:tblGrid>
        <w:gridCol w:w="9878"/>
      </w:tblGrid>
      <w:tr w:rsidR="000404DE" w14:paraId="4F37E0FE" w14:textId="77777777">
        <w:trPr>
          <w:jc w:val="center"/>
        </w:trPr>
        <w:tc>
          <w:tcPr>
            <w:tcW w:w="9878" w:type="dxa"/>
            <w:shd w:val="clear" w:color="auto" w:fill="EAF0F7"/>
            <w:tcMar>
              <w:top w:w="140" w:type="dxa"/>
              <w:left w:w="160" w:type="dxa"/>
              <w:bottom w:w="140" w:type="dxa"/>
              <w:right w:w="160" w:type="dxa"/>
            </w:tcMar>
            <w:vAlign w:val="center"/>
          </w:tcPr>
          <w:p w14:paraId="5817578D" w14:textId="77777777" w:rsidR="000404DE" w:rsidRDefault="00000000">
            <w:r>
              <w:rPr>
                <w:b/>
                <w:color w:val="324B69"/>
                <w:sz w:val="18"/>
              </w:rPr>
              <w:t>DISCIPLINE</w:t>
            </w:r>
          </w:p>
          <w:p w14:paraId="12868F65" w14:textId="77777777" w:rsidR="000404DE" w:rsidRDefault="00000000">
            <w:r>
              <w:rPr>
                <w:sz w:val="18"/>
              </w:rPr>
              <w:t>When a protected implementation detail or unsupported claim is not present in the approved source set, the correct response is to state the boundary rather than extrapolate.</w:t>
            </w:r>
          </w:p>
        </w:tc>
      </w:tr>
    </w:tbl>
    <w:p w14:paraId="2DBF5F2B" w14:textId="77777777" w:rsidR="000404DE" w:rsidRDefault="00000000">
      <w:r>
        <w:br w:type="page"/>
      </w:r>
    </w:p>
    <w:p w14:paraId="21B2C7DE" w14:textId="77777777" w:rsidR="000404DE" w:rsidRDefault="00000000">
      <w:r>
        <w:rPr>
          <w:b/>
          <w:color w:val="14233C"/>
          <w:sz w:val="48"/>
        </w:rPr>
        <w:lastRenderedPageBreak/>
        <w:t>PART VI — ECONOMICS</w:t>
      </w:r>
    </w:p>
    <w:p w14:paraId="62AA61EB" w14:textId="77777777" w:rsidR="000404DE" w:rsidRDefault="00000000">
      <w:r>
        <w:rPr>
          <w:color w:val="555F6E"/>
          <w:sz w:val="24"/>
        </w:rPr>
        <w:t>From technical advantage to contractible value</w:t>
      </w:r>
    </w:p>
    <w:p w14:paraId="3D7B5F25" w14:textId="77777777" w:rsidR="000404DE" w:rsidRDefault="00000000">
      <w:pPr>
        <w:pStyle w:val="1"/>
      </w:pPr>
      <w:r>
        <w:rPr>
          <w:rFonts w:ascii="Arial" w:hAnsi="Arial"/>
        </w:rPr>
        <w:t>28. From Token Economy to Computation Economy</w:t>
      </w:r>
    </w:p>
    <w:p w14:paraId="40FDE210" w14:textId="77777777" w:rsidR="000404DE" w:rsidRDefault="00000000">
      <w:r>
        <w:t>The token economy measures visible AI output. The computation economy measures the scarce infrastructure required to produce useful output. This makes arithmetic, memory movement, observation, hardware time, energy and representation economically visible.</w:t>
      </w:r>
    </w:p>
    <w:p w14:paraId="66D64E8F" w14:textId="77777777" w:rsidR="000404DE" w:rsidRDefault="00000000">
      <w:r>
        <w:t>As AI markets mature, competition is likely to move beyond capability and market share toward production efficiency: how much useful intelligence can be produced from a fixed quantity of compute, energy and infrastructure. itriX addresses this through better observation and better representation where the evidence supports them.</w:t>
      </w:r>
    </w:p>
    <w:p w14:paraId="4690C07B" w14:textId="77777777" w:rsidR="000404DE" w:rsidRDefault="00000000">
      <w:pPr>
        <w:pStyle w:val="1"/>
      </w:pPr>
      <w:r>
        <w:t>29. AI-Powered Sales Platform: From Evidence to License-Out</w:t>
      </w:r>
    </w:p>
    <w:p w14:paraId="3A35042D" w14:textId="77777777" w:rsidR="000404DE" w:rsidRDefault="00000000">
      <w:r>
        <w:t>The AI-Powered Sales Platform is the commercialization mechanism that connects itriX technologies and products to qualified customers and, ultimately, to controlled license-out. It is not a fourth product or another technology. Its role is to manage the customer journey consistently: educate without over-disclosure, qualify technical relevance, define the evaluation boundary, coordinate assessment and PoC, preserve the evidence record, verify value where applicable, prepare the license scope, and support the licensee after signing.</w:t>
      </w:r>
    </w:p>
    <w:p w14:paraId="1EEE15DB" w14:textId="77777777" w:rsidR="000404DE" w:rsidRDefault="00000000">
      <w:r>
        <w:t>The platform should evolve with the relationship. Early interactions emphasize education and problem qualification. As evidence deepens, the workflow can expose controlled technical material, evaluation status, agreed baselines, evidence packages, value-verification records and license boundaries appropriate to that customer. The objective is not to automate persuasion; it is to make the path from interest to responsible license-out more disciplined, cumulative and auditable.</w:t>
      </w:r>
    </w:p>
    <w:p w14:paraId="2EC92E6D" w14:textId="77777777" w:rsidR="000404DE" w:rsidRDefault="00000000">
      <w:r>
        <w:t>The Internal AI Knowledge Core operates inside this platform as the internal source of approved definitions, claim status, evidence boundaries, disclosure level, objections, account context and standard answers. It helps the AI-assisted sales engine and human team stay consistent, but it is not itself added to the product or technology taxonomy.</w:t>
      </w:r>
    </w:p>
    <w:tbl>
      <w:tblPr>
        <w:tblStyle w:val="af9"/>
        <w:tblW w:w="0" w:type="auto"/>
        <w:tblLook w:val="04A0" w:firstRow="1" w:lastRow="0" w:firstColumn="1" w:lastColumn="0" w:noHBand="0" w:noVBand="1"/>
      </w:tblPr>
      <w:tblGrid>
        <w:gridCol w:w="2091"/>
        <w:gridCol w:w="4813"/>
        <w:gridCol w:w="2964"/>
      </w:tblGrid>
      <w:tr w:rsidR="000404DE" w14:paraId="44DB143E" w14:textId="77777777" w:rsidTr="00C54737">
        <w:trPr>
          <w:trHeight w:val="451"/>
        </w:trPr>
        <w:tc>
          <w:tcPr>
            <w:tcW w:w="2093" w:type="dxa"/>
            <w:shd w:val="clear" w:color="auto" w:fill="DBE5F1" w:themeFill="accent1" w:themeFillTint="33"/>
            <w:vAlign w:val="center"/>
          </w:tcPr>
          <w:p w14:paraId="7706EA74" w14:textId="77777777" w:rsidR="000404DE" w:rsidRDefault="00000000">
            <w:pPr>
              <w:spacing w:after="0"/>
            </w:pPr>
            <w:r>
              <w:rPr>
                <w:sz w:val="16"/>
              </w:rPr>
              <w:t>Customer stage</w:t>
            </w:r>
          </w:p>
        </w:tc>
        <w:tc>
          <w:tcPr>
            <w:tcW w:w="4819" w:type="dxa"/>
            <w:shd w:val="clear" w:color="auto" w:fill="DBE5F1" w:themeFill="accent1" w:themeFillTint="33"/>
            <w:vAlign w:val="center"/>
          </w:tcPr>
          <w:p w14:paraId="5F5D62B1" w14:textId="77777777" w:rsidR="000404DE" w:rsidRDefault="00000000">
            <w:pPr>
              <w:spacing w:after="0"/>
            </w:pPr>
            <w:r>
              <w:rPr>
                <w:sz w:val="16"/>
              </w:rPr>
              <w:t>Platform job</w:t>
            </w:r>
          </w:p>
        </w:tc>
        <w:tc>
          <w:tcPr>
            <w:tcW w:w="2967" w:type="dxa"/>
            <w:shd w:val="clear" w:color="auto" w:fill="DBE5F1" w:themeFill="accent1" w:themeFillTint="33"/>
            <w:vAlign w:val="center"/>
          </w:tcPr>
          <w:p w14:paraId="1CA01890" w14:textId="77777777" w:rsidR="000404DE" w:rsidRDefault="00000000">
            <w:pPr>
              <w:spacing w:after="0"/>
            </w:pPr>
            <w:r>
              <w:rPr>
                <w:sz w:val="16"/>
              </w:rPr>
              <w:t>Primary output</w:t>
            </w:r>
          </w:p>
        </w:tc>
      </w:tr>
      <w:tr w:rsidR="000404DE" w14:paraId="53CF146C" w14:textId="77777777" w:rsidTr="009F4C36">
        <w:tc>
          <w:tcPr>
            <w:tcW w:w="2093" w:type="dxa"/>
            <w:vAlign w:val="center"/>
          </w:tcPr>
          <w:p w14:paraId="23A476C0" w14:textId="77777777" w:rsidR="000404DE" w:rsidRDefault="00000000">
            <w:pPr>
              <w:spacing w:after="0"/>
            </w:pPr>
            <w:r>
              <w:rPr>
                <w:sz w:val="16"/>
              </w:rPr>
              <w:t>Discover / Understand</w:t>
            </w:r>
          </w:p>
        </w:tc>
        <w:tc>
          <w:tcPr>
            <w:tcW w:w="4819" w:type="dxa"/>
            <w:vAlign w:val="center"/>
          </w:tcPr>
          <w:p w14:paraId="776C70A0" w14:textId="77777777" w:rsidR="000404DE" w:rsidRDefault="00000000">
            <w:pPr>
              <w:spacing w:after="0"/>
            </w:pPr>
            <w:r>
              <w:rPr>
                <w:sz w:val="16"/>
              </w:rPr>
              <w:t>Explain problem, product role and evidence boundary without protected implementation.</w:t>
            </w:r>
          </w:p>
        </w:tc>
        <w:tc>
          <w:tcPr>
            <w:tcW w:w="2967" w:type="dxa"/>
            <w:vAlign w:val="center"/>
          </w:tcPr>
          <w:p w14:paraId="162991E7" w14:textId="77777777" w:rsidR="000404DE" w:rsidRDefault="00000000">
            <w:pPr>
              <w:spacing w:after="0"/>
            </w:pPr>
            <w:r>
              <w:rPr>
                <w:sz w:val="16"/>
              </w:rPr>
              <w:t>Qualified interest and correct mental model.</w:t>
            </w:r>
          </w:p>
        </w:tc>
      </w:tr>
      <w:tr w:rsidR="000404DE" w14:paraId="6883F8A3" w14:textId="77777777" w:rsidTr="009F4C36">
        <w:tc>
          <w:tcPr>
            <w:tcW w:w="2093" w:type="dxa"/>
            <w:vAlign w:val="center"/>
          </w:tcPr>
          <w:p w14:paraId="4A4F5457" w14:textId="77777777" w:rsidR="000404DE" w:rsidRDefault="00000000">
            <w:pPr>
              <w:spacing w:after="0"/>
            </w:pPr>
            <w:r>
              <w:rPr>
                <w:sz w:val="16"/>
              </w:rPr>
              <w:t>Assess</w:t>
            </w:r>
          </w:p>
        </w:tc>
        <w:tc>
          <w:tcPr>
            <w:tcW w:w="4819" w:type="dxa"/>
            <w:vAlign w:val="center"/>
          </w:tcPr>
          <w:p w14:paraId="60637707" w14:textId="77777777" w:rsidR="000404DE" w:rsidRDefault="00000000">
            <w:pPr>
              <w:spacing w:after="0"/>
            </w:pPr>
            <w:r>
              <w:rPr>
                <w:sz w:val="16"/>
              </w:rPr>
              <w:t>Define relevance, eligibility questions, baseline and evaluation scope.</w:t>
            </w:r>
          </w:p>
        </w:tc>
        <w:tc>
          <w:tcPr>
            <w:tcW w:w="2967" w:type="dxa"/>
            <w:vAlign w:val="center"/>
          </w:tcPr>
          <w:p w14:paraId="62DA372F" w14:textId="77777777" w:rsidR="000404DE" w:rsidRDefault="00000000">
            <w:pPr>
              <w:spacing w:after="0"/>
            </w:pPr>
            <w:r>
              <w:rPr>
                <w:sz w:val="16"/>
              </w:rPr>
              <w:t>Assessment plan or no-go.</w:t>
            </w:r>
          </w:p>
        </w:tc>
      </w:tr>
      <w:tr w:rsidR="000404DE" w14:paraId="70AAE281" w14:textId="77777777" w:rsidTr="009F4C36">
        <w:tc>
          <w:tcPr>
            <w:tcW w:w="2093" w:type="dxa"/>
            <w:vAlign w:val="center"/>
          </w:tcPr>
          <w:p w14:paraId="29E67B01" w14:textId="77777777" w:rsidR="000404DE" w:rsidRDefault="00000000">
            <w:pPr>
              <w:spacing w:after="0"/>
            </w:pPr>
            <w:r>
              <w:rPr>
                <w:sz w:val="16"/>
              </w:rPr>
              <w:t>PoC / Implement</w:t>
            </w:r>
          </w:p>
        </w:tc>
        <w:tc>
          <w:tcPr>
            <w:tcW w:w="4819" w:type="dxa"/>
            <w:vAlign w:val="center"/>
          </w:tcPr>
          <w:p w14:paraId="0A099D86" w14:textId="77777777" w:rsidR="000404DE" w:rsidRDefault="00000000">
            <w:pPr>
              <w:spacing w:after="0"/>
            </w:pPr>
            <w:r>
              <w:rPr>
                <w:sz w:val="16"/>
              </w:rPr>
              <w:t>Run controlled evaluation and preserve reproducible configuration records.</w:t>
            </w:r>
          </w:p>
        </w:tc>
        <w:tc>
          <w:tcPr>
            <w:tcW w:w="2967" w:type="dxa"/>
            <w:vAlign w:val="center"/>
          </w:tcPr>
          <w:p w14:paraId="2DECCE16" w14:textId="77777777" w:rsidR="000404DE" w:rsidRDefault="00000000">
            <w:pPr>
              <w:spacing w:after="0"/>
            </w:pPr>
            <w:r>
              <w:rPr>
                <w:sz w:val="16"/>
              </w:rPr>
              <w:t>Implemented evidence package.</w:t>
            </w:r>
          </w:p>
        </w:tc>
      </w:tr>
      <w:tr w:rsidR="000404DE" w14:paraId="04024007" w14:textId="77777777" w:rsidTr="009F4C36">
        <w:tc>
          <w:tcPr>
            <w:tcW w:w="2093" w:type="dxa"/>
            <w:vAlign w:val="center"/>
          </w:tcPr>
          <w:p w14:paraId="66C057C3" w14:textId="77777777" w:rsidR="000404DE" w:rsidRDefault="00000000">
            <w:pPr>
              <w:spacing w:after="0"/>
            </w:pPr>
            <w:r>
              <w:rPr>
                <w:sz w:val="16"/>
              </w:rPr>
              <w:t>Validate</w:t>
            </w:r>
          </w:p>
        </w:tc>
        <w:tc>
          <w:tcPr>
            <w:tcW w:w="4819" w:type="dxa"/>
            <w:vAlign w:val="center"/>
          </w:tcPr>
          <w:p w14:paraId="7BF3B911" w14:textId="77777777" w:rsidR="000404DE" w:rsidRDefault="00000000">
            <w:pPr>
              <w:spacing w:after="0"/>
            </w:pPr>
            <w:r>
              <w:rPr>
                <w:sz w:val="16"/>
              </w:rPr>
              <w:t>Test against agreed workload, environment and acceptance criteria.</w:t>
            </w:r>
          </w:p>
        </w:tc>
        <w:tc>
          <w:tcPr>
            <w:tcW w:w="2967" w:type="dxa"/>
            <w:vAlign w:val="center"/>
          </w:tcPr>
          <w:p w14:paraId="500FAA39" w14:textId="77777777" w:rsidR="000404DE" w:rsidRDefault="00000000">
            <w:pPr>
              <w:spacing w:after="0"/>
            </w:pPr>
            <w:r>
              <w:rPr>
                <w:sz w:val="16"/>
              </w:rPr>
              <w:t>Validated technical result.</w:t>
            </w:r>
          </w:p>
        </w:tc>
      </w:tr>
      <w:tr w:rsidR="000404DE" w14:paraId="48B62474" w14:textId="77777777" w:rsidTr="009F4C36">
        <w:tc>
          <w:tcPr>
            <w:tcW w:w="2093" w:type="dxa"/>
            <w:vAlign w:val="center"/>
          </w:tcPr>
          <w:p w14:paraId="655EEE8F" w14:textId="77777777" w:rsidR="000404DE" w:rsidRDefault="00000000">
            <w:pPr>
              <w:spacing w:after="0"/>
            </w:pPr>
            <w:r>
              <w:rPr>
                <w:sz w:val="16"/>
              </w:rPr>
              <w:t>Verify Value</w:t>
            </w:r>
          </w:p>
        </w:tc>
        <w:tc>
          <w:tcPr>
            <w:tcW w:w="4819" w:type="dxa"/>
            <w:vAlign w:val="center"/>
          </w:tcPr>
          <w:p w14:paraId="05F2CFA0" w14:textId="77777777" w:rsidR="000404DE" w:rsidRDefault="00000000">
            <w:pPr>
              <w:spacing w:after="0"/>
            </w:pPr>
            <w:r>
              <w:rPr>
                <w:sz w:val="16"/>
              </w:rPr>
              <w:t>Translate validated effect into attributable customer value where relevant.</w:t>
            </w:r>
          </w:p>
        </w:tc>
        <w:tc>
          <w:tcPr>
            <w:tcW w:w="2967" w:type="dxa"/>
            <w:vAlign w:val="center"/>
          </w:tcPr>
          <w:p w14:paraId="4F13E146" w14:textId="77777777" w:rsidR="000404DE" w:rsidRDefault="00000000">
            <w:pPr>
              <w:spacing w:after="0"/>
            </w:pPr>
            <w:r>
              <w:rPr>
                <w:sz w:val="16"/>
              </w:rPr>
              <w:t>Value-Verified record.</w:t>
            </w:r>
          </w:p>
        </w:tc>
      </w:tr>
      <w:tr w:rsidR="000404DE" w14:paraId="79F855BB" w14:textId="77777777" w:rsidTr="009F4C36">
        <w:tc>
          <w:tcPr>
            <w:tcW w:w="2093" w:type="dxa"/>
            <w:vAlign w:val="center"/>
          </w:tcPr>
          <w:p w14:paraId="0EA150CF" w14:textId="77777777" w:rsidR="000404DE" w:rsidRDefault="00000000">
            <w:pPr>
              <w:spacing w:after="0"/>
            </w:pPr>
            <w:r>
              <w:rPr>
                <w:sz w:val="16"/>
              </w:rPr>
              <w:t>License-Out</w:t>
            </w:r>
          </w:p>
        </w:tc>
        <w:tc>
          <w:tcPr>
            <w:tcW w:w="4819" w:type="dxa"/>
            <w:vAlign w:val="center"/>
          </w:tcPr>
          <w:p w14:paraId="5DA5C06E" w14:textId="77777777" w:rsidR="000404DE" w:rsidRDefault="00000000">
            <w:pPr>
              <w:spacing w:after="0"/>
            </w:pPr>
            <w:r>
              <w:rPr>
                <w:sz w:val="16"/>
              </w:rPr>
              <w:t>Match production rights to proven scope, IP boundary and contract.</w:t>
            </w:r>
          </w:p>
        </w:tc>
        <w:tc>
          <w:tcPr>
            <w:tcW w:w="2967" w:type="dxa"/>
            <w:vAlign w:val="center"/>
          </w:tcPr>
          <w:p w14:paraId="3AD434BF" w14:textId="77777777" w:rsidR="000404DE" w:rsidRDefault="00000000">
            <w:pPr>
              <w:spacing w:after="0"/>
            </w:pPr>
            <w:r>
              <w:rPr>
                <w:sz w:val="16"/>
              </w:rPr>
              <w:t>Defined production license.</w:t>
            </w:r>
          </w:p>
        </w:tc>
      </w:tr>
      <w:tr w:rsidR="000404DE" w14:paraId="1B9373EF" w14:textId="77777777" w:rsidTr="009F4C36">
        <w:tc>
          <w:tcPr>
            <w:tcW w:w="2093" w:type="dxa"/>
            <w:vAlign w:val="center"/>
          </w:tcPr>
          <w:p w14:paraId="46FDD8AD" w14:textId="77777777" w:rsidR="000404DE" w:rsidRDefault="00000000">
            <w:pPr>
              <w:spacing w:after="0"/>
            </w:pPr>
            <w:r>
              <w:rPr>
                <w:sz w:val="16"/>
              </w:rPr>
              <w:t>Licensee Development</w:t>
            </w:r>
          </w:p>
        </w:tc>
        <w:tc>
          <w:tcPr>
            <w:tcW w:w="4819" w:type="dxa"/>
            <w:vAlign w:val="center"/>
          </w:tcPr>
          <w:p w14:paraId="136E3480" w14:textId="77777777" w:rsidR="000404DE" w:rsidRDefault="00000000">
            <w:pPr>
              <w:spacing w:after="0"/>
            </w:pPr>
            <w:r>
              <w:rPr>
                <w:sz w:val="16"/>
              </w:rPr>
              <w:t>Track obligations, realized value, support and adjacent opportunities.</w:t>
            </w:r>
          </w:p>
        </w:tc>
        <w:tc>
          <w:tcPr>
            <w:tcW w:w="2967" w:type="dxa"/>
            <w:vAlign w:val="center"/>
          </w:tcPr>
          <w:p w14:paraId="05E0C934" w14:textId="77777777" w:rsidR="000404DE" w:rsidRDefault="00000000">
            <w:pPr>
              <w:spacing w:after="0"/>
            </w:pPr>
            <w:r>
              <w:rPr>
                <w:sz w:val="16"/>
              </w:rPr>
              <w:t>Renewal or expansion opportunity.</w:t>
            </w:r>
          </w:p>
        </w:tc>
      </w:tr>
    </w:tbl>
    <w:p w14:paraId="02D35977" w14:textId="77777777" w:rsidR="000404DE" w:rsidRDefault="00000000">
      <w:pPr>
        <w:pStyle w:val="1"/>
      </w:pPr>
      <w:r>
        <w:t>30. ASTOP Licensing Logic</w:t>
      </w:r>
    </w:p>
    <w:p w14:paraId="011BE235" w14:textId="77777777" w:rsidR="000404DE" w:rsidRDefault="00000000">
      <w:r>
        <w:t xml:space="preserve">ASTOP should have its own license-out logic. The ALPHA 67:33 Verified Net Advantage rule should not be automatically imported into ASTOP. ASTOP may be licensed for enterprise deployment, agent-observation infrastructure, commercial use, support and other defined rights appropriate to observability </w:t>
      </w:r>
      <w:r>
        <w:lastRenderedPageBreak/>
        <w:t>software. The license should specify the authorized environment, users or agents, deployment scope, support obligations, duration and other applicable boundaries.</w:t>
      </w:r>
    </w:p>
    <w:p w14:paraId="25C1B2AC" w14:textId="77777777" w:rsidR="000404DE" w:rsidRDefault="00000000">
      <w:r>
        <w:t>The value case should be measured in the deployment: reduced controller activation, lower observation overhead, improved operator visibility, faster incident or completion response, reduced duplicate monitoring, or other agreed operational benefits. Where those benefits are translated into attributable customer economics, the claim may become Value-Verified. ASTOP can nevertheless be Licensable without adopting the ALPHA 67:33 value-sharing formula, provided its product rights, scope, IP control and support terms are defined.</w:t>
      </w:r>
    </w:p>
    <w:p w14:paraId="12F0296D" w14:textId="77777777" w:rsidR="000404DE" w:rsidRDefault="00000000">
      <w:pPr>
        <w:pStyle w:val="1"/>
      </w:pPr>
      <w:r>
        <w:t>31. ALPHA Verified Net Advantage and the 67:33 Rule</w:t>
      </w:r>
    </w:p>
    <w:p w14:paraId="22720318" w14:textId="77777777" w:rsidR="000404DE" w:rsidRDefault="00000000">
      <w:r>
        <w:t>For ALPHA deployments, the internal value-sharing principle is that the customer retains 67% and itriX receives 33% of Verified Net Advantage, subject to an agreed baseline, attribution, measurement period and contract. The 33% is participation in newly created value, not a claim on the customer’s pre-existing economics.</w:t>
      </w:r>
    </w:p>
    <w:tbl>
      <w:tblPr>
        <w:tblW w:w="0" w:type="auto"/>
        <w:jc w:val="center"/>
        <w:tblLook w:val="04A0" w:firstRow="1" w:lastRow="0" w:firstColumn="1" w:lastColumn="0" w:noHBand="0" w:noVBand="1"/>
      </w:tblPr>
      <w:tblGrid>
        <w:gridCol w:w="9878"/>
      </w:tblGrid>
      <w:tr w:rsidR="000404DE" w14:paraId="7F2C9AD8" w14:textId="77777777">
        <w:trPr>
          <w:jc w:val="center"/>
        </w:trPr>
        <w:tc>
          <w:tcPr>
            <w:tcW w:w="9878" w:type="dxa"/>
            <w:shd w:val="clear" w:color="auto" w:fill="EAF0F7"/>
            <w:tcMar>
              <w:top w:w="140" w:type="dxa"/>
              <w:left w:w="160" w:type="dxa"/>
              <w:bottom w:w="140" w:type="dxa"/>
              <w:right w:w="160" w:type="dxa"/>
            </w:tcMar>
            <w:vAlign w:val="center"/>
          </w:tcPr>
          <w:p w14:paraId="0AED6C4D" w14:textId="77777777" w:rsidR="000404DE" w:rsidRDefault="00000000">
            <w:r>
              <w:rPr>
                <w:b/>
                <w:color w:val="324B69"/>
                <w:sz w:val="18"/>
              </w:rPr>
              <w:t>VERIFIED NET ADVANTAGE</w:t>
            </w:r>
          </w:p>
          <w:p w14:paraId="5160871F" w14:textId="77777777" w:rsidR="000404DE" w:rsidRDefault="00000000">
            <w:r>
              <w:rPr>
                <w:sz w:val="18"/>
              </w:rPr>
              <w:t>Agreed Baseline Economic Cost − ALPHA-Enabled Economic Cost. Implementation-cost treatment, eligible cost categories and the verification method must be agreed in advance.</w:t>
            </w:r>
          </w:p>
        </w:tc>
      </w:tr>
    </w:tbl>
    <w:p w14:paraId="6D3D4C3F" w14:textId="77777777" w:rsidR="000404DE" w:rsidRDefault="00000000">
      <w:pPr>
        <w:pStyle w:val="1"/>
      </w:pPr>
      <w:r>
        <w:t>32. Licensing and Scalable Infrastructure Economics</w:t>
      </w:r>
    </w:p>
    <w:p w14:paraId="63A30FC9" w14:textId="77777777" w:rsidR="000404DE" w:rsidRDefault="00000000">
      <w:r>
        <w:t>License rights should widen only as proof widens. The AI-Powered Sales Platform should preserve the assessment record, evidence boundary, value-verification logic and proposed field of use so that the license granted at the end of the process mirrors what was actually proven. ASTOP rights and ALPHA rights can be licensed independently or combined where both products are deployed. ALPHA Compute may use software licenses, field-of-use rights, minimum commitments, usage fees and value sharing. ALPHA Core may use engineering/NRE, hardware IP licensing and per-chip/core/device/system royalties. A Licensable status always applies to a defined scope; it is not a universal license to every workload, field, environment or implementation.</w:t>
      </w:r>
    </w:p>
    <w:p w14:paraId="01A17873" w14:textId="77777777" w:rsidR="000404DE" w:rsidRDefault="00000000">
      <w:r>
        <w:t>The practical license-out path is therefore Discover / Understand → Assess → PoC / Implement → Validate → Verify Value where relevant → License-Out → Licensee Development. The Evidence-to-License status attached to each claim should be visible throughout the process. Not every engagement must reach every stage, and a license may be narrow even when the underlying technology is broader. The license boundary should mirror the validated and, where economics matter, value-verified boundary.</w:t>
      </w:r>
    </w:p>
    <w:p w14:paraId="2A9692DE" w14:textId="77777777" w:rsidR="000404DE" w:rsidRDefault="00000000">
      <w:r>
        <w:t>The strategic objective is to own scarce technology, product architecture, evidence and commercial rights while reusing global software and hardware ecosystems. itriX does not need to manufacture every chip to participate in hardware economics, and it does not need to own every AI agent to participate in observation economics.</w:t>
      </w:r>
    </w:p>
    <w:p w14:paraId="6D8D263D" w14:textId="77777777" w:rsidR="000404DE" w:rsidRDefault="00000000">
      <w:r>
        <w:br w:type="page"/>
      </w:r>
    </w:p>
    <w:p w14:paraId="5B00E476" w14:textId="77777777" w:rsidR="000404DE" w:rsidRDefault="00000000">
      <w:r>
        <w:rPr>
          <w:b/>
          <w:color w:val="14233C"/>
          <w:sz w:val="48"/>
        </w:rPr>
        <w:lastRenderedPageBreak/>
        <w:t>PART VII — PURPOSE</w:t>
      </w:r>
    </w:p>
    <w:p w14:paraId="4C49737C" w14:textId="77777777" w:rsidR="000404DE" w:rsidRDefault="00000000">
      <w:r>
        <w:rPr>
          <w:color w:val="555F6E"/>
          <w:sz w:val="24"/>
        </w:rPr>
        <w:t>Why computational infrastructure matters in the Age of AI</w:t>
      </w:r>
    </w:p>
    <w:p w14:paraId="38E0361D" w14:textId="77777777" w:rsidR="000404DE" w:rsidRDefault="00000000">
      <w:pPr>
        <w:pStyle w:val="1"/>
      </w:pPr>
      <w:r>
        <w:t>33. Energy-to-Advantage</w:t>
      </w:r>
    </w:p>
    <w:p w14:paraId="0C88B6C1" w14:textId="77777777" w:rsidR="000404DE" w:rsidRDefault="00000000">
      <w:r>
        <w:t>AI energy is an outcome of the whole execution system, not arithmetic alone. Memory movement, device transfers, controller activation, runtime, utilization, heat and cooling all contribute. A representation or observation change may influence these layers, but energy claims require direct measurement rather than inference from FLOPs, tokens or runtime alone.</w:t>
      </w:r>
    </w:p>
    <w:tbl>
      <w:tblPr>
        <w:tblStyle w:val="af9"/>
        <w:tblW w:w="0" w:type="auto"/>
        <w:jc w:val="center"/>
        <w:tblLook w:val="04A0" w:firstRow="1" w:lastRow="0" w:firstColumn="1" w:lastColumn="0" w:noHBand="0" w:noVBand="1"/>
      </w:tblPr>
      <w:tblGrid>
        <w:gridCol w:w="2408"/>
        <w:gridCol w:w="3730"/>
        <w:gridCol w:w="3730"/>
      </w:tblGrid>
      <w:tr w:rsidR="000404DE" w14:paraId="490034BF" w14:textId="77777777" w:rsidTr="00C54737">
        <w:trPr>
          <w:jc w:val="center"/>
        </w:trPr>
        <w:tc>
          <w:tcPr>
            <w:tcW w:w="2411" w:type="dxa"/>
            <w:shd w:val="clear" w:color="auto" w:fill="D9E2F3"/>
            <w:tcMar>
              <w:top w:w="100" w:type="dxa"/>
              <w:left w:w="110" w:type="dxa"/>
              <w:bottom w:w="100" w:type="dxa"/>
              <w:right w:w="110" w:type="dxa"/>
            </w:tcMar>
            <w:vAlign w:val="center"/>
          </w:tcPr>
          <w:p w14:paraId="73D7B0C6" w14:textId="77777777" w:rsidR="000404DE" w:rsidRDefault="00000000">
            <w:pPr>
              <w:jc w:val="center"/>
            </w:pPr>
            <w:r>
              <w:rPr>
                <w:b/>
                <w:sz w:val="18"/>
              </w:rPr>
              <w:t>Layer</w:t>
            </w:r>
          </w:p>
        </w:tc>
        <w:tc>
          <w:tcPr>
            <w:tcW w:w="3734" w:type="dxa"/>
            <w:shd w:val="clear" w:color="auto" w:fill="D9E2F3"/>
            <w:tcMar>
              <w:top w:w="100" w:type="dxa"/>
              <w:left w:w="110" w:type="dxa"/>
              <w:bottom w:w="100" w:type="dxa"/>
              <w:right w:w="110" w:type="dxa"/>
            </w:tcMar>
            <w:vAlign w:val="center"/>
          </w:tcPr>
          <w:p w14:paraId="34A591A5" w14:textId="77777777" w:rsidR="000404DE" w:rsidRDefault="00000000">
            <w:pPr>
              <w:jc w:val="center"/>
            </w:pPr>
            <w:r>
              <w:rPr>
                <w:b/>
                <w:sz w:val="18"/>
              </w:rPr>
              <w:t>Possible itriX effect</w:t>
            </w:r>
          </w:p>
        </w:tc>
        <w:tc>
          <w:tcPr>
            <w:tcW w:w="3734" w:type="dxa"/>
            <w:shd w:val="clear" w:color="auto" w:fill="D9E2F3"/>
            <w:tcMar>
              <w:top w:w="100" w:type="dxa"/>
              <w:left w:w="110" w:type="dxa"/>
              <w:bottom w:w="100" w:type="dxa"/>
              <w:right w:w="110" w:type="dxa"/>
            </w:tcMar>
            <w:vAlign w:val="center"/>
          </w:tcPr>
          <w:p w14:paraId="4ED12834" w14:textId="77777777" w:rsidR="000404DE" w:rsidRDefault="00000000">
            <w:pPr>
              <w:jc w:val="center"/>
            </w:pPr>
            <w:r>
              <w:rPr>
                <w:b/>
                <w:sz w:val="18"/>
              </w:rPr>
              <w:t>Measurement</w:t>
            </w:r>
          </w:p>
        </w:tc>
      </w:tr>
      <w:tr w:rsidR="000404DE" w14:paraId="0D9214DA" w14:textId="77777777" w:rsidTr="00C54737">
        <w:trPr>
          <w:jc w:val="center"/>
        </w:trPr>
        <w:tc>
          <w:tcPr>
            <w:tcW w:w="2411" w:type="dxa"/>
            <w:tcMar>
              <w:top w:w="100" w:type="dxa"/>
              <w:left w:w="110" w:type="dxa"/>
              <w:bottom w:w="100" w:type="dxa"/>
              <w:right w:w="110" w:type="dxa"/>
            </w:tcMar>
            <w:vAlign w:val="center"/>
          </w:tcPr>
          <w:p w14:paraId="27F465C5" w14:textId="77777777" w:rsidR="000404DE" w:rsidRDefault="00000000">
            <w:pPr>
              <w:jc w:val="center"/>
            </w:pPr>
            <w:r>
              <w:rPr>
                <w:sz w:val="18"/>
              </w:rPr>
              <w:t>Observation / reasoning</w:t>
            </w:r>
          </w:p>
        </w:tc>
        <w:tc>
          <w:tcPr>
            <w:tcW w:w="3734" w:type="dxa"/>
            <w:tcMar>
              <w:top w:w="100" w:type="dxa"/>
              <w:left w:w="110" w:type="dxa"/>
              <w:bottom w:w="100" w:type="dxa"/>
              <w:right w:w="110" w:type="dxa"/>
            </w:tcMar>
            <w:vAlign w:val="center"/>
          </w:tcPr>
          <w:p w14:paraId="65F0FCFF" w14:textId="77777777" w:rsidR="000404DE" w:rsidRDefault="00000000">
            <w:r>
              <w:rPr>
                <w:sz w:val="18"/>
              </w:rPr>
              <w:t>Fewer or better-structured controller-facing observations.</w:t>
            </w:r>
          </w:p>
        </w:tc>
        <w:tc>
          <w:tcPr>
            <w:tcW w:w="3734" w:type="dxa"/>
            <w:tcMar>
              <w:top w:w="100" w:type="dxa"/>
              <w:left w:w="110" w:type="dxa"/>
              <w:bottom w:w="100" w:type="dxa"/>
              <w:right w:w="110" w:type="dxa"/>
            </w:tcMar>
            <w:vAlign w:val="center"/>
          </w:tcPr>
          <w:p w14:paraId="6926B8F2" w14:textId="77777777" w:rsidR="000404DE" w:rsidRDefault="00000000">
            <w:r>
              <w:rPr>
                <w:sz w:val="18"/>
              </w:rPr>
              <w:t>Calls, bytes, tokens, observer-service overhead and decision fidelity.</w:t>
            </w:r>
          </w:p>
        </w:tc>
      </w:tr>
      <w:tr w:rsidR="000404DE" w14:paraId="5DBBBA65" w14:textId="77777777" w:rsidTr="00C54737">
        <w:trPr>
          <w:jc w:val="center"/>
        </w:trPr>
        <w:tc>
          <w:tcPr>
            <w:tcW w:w="2411" w:type="dxa"/>
            <w:tcMar>
              <w:top w:w="100" w:type="dxa"/>
              <w:left w:w="110" w:type="dxa"/>
              <w:bottom w:w="100" w:type="dxa"/>
              <w:right w:w="110" w:type="dxa"/>
            </w:tcMar>
            <w:vAlign w:val="center"/>
          </w:tcPr>
          <w:p w14:paraId="3836A91E" w14:textId="77777777" w:rsidR="000404DE" w:rsidRDefault="00000000">
            <w:pPr>
              <w:jc w:val="center"/>
            </w:pPr>
            <w:r>
              <w:rPr>
                <w:sz w:val="18"/>
              </w:rPr>
              <w:t>Arithmetic</w:t>
            </w:r>
          </w:p>
        </w:tc>
        <w:tc>
          <w:tcPr>
            <w:tcW w:w="3734" w:type="dxa"/>
            <w:tcMar>
              <w:top w:w="100" w:type="dxa"/>
              <w:left w:w="110" w:type="dxa"/>
              <w:bottom w:w="100" w:type="dxa"/>
              <w:right w:w="110" w:type="dxa"/>
            </w:tcMar>
            <w:vAlign w:val="center"/>
          </w:tcPr>
          <w:p w14:paraId="2402A709" w14:textId="77777777" w:rsidR="000404DE" w:rsidRDefault="00000000">
            <w:r>
              <w:rPr>
                <w:sz w:val="18"/>
              </w:rPr>
              <w:t>Fewer or more machine-suitable operations.</w:t>
            </w:r>
          </w:p>
        </w:tc>
        <w:tc>
          <w:tcPr>
            <w:tcW w:w="3734" w:type="dxa"/>
            <w:tcMar>
              <w:top w:w="100" w:type="dxa"/>
              <w:left w:w="110" w:type="dxa"/>
              <w:bottom w:w="100" w:type="dxa"/>
              <w:right w:w="110" w:type="dxa"/>
            </w:tcMar>
            <w:vAlign w:val="center"/>
          </w:tcPr>
          <w:p w14:paraId="14CED485" w14:textId="77777777" w:rsidR="000404DE" w:rsidRDefault="00000000">
            <w:r>
              <w:rPr>
                <w:sz w:val="18"/>
              </w:rPr>
              <w:t>Kernel/runtime profiling and operation accounting.</w:t>
            </w:r>
          </w:p>
        </w:tc>
      </w:tr>
      <w:tr w:rsidR="000404DE" w14:paraId="6BE2B0E6" w14:textId="77777777" w:rsidTr="00C54737">
        <w:trPr>
          <w:jc w:val="center"/>
        </w:trPr>
        <w:tc>
          <w:tcPr>
            <w:tcW w:w="2411" w:type="dxa"/>
            <w:tcMar>
              <w:top w:w="100" w:type="dxa"/>
              <w:left w:w="110" w:type="dxa"/>
              <w:bottom w:w="100" w:type="dxa"/>
              <w:right w:w="110" w:type="dxa"/>
            </w:tcMar>
            <w:vAlign w:val="center"/>
          </w:tcPr>
          <w:p w14:paraId="05EAAADB" w14:textId="77777777" w:rsidR="000404DE" w:rsidRDefault="00000000">
            <w:pPr>
              <w:jc w:val="center"/>
            </w:pPr>
            <w:r>
              <w:rPr>
                <w:sz w:val="18"/>
              </w:rPr>
              <w:t>Memory / movement</w:t>
            </w:r>
          </w:p>
        </w:tc>
        <w:tc>
          <w:tcPr>
            <w:tcW w:w="3734" w:type="dxa"/>
            <w:tcMar>
              <w:top w:w="100" w:type="dxa"/>
              <w:left w:w="110" w:type="dxa"/>
              <w:bottom w:w="100" w:type="dxa"/>
              <w:right w:w="110" w:type="dxa"/>
            </w:tcMar>
            <w:vAlign w:val="center"/>
          </w:tcPr>
          <w:p w14:paraId="16A95832" w14:textId="77777777" w:rsidR="000404DE" w:rsidRDefault="00000000">
            <w:r>
              <w:rPr>
                <w:sz w:val="18"/>
              </w:rPr>
              <w:t>Fewer materializations or transfers.</w:t>
            </w:r>
          </w:p>
        </w:tc>
        <w:tc>
          <w:tcPr>
            <w:tcW w:w="3734" w:type="dxa"/>
            <w:tcMar>
              <w:top w:w="100" w:type="dxa"/>
              <w:left w:w="110" w:type="dxa"/>
              <w:bottom w:w="100" w:type="dxa"/>
              <w:right w:w="110" w:type="dxa"/>
            </w:tcMar>
            <w:vAlign w:val="center"/>
          </w:tcPr>
          <w:p w14:paraId="79A93853" w14:textId="77777777" w:rsidR="000404DE" w:rsidRDefault="00000000">
            <w:r>
              <w:rPr>
                <w:sz w:val="18"/>
              </w:rPr>
              <w:t>Traffic counters, peak memory and transfer time.</w:t>
            </w:r>
          </w:p>
        </w:tc>
      </w:tr>
      <w:tr w:rsidR="000404DE" w14:paraId="0E3115AA" w14:textId="77777777" w:rsidTr="00C54737">
        <w:trPr>
          <w:jc w:val="center"/>
        </w:trPr>
        <w:tc>
          <w:tcPr>
            <w:tcW w:w="2411" w:type="dxa"/>
            <w:tcMar>
              <w:top w:w="100" w:type="dxa"/>
              <w:left w:w="110" w:type="dxa"/>
              <w:bottom w:w="100" w:type="dxa"/>
              <w:right w:w="110" w:type="dxa"/>
            </w:tcMar>
            <w:vAlign w:val="center"/>
          </w:tcPr>
          <w:p w14:paraId="72A9655B" w14:textId="77777777" w:rsidR="000404DE" w:rsidRDefault="00000000">
            <w:pPr>
              <w:jc w:val="center"/>
            </w:pPr>
            <w:r>
              <w:rPr>
                <w:sz w:val="18"/>
              </w:rPr>
              <w:t>Device energy</w:t>
            </w:r>
          </w:p>
        </w:tc>
        <w:tc>
          <w:tcPr>
            <w:tcW w:w="3734" w:type="dxa"/>
            <w:tcMar>
              <w:top w:w="100" w:type="dxa"/>
              <w:left w:w="110" w:type="dxa"/>
              <w:bottom w:w="100" w:type="dxa"/>
              <w:right w:w="110" w:type="dxa"/>
            </w:tcMar>
            <w:vAlign w:val="center"/>
          </w:tcPr>
          <w:p w14:paraId="67A2535C" w14:textId="77777777" w:rsidR="000404DE" w:rsidRDefault="00000000">
            <w:r>
              <w:rPr>
                <w:sz w:val="18"/>
              </w:rPr>
              <w:t>Lower energy-to-solution.</w:t>
            </w:r>
          </w:p>
        </w:tc>
        <w:tc>
          <w:tcPr>
            <w:tcW w:w="3734" w:type="dxa"/>
            <w:tcMar>
              <w:top w:w="100" w:type="dxa"/>
              <w:left w:w="110" w:type="dxa"/>
              <w:bottom w:w="100" w:type="dxa"/>
              <w:right w:w="110" w:type="dxa"/>
            </w:tcMar>
            <w:vAlign w:val="center"/>
          </w:tcPr>
          <w:p w14:paraId="5964E1A3" w14:textId="77777777" w:rsidR="000404DE" w:rsidRDefault="00000000">
            <w:r>
              <w:rPr>
                <w:sz w:val="18"/>
              </w:rPr>
              <w:t>Measured power × time / energy.</w:t>
            </w:r>
          </w:p>
        </w:tc>
      </w:tr>
      <w:tr w:rsidR="000404DE" w14:paraId="5D5FF3D7" w14:textId="77777777" w:rsidTr="00C54737">
        <w:trPr>
          <w:jc w:val="center"/>
        </w:trPr>
        <w:tc>
          <w:tcPr>
            <w:tcW w:w="2411" w:type="dxa"/>
            <w:tcMar>
              <w:top w:w="100" w:type="dxa"/>
              <w:left w:w="110" w:type="dxa"/>
              <w:bottom w:w="100" w:type="dxa"/>
              <w:right w:w="110" w:type="dxa"/>
            </w:tcMar>
            <w:vAlign w:val="center"/>
          </w:tcPr>
          <w:p w14:paraId="0C18E05F" w14:textId="77777777" w:rsidR="000404DE" w:rsidRDefault="00000000">
            <w:pPr>
              <w:jc w:val="center"/>
            </w:pPr>
            <w:r>
              <w:rPr>
                <w:sz w:val="18"/>
              </w:rPr>
              <w:t>Facility / cooling</w:t>
            </w:r>
          </w:p>
        </w:tc>
        <w:tc>
          <w:tcPr>
            <w:tcW w:w="3734" w:type="dxa"/>
            <w:tcMar>
              <w:top w:w="100" w:type="dxa"/>
              <w:left w:w="110" w:type="dxa"/>
              <w:bottom w:w="100" w:type="dxa"/>
              <w:right w:w="110" w:type="dxa"/>
            </w:tcMar>
            <w:vAlign w:val="center"/>
          </w:tcPr>
          <w:p w14:paraId="3164462C" w14:textId="77777777" w:rsidR="000404DE" w:rsidRDefault="00000000">
            <w:r>
              <w:rPr>
                <w:sz w:val="18"/>
              </w:rPr>
              <w:t>Potentially lower heat load.</w:t>
            </w:r>
          </w:p>
        </w:tc>
        <w:tc>
          <w:tcPr>
            <w:tcW w:w="3734" w:type="dxa"/>
            <w:tcMar>
              <w:top w:w="100" w:type="dxa"/>
              <w:left w:w="110" w:type="dxa"/>
              <w:bottom w:w="100" w:type="dxa"/>
              <w:right w:w="110" w:type="dxa"/>
            </w:tcMar>
            <w:vAlign w:val="center"/>
          </w:tcPr>
          <w:p w14:paraId="6EE4DF85" w14:textId="77777777" w:rsidR="000404DE" w:rsidRDefault="00000000">
            <w:r>
              <w:rPr>
                <w:sz w:val="18"/>
              </w:rPr>
              <w:t>Facility measurement; never inferred automatically.</w:t>
            </w:r>
          </w:p>
        </w:tc>
      </w:tr>
    </w:tbl>
    <w:p w14:paraId="451A6921" w14:textId="77777777" w:rsidR="000404DE" w:rsidRDefault="00000000">
      <w:pPr>
        <w:pStyle w:val="1"/>
      </w:pPr>
      <w:r>
        <w:t>34. AI-Native Computational Infrastructure</w:t>
      </w:r>
    </w:p>
    <w:p w14:paraId="213FF1A7" w14:textId="77777777" w:rsidR="000404DE" w:rsidRDefault="00000000">
      <w:r>
        <w:t>AI-native infrastructure should not treat intelligence as an expensive endpoint that receives everything. It should organize evidence before reasoning, preserve meaning across transformation, execute through the most appropriate software and hardware route, and retain the measurement needed to verify advantage.</w:t>
      </w:r>
    </w:p>
    <w:p w14:paraId="2D266544" w14:textId="77777777" w:rsidR="000404DE" w:rsidRDefault="00000000">
      <w:r>
        <w:t>This leads to a future architecture in which systems can Observe → Decide → Transform → Execute → Observe. The important qualification is that this is a strategic composition direction. The current products are independent and must be sold, validated and operated on their own merits.</w:t>
      </w:r>
    </w:p>
    <w:p w14:paraId="3507B420" w14:textId="77777777" w:rsidR="000404DE" w:rsidRDefault="00000000">
      <w:pPr>
        <w:pStyle w:val="1"/>
      </w:pPr>
      <w:r>
        <w:t>35. Computational Sovereignty</w:t>
      </w:r>
    </w:p>
    <w:p w14:paraId="039601FA" w14:textId="77777777" w:rsidR="000404DE" w:rsidRDefault="00000000">
      <w:r>
        <w:t>AI capability increasingly depends on access to accelerators, memory, foundry capacity, power and cloud-scale infrastructure. itriX cannot remove these dependencies, but better observation and representation can potentially improve the productivity of the infrastructure a country or enterprise already has.</w:t>
      </w:r>
    </w:p>
    <w:p w14:paraId="2CD678D6" w14:textId="77777777" w:rsidR="000404DE" w:rsidRDefault="00000000">
      <w:r>
        <w:t>Strategic control therefore does not require isolation. It can come from owning differentiated architecture, mathematical technologies, product implementation, proof and licensing rights while remaining compatible with global hardware and software ecosystems.</w:t>
      </w:r>
    </w:p>
    <w:p w14:paraId="3AE6793E" w14:textId="77777777" w:rsidR="000404DE" w:rsidRDefault="00000000">
      <w:pPr>
        <w:pStyle w:val="1"/>
      </w:pPr>
      <w:r>
        <w:lastRenderedPageBreak/>
        <w:t>36. Reinvention, Rigor and Relevance</w:t>
      </w:r>
    </w:p>
    <w:p w14:paraId="36C60EA6" w14:textId="77777777" w:rsidR="000404DE" w:rsidRDefault="00000000">
      <w:pPr>
        <w:pStyle w:val="21"/>
      </w:pPr>
      <w:r>
        <w:rPr>
          <w:rFonts w:ascii="Arial" w:hAnsi="Arial"/>
        </w:rPr>
        <w:t>Reinvention — redesign the structure</w:t>
      </w:r>
    </w:p>
    <w:p w14:paraId="672CC8F3" w14:textId="77777777" w:rsidR="000404DE" w:rsidRDefault="00000000">
      <w:r>
        <w:t>Do not accept inherited observation or representation boundaries as fixed when a better structure is possible. Reinvention gives itriX permission to intervene before reasoning and before execution.</w:t>
      </w:r>
    </w:p>
    <w:p w14:paraId="3C25F987" w14:textId="77777777" w:rsidR="000404DE" w:rsidRDefault="00000000">
      <w:pPr>
        <w:pStyle w:val="21"/>
      </w:pPr>
      <w:r>
        <w:rPr>
          <w:rFonts w:ascii="Arial" w:hAnsi="Arial"/>
        </w:rPr>
        <w:t>Rigor — prove before claiming</w:t>
      </w:r>
    </w:p>
    <w:p w14:paraId="17E2956C" w14:textId="77777777" w:rsidR="000404DE" w:rsidRDefault="00000000">
      <w:r>
        <w:t>Decision sufficiency, mathematical eligibility, frozen baselines, negative-result logging, limitation statements and disclosure levels are the operating expression of rigor.</w:t>
      </w:r>
    </w:p>
    <w:p w14:paraId="6A8B20DB" w14:textId="77777777" w:rsidR="000404DE" w:rsidRDefault="00000000">
      <w:pPr>
        <w:pStyle w:val="21"/>
      </w:pPr>
      <w:r>
        <w:rPr>
          <w:rFonts w:ascii="Arial" w:hAnsi="Arial"/>
        </w:rPr>
        <w:t>Relevance — create industrial value</w:t>
      </w:r>
    </w:p>
    <w:p w14:paraId="76785C7A" w14:textId="77777777" w:rsidR="000404DE" w:rsidRDefault="00000000">
      <w:r>
        <w:t>A mathematically elegant or information-theoretically interesting result is not yet a product success. Relevance requires deployable value, manageable integration and a customer decision that can be supported by evidence.</w:t>
      </w:r>
    </w:p>
    <w:tbl>
      <w:tblPr>
        <w:tblW w:w="0" w:type="auto"/>
        <w:jc w:val="center"/>
        <w:tblLook w:val="04A0" w:firstRow="1" w:lastRow="0" w:firstColumn="1" w:lastColumn="0" w:noHBand="0" w:noVBand="1"/>
      </w:tblPr>
      <w:tblGrid>
        <w:gridCol w:w="9878"/>
      </w:tblGrid>
      <w:tr w:rsidR="000404DE" w14:paraId="7E7D9290" w14:textId="77777777">
        <w:trPr>
          <w:jc w:val="center"/>
        </w:trPr>
        <w:tc>
          <w:tcPr>
            <w:tcW w:w="9878" w:type="dxa"/>
            <w:shd w:val="clear" w:color="auto" w:fill="EAF0F7"/>
            <w:tcMar>
              <w:top w:w="140" w:type="dxa"/>
              <w:left w:w="160" w:type="dxa"/>
              <w:bottom w:w="140" w:type="dxa"/>
              <w:right w:w="160" w:type="dxa"/>
            </w:tcMar>
            <w:vAlign w:val="center"/>
          </w:tcPr>
          <w:p w14:paraId="0280BC3F" w14:textId="77777777" w:rsidR="000404DE" w:rsidRDefault="00000000">
            <w:r>
              <w:rPr>
                <w:b/>
                <w:color w:val="324B69"/>
                <w:sz w:val="18"/>
              </w:rPr>
              <w:t>PURPOSE</w:t>
            </w:r>
          </w:p>
          <w:p w14:paraId="1FC25D2F" w14:textId="77777777" w:rsidR="000404DE" w:rsidRDefault="00000000">
            <w:r>
              <w:rPr>
                <w:sz w:val="18"/>
              </w:rPr>
              <w:t>Advance human flourishing through mathematics and computational science by building new foundations for how AI observes, represents and executes computation, and by converting those foundations into measurable industrial infrastructure.</w:t>
            </w:r>
          </w:p>
        </w:tc>
      </w:tr>
    </w:tbl>
    <w:p w14:paraId="326CA1E3" w14:textId="77777777" w:rsidR="000404DE" w:rsidRDefault="00000000">
      <w:r>
        <w:br w:type="page"/>
      </w:r>
    </w:p>
    <w:p w14:paraId="0C8B59CF" w14:textId="77777777" w:rsidR="000404DE" w:rsidRDefault="00000000">
      <w:r>
        <w:rPr>
          <w:b/>
          <w:color w:val="14233C"/>
          <w:sz w:val="48"/>
        </w:rPr>
        <w:lastRenderedPageBreak/>
        <w:t>PART VIII — REFERENCE</w:t>
      </w:r>
    </w:p>
    <w:p w14:paraId="59011398" w14:textId="77777777" w:rsidR="000404DE" w:rsidRDefault="00000000">
      <w:r>
        <w:rPr>
          <w:color w:val="555F6E"/>
          <w:sz w:val="24"/>
        </w:rPr>
        <w:t>Canonical knowledge, misconceptions and teaching layer</w:t>
      </w:r>
    </w:p>
    <w:p w14:paraId="19598D4E" w14:textId="77777777" w:rsidR="000404DE" w:rsidRDefault="00000000">
      <w:pPr>
        <w:pStyle w:val="1"/>
      </w:pPr>
      <w:r>
        <w:rPr>
          <w:rFonts w:ascii="Arial" w:hAnsi="Arial"/>
        </w:rPr>
        <w:t>Appendix A. Canonical Relationship Rules</w:t>
      </w:r>
    </w:p>
    <w:p w14:paraId="1B8EB012" w14:textId="77777777" w:rsidR="000404DE" w:rsidRDefault="00000000">
      <w:pPr>
        <w:pStyle w:val="a"/>
      </w:pPr>
      <w:r>
        <w:t>PRISM is an observation technology, not a product. Its defining architecture is the pre-controller Observation Layer.</w:t>
      </w:r>
    </w:p>
    <w:p w14:paraId="4C0567FF" w14:textId="77777777" w:rsidR="000404DE" w:rsidRDefault="00000000">
      <w:pPr>
        <w:pStyle w:val="a"/>
      </w:pPr>
      <w:r>
        <w:t>ASTOP, ALPHA Compute and ALPHA Core are the three products in the current portfolio.</w:t>
      </w:r>
    </w:p>
    <w:p w14:paraId="06738A17" w14:textId="77777777" w:rsidR="000404DE" w:rsidRDefault="00000000">
      <w:pPr>
        <w:pStyle w:val="a"/>
      </w:pPr>
      <w:r>
        <w:t>The AI-Powered Sales Platform is the commercialization mechanism for moving qualified opportunities from understanding and assessment through PoC, validation, value verification, license-out and licensee development; it is not an additional product or technology.</w:t>
      </w:r>
    </w:p>
    <w:p w14:paraId="19854FC7" w14:textId="77777777" w:rsidR="000404DE" w:rsidRDefault="00000000">
      <w:pPr>
        <w:pStyle w:val="a"/>
      </w:pPr>
      <w:r>
        <w:t>The Internal AI Knowledge Core is an internal component of the AI-Powered Sales Platform for approved definitions, claim/evidence status, disclosure rules, objections and account context; it is not a separate product or technology.</w:t>
      </w:r>
    </w:p>
    <w:p w14:paraId="2A523A58" w14:textId="77777777" w:rsidR="000404DE" w:rsidRDefault="00000000">
      <w:pPr>
        <w:pStyle w:val="a"/>
      </w:pPr>
      <w:r>
        <w:t>PRISM, AXIOM, AXIOM-TENSOR, CRE, FQNM and QNTA are technologies, not products.</w:t>
      </w:r>
    </w:p>
    <w:p w14:paraId="2F950C86" w14:textId="77777777" w:rsidR="000404DE" w:rsidRDefault="00000000">
      <w:pPr>
        <w:pStyle w:val="a"/>
      </w:pPr>
      <w:r>
        <w:t>ASTOP is independent of ALPHA Compute and ALPHA Core.</w:t>
      </w:r>
    </w:p>
    <w:p w14:paraId="040E4042" w14:textId="77777777" w:rsidR="000404DE" w:rsidRDefault="00000000">
      <w:pPr>
        <w:pStyle w:val="a"/>
      </w:pPr>
      <w:r>
        <w:t>ALPHA Compute is an independent software product and can remain in production without ALPHA Core.</w:t>
      </w:r>
    </w:p>
    <w:p w14:paraId="31C3D3B5" w14:textId="77777777" w:rsidR="000404DE" w:rsidRDefault="00000000">
      <w:pPr>
        <w:pStyle w:val="a"/>
      </w:pPr>
      <w:r>
        <w:t>ALPHA Core is a separate optional hardware product for deeper implementation or acceleration of validated ALPHA structures.</w:t>
      </w:r>
    </w:p>
    <w:p w14:paraId="409D9547" w14:textId="77777777" w:rsidR="000404DE" w:rsidRDefault="00000000">
      <w:pPr>
        <w:pStyle w:val="a"/>
      </w:pPr>
      <w:r>
        <w:t>No technology is universally applicable; eligibility is determined at the workload, operator, state-update, runtime and device level.</w:t>
      </w:r>
    </w:p>
    <w:p w14:paraId="7874AC6A" w14:textId="77777777" w:rsidR="000404DE" w:rsidRDefault="00000000">
      <w:pPr>
        <w:pStyle w:val="a"/>
      </w:pPr>
      <w:r>
        <w:t>PRISM is not fundamentally a polling-frequency technology; it is an information-boundary technology whose Observation Layer centers on decision-sufficient representation.</w:t>
      </w:r>
    </w:p>
    <w:p w14:paraId="2F0766BB" w14:textId="77777777" w:rsidR="000404DE" w:rsidRDefault="00000000">
      <w:pPr>
        <w:pStyle w:val="a"/>
      </w:pPr>
      <w:r>
        <w:t>ASTOP should distinguish measured zero from unavailable state and must not fabricate telemetry.</w:t>
      </w:r>
    </w:p>
    <w:p w14:paraId="49FCD01A" w14:textId="77777777" w:rsidR="000404DE" w:rsidRDefault="00000000">
      <w:pPr>
        <w:pStyle w:val="a"/>
      </w:pPr>
      <w:r>
        <w:t>AXIOM-TENSOR exact representation, reduced-budget approximation, selected-layer replacement and runtime benefit are separate claims.</w:t>
      </w:r>
    </w:p>
    <w:p w14:paraId="02C849D2" w14:textId="77777777" w:rsidR="000404DE" w:rsidRDefault="00000000">
      <w:pPr>
        <w:pStyle w:val="a"/>
      </w:pPr>
      <w:r>
        <w:t>CRE mathematical preservation does not automatically imply runtime or memory benefit.</w:t>
      </w:r>
    </w:p>
    <w:p w14:paraId="58C49EA2" w14:textId="77777777" w:rsidR="000404DE" w:rsidRDefault="00000000">
      <w:pPr>
        <w:pStyle w:val="a"/>
      </w:pPr>
      <w:r>
        <w:t>FQNM conservation claims are scope-specific; universal floating-point replacement is not established.</w:t>
      </w:r>
    </w:p>
    <w:p w14:paraId="0A06802E" w14:textId="77777777" w:rsidR="000404DE" w:rsidRDefault="00000000">
      <w:pPr>
        <w:pStyle w:val="a"/>
      </w:pPr>
      <w:r>
        <w:t>QNTA current evidence supports selected inference-compatible learning execution; universal NPU training or GPU elimination is not established.</w:t>
      </w:r>
    </w:p>
    <w:p w14:paraId="3670083A" w14:textId="77777777" w:rsidR="000404DE" w:rsidRDefault="00000000">
      <w:pPr>
        <w:pStyle w:val="a"/>
      </w:pPr>
      <w:r>
        <w:t>Combined technology gains may not be added or multiplied without an integrated benchmark.</w:t>
      </w:r>
    </w:p>
    <w:p w14:paraId="02F876A9" w14:textId="77777777" w:rsidR="000404DE" w:rsidRDefault="00000000">
      <w:pPr>
        <w:pStyle w:val="a"/>
      </w:pPr>
      <w:r>
        <w:t>Energy claims require reliable energy measurement; cooling/facility claims require system-level evidence.</w:t>
      </w:r>
    </w:p>
    <w:p w14:paraId="10ECDFDA" w14:textId="77777777" w:rsidR="000404DE" w:rsidRDefault="00000000">
      <w:pPr>
        <w:pStyle w:val="a"/>
      </w:pPr>
      <w:r>
        <w:t>The ALPHA 67:33 Verified Net Advantage rule does not automatically apply to ASTOP.</w:t>
      </w:r>
    </w:p>
    <w:p w14:paraId="6A547959" w14:textId="77777777" w:rsidR="000404DE" w:rsidRDefault="00000000">
      <w:pPr>
        <w:pStyle w:val="a"/>
      </w:pPr>
      <w:r>
        <w:t>Every customer engagement should strengthen reusable product infrastructure rather than create an isolated consulting branch.</w:t>
      </w:r>
    </w:p>
    <w:p w14:paraId="45C0434B" w14:textId="77777777" w:rsidR="000404DE" w:rsidRDefault="00000000">
      <w:pPr>
        <w:pStyle w:val="a0"/>
      </w:pPr>
      <w:r>
        <w:t>Entity identity and Evidence-to-License status are separate: technology/product tells what the entity is; status tells how far a specific claim or production right has been established.</w:t>
      </w:r>
    </w:p>
    <w:p w14:paraId="7BE266AA" w14:textId="77777777" w:rsidR="000404DE" w:rsidRDefault="00000000">
      <w:pPr>
        <w:pStyle w:val="a0"/>
      </w:pPr>
      <w:r>
        <w:t>“Product” is never used as a proof level. ASTOP, ALPHA Compute and ALPHA Core remain products regardless of whether a specific claim is Experimental, Implemented, Validated, Value-Verified or Licensable.</w:t>
      </w:r>
    </w:p>
    <w:p w14:paraId="37898078" w14:textId="77777777" w:rsidR="000404DE" w:rsidRDefault="00000000">
      <w:pPr>
        <w:pStyle w:val="a0"/>
      </w:pPr>
      <w:r>
        <w:t>The canonical Evidence-to-License sequence is Mathematical → Experimental → Implemented → Validated → Value-Verified → Licensable.</w:t>
      </w:r>
    </w:p>
    <w:p w14:paraId="3112470C" w14:textId="77777777" w:rsidR="000404DE" w:rsidRDefault="00000000">
      <w:pPr>
        <w:pStyle w:val="a0"/>
      </w:pPr>
      <w:r>
        <w:t>No claim or production right may be described at a higher Evidence-to-License status without evidence and controls appropriate to that status.</w:t>
      </w:r>
    </w:p>
    <w:p w14:paraId="253C6DD4" w14:textId="77777777" w:rsidR="000404DE" w:rsidRDefault="00000000">
      <w:pPr>
        <w:pStyle w:val="1"/>
      </w:pPr>
      <w:r>
        <w:rPr>
          <w:rFonts w:ascii="Arial" w:hAnsi="Arial"/>
        </w:rPr>
        <w:lastRenderedPageBreak/>
        <w:t>Appendix B. Common Misconceptions and Corrections</w:t>
      </w:r>
    </w:p>
    <w:tbl>
      <w:tblPr>
        <w:tblStyle w:val="af9"/>
        <w:tblW w:w="0" w:type="auto"/>
        <w:jc w:val="center"/>
        <w:tblLook w:val="04A0" w:firstRow="1" w:lastRow="0" w:firstColumn="1" w:lastColumn="0" w:noHBand="0" w:noVBand="1"/>
      </w:tblPr>
      <w:tblGrid>
        <w:gridCol w:w="3825"/>
        <w:gridCol w:w="6043"/>
      </w:tblGrid>
      <w:tr w:rsidR="000404DE" w14:paraId="656A3078" w14:textId="77777777" w:rsidTr="00C54737">
        <w:trPr>
          <w:jc w:val="center"/>
        </w:trPr>
        <w:tc>
          <w:tcPr>
            <w:tcW w:w="3828" w:type="dxa"/>
            <w:shd w:val="clear" w:color="auto" w:fill="D9E2F3"/>
            <w:tcMar>
              <w:top w:w="100" w:type="dxa"/>
              <w:left w:w="110" w:type="dxa"/>
              <w:bottom w:w="100" w:type="dxa"/>
              <w:right w:w="110" w:type="dxa"/>
            </w:tcMar>
            <w:vAlign w:val="center"/>
          </w:tcPr>
          <w:p w14:paraId="1A4E2905" w14:textId="77777777" w:rsidR="000404DE" w:rsidRDefault="00000000">
            <w:pPr>
              <w:jc w:val="center"/>
            </w:pPr>
            <w:r>
              <w:rPr>
                <w:b/>
                <w:sz w:val="18"/>
              </w:rPr>
              <w:t>Misconception</w:t>
            </w:r>
          </w:p>
        </w:tc>
        <w:tc>
          <w:tcPr>
            <w:tcW w:w="6050" w:type="dxa"/>
            <w:shd w:val="clear" w:color="auto" w:fill="D9E2F3"/>
            <w:tcMar>
              <w:top w:w="100" w:type="dxa"/>
              <w:left w:w="110" w:type="dxa"/>
              <w:bottom w:w="100" w:type="dxa"/>
              <w:right w:w="110" w:type="dxa"/>
            </w:tcMar>
            <w:vAlign w:val="center"/>
          </w:tcPr>
          <w:p w14:paraId="438877D6" w14:textId="77777777" w:rsidR="000404DE" w:rsidRDefault="00000000">
            <w:pPr>
              <w:jc w:val="center"/>
            </w:pPr>
            <w:r>
              <w:rPr>
                <w:b/>
                <w:sz w:val="18"/>
              </w:rPr>
              <w:t>Correction</w:t>
            </w:r>
          </w:p>
        </w:tc>
      </w:tr>
      <w:tr w:rsidR="000404DE" w14:paraId="3B8CBF47" w14:textId="77777777" w:rsidTr="00C54737">
        <w:trPr>
          <w:jc w:val="center"/>
        </w:trPr>
        <w:tc>
          <w:tcPr>
            <w:tcW w:w="3828" w:type="dxa"/>
            <w:tcMar>
              <w:top w:w="100" w:type="dxa"/>
              <w:left w:w="110" w:type="dxa"/>
              <w:bottom w:w="100" w:type="dxa"/>
              <w:right w:w="110" w:type="dxa"/>
            </w:tcMar>
            <w:vAlign w:val="center"/>
          </w:tcPr>
          <w:p w14:paraId="35D262BB" w14:textId="77777777" w:rsidR="000404DE" w:rsidRDefault="00000000">
            <w:pPr>
              <w:jc w:val="center"/>
            </w:pPr>
            <w:r>
              <w:rPr>
                <w:sz w:val="18"/>
              </w:rPr>
              <w:t>“PRISM means polling less often.”</w:t>
            </w:r>
          </w:p>
        </w:tc>
        <w:tc>
          <w:tcPr>
            <w:tcW w:w="6050" w:type="dxa"/>
            <w:tcMar>
              <w:top w:w="100" w:type="dxa"/>
              <w:left w:w="110" w:type="dxa"/>
              <w:bottom w:w="100" w:type="dxa"/>
              <w:right w:w="110" w:type="dxa"/>
            </w:tcMar>
            <w:vAlign w:val="center"/>
          </w:tcPr>
          <w:p w14:paraId="6322726E" w14:textId="77777777" w:rsidR="000404DE" w:rsidRDefault="00000000">
            <w:r>
              <w:rPr>
                <w:sz w:val="18"/>
              </w:rPr>
              <w:t>Too narrow. PRISM changes what information crosses the observation boundary before expensive reasoning. Sparse event delivery is one possible consequence.</w:t>
            </w:r>
          </w:p>
        </w:tc>
      </w:tr>
      <w:tr w:rsidR="000404DE" w14:paraId="10A5F130" w14:textId="77777777" w:rsidTr="00C54737">
        <w:trPr>
          <w:jc w:val="center"/>
        </w:trPr>
        <w:tc>
          <w:tcPr>
            <w:tcW w:w="3828" w:type="dxa"/>
            <w:tcMar>
              <w:top w:w="100" w:type="dxa"/>
              <w:left w:w="110" w:type="dxa"/>
              <w:bottom w:w="100" w:type="dxa"/>
              <w:right w:w="110" w:type="dxa"/>
            </w:tcMar>
            <w:vAlign w:val="center"/>
          </w:tcPr>
          <w:p w14:paraId="2192CE0D" w14:textId="77777777" w:rsidR="000404DE" w:rsidRDefault="00000000">
            <w:pPr>
              <w:jc w:val="center"/>
            </w:pPr>
            <w:r>
              <w:rPr>
                <w:sz w:val="18"/>
              </w:rPr>
              <w:t>“ASTOP is just a monitoring implementation.”</w:t>
            </w:r>
          </w:p>
        </w:tc>
        <w:tc>
          <w:tcPr>
            <w:tcW w:w="6050" w:type="dxa"/>
            <w:tcMar>
              <w:top w:w="100" w:type="dxa"/>
              <w:left w:w="110" w:type="dxa"/>
              <w:bottom w:w="100" w:type="dxa"/>
              <w:right w:w="110" w:type="dxa"/>
            </w:tcMar>
            <w:vAlign w:val="center"/>
          </w:tcPr>
          <w:p w14:paraId="17F79899" w14:textId="77777777" w:rsidR="000404DE" w:rsidRDefault="00000000">
            <w:r>
              <w:rPr>
                <w:sz w:val="18"/>
              </w:rPr>
              <w:t>ASTOP is a product: a cross-platform observability instrument and agent-facing observation service.</w:t>
            </w:r>
          </w:p>
        </w:tc>
      </w:tr>
      <w:tr w:rsidR="000404DE" w14:paraId="7C58122E" w14:textId="77777777" w:rsidTr="00C54737">
        <w:trPr>
          <w:jc w:val="center"/>
        </w:trPr>
        <w:tc>
          <w:tcPr>
            <w:tcW w:w="3828" w:type="dxa"/>
            <w:tcMar>
              <w:top w:w="100" w:type="dxa"/>
              <w:left w:w="110" w:type="dxa"/>
              <w:bottom w:w="100" w:type="dxa"/>
              <w:right w:w="110" w:type="dxa"/>
            </w:tcMar>
            <w:vAlign w:val="center"/>
          </w:tcPr>
          <w:p w14:paraId="49227C7A" w14:textId="77777777" w:rsidR="000404DE" w:rsidRDefault="00000000">
            <w:pPr>
              <w:jc w:val="center"/>
            </w:pPr>
            <w:r>
              <w:rPr>
                <w:sz w:val="18"/>
              </w:rPr>
              <w:t>“AXIOM, CRE, FQNM, QNTA and AXIOM-TENSOR are products.”</w:t>
            </w:r>
          </w:p>
        </w:tc>
        <w:tc>
          <w:tcPr>
            <w:tcW w:w="6050" w:type="dxa"/>
            <w:tcMar>
              <w:top w:w="100" w:type="dxa"/>
              <w:left w:w="110" w:type="dxa"/>
              <w:bottom w:w="100" w:type="dxa"/>
              <w:right w:w="110" w:type="dxa"/>
            </w:tcMar>
            <w:vAlign w:val="center"/>
          </w:tcPr>
          <w:p w14:paraId="4B0E3D72" w14:textId="77777777" w:rsidR="000404DE" w:rsidRDefault="00000000">
            <w:r>
              <w:rPr>
                <w:sz w:val="18"/>
              </w:rPr>
              <w:t>They are technologies used through ALPHA Compute and, where justified, ALPHA Core.</w:t>
            </w:r>
          </w:p>
        </w:tc>
      </w:tr>
      <w:tr w:rsidR="000404DE" w14:paraId="1548FC52" w14:textId="77777777" w:rsidTr="00C54737">
        <w:trPr>
          <w:jc w:val="center"/>
        </w:trPr>
        <w:tc>
          <w:tcPr>
            <w:tcW w:w="3828" w:type="dxa"/>
            <w:tcMar>
              <w:top w:w="100" w:type="dxa"/>
              <w:left w:w="110" w:type="dxa"/>
              <w:bottom w:w="100" w:type="dxa"/>
              <w:right w:w="110" w:type="dxa"/>
            </w:tcMar>
            <w:vAlign w:val="center"/>
          </w:tcPr>
          <w:p w14:paraId="59BE71C2" w14:textId="77777777" w:rsidR="000404DE" w:rsidRDefault="00000000">
            <w:pPr>
              <w:jc w:val="center"/>
            </w:pPr>
            <w:r>
              <w:rPr>
                <w:sz w:val="18"/>
              </w:rPr>
              <w:t>“ALPHA Compute needs ALPHA Core.”</w:t>
            </w:r>
          </w:p>
        </w:tc>
        <w:tc>
          <w:tcPr>
            <w:tcW w:w="6050" w:type="dxa"/>
            <w:tcMar>
              <w:top w:w="100" w:type="dxa"/>
              <w:left w:w="110" w:type="dxa"/>
              <w:bottom w:w="100" w:type="dxa"/>
              <w:right w:w="110" w:type="dxa"/>
            </w:tcMar>
            <w:vAlign w:val="center"/>
          </w:tcPr>
          <w:p w14:paraId="7A1F13D6" w14:textId="77777777" w:rsidR="000404DE" w:rsidRDefault="00000000">
            <w:r>
              <w:rPr>
                <w:sz w:val="18"/>
              </w:rPr>
              <w:t>False. ALPHA Compute can be the complete production software solution on existing hardware.</w:t>
            </w:r>
          </w:p>
        </w:tc>
      </w:tr>
      <w:tr w:rsidR="000404DE" w14:paraId="5EF74173" w14:textId="77777777" w:rsidTr="00C54737">
        <w:trPr>
          <w:jc w:val="center"/>
        </w:trPr>
        <w:tc>
          <w:tcPr>
            <w:tcW w:w="3828" w:type="dxa"/>
            <w:tcMar>
              <w:top w:w="100" w:type="dxa"/>
              <w:left w:w="110" w:type="dxa"/>
              <w:bottom w:w="100" w:type="dxa"/>
              <w:right w:w="110" w:type="dxa"/>
            </w:tcMar>
            <w:vAlign w:val="center"/>
          </w:tcPr>
          <w:p w14:paraId="2C0487C5" w14:textId="77777777" w:rsidR="000404DE" w:rsidRDefault="00000000">
            <w:pPr>
              <w:jc w:val="center"/>
            </w:pPr>
            <w:r>
              <w:rPr>
                <w:sz w:val="18"/>
              </w:rPr>
              <w:t>“AXIOM-TENSOR compression means runtime acceleration.”</w:t>
            </w:r>
          </w:p>
        </w:tc>
        <w:tc>
          <w:tcPr>
            <w:tcW w:w="6050" w:type="dxa"/>
            <w:tcMar>
              <w:top w:w="100" w:type="dxa"/>
              <w:left w:w="110" w:type="dxa"/>
              <w:bottom w:w="100" w:type="dxa"/>
              <w:right w:w="110" w:type="dxa"/>
            </w:tcMar>
            <w:vAlign w:val="center"/>
          </w:tcPr>
          <w:p w14:paraId="44D949F6" w14:textId="77777777" w:rsidR="000404DE" w:rsidRDefault="00000000">
            <w:r>
              <w:rPr>
                <w:sz w:val="18"/>
              </w:rPr>
              <w:t>False. Representation size, execution memory and runtime are separate claims.</w:t>
            </w:r>
          </w:p>
        </w:tc>
      </w:tr>
      <w:tr w:rsidR="000404DE" w14:paraId="5A97BED4" w14:textId="77777777" w:rsidTr="00C54737">
        <w:trPr>
          <w:jc w:val="center"/>
        </w:trPr>
        <w:tc>
          <w:tcPr>
            <w:tcW w:w="3828" w:type="dxa"/>
            <w:tcMar>
              <w:top w:w="100" w:type="dxa"/>
              <w:left w:w="110" w:type="dxa"/>
              <w:bottom w:w="100" w:type="dxa"/>
              <w:right w:w="110" w:type="dxa"/>
            </w:tcMar>
            <w:vAlign w:val="center"/>
          </w:tcPr>
          <w:p w14:paraId="4E96C5DF" w14:textId="77777777" w:rsidR="000404DE" w:rsidRDefault="00000000">
            <w:pPr>
              <w:jc w:val="center"/>
            </w:pPr>
            <w:r>
              <w:rPr>
                <w:sz w:val="18"/>
              </w:rPr>
              <w:t>“CRE converts every complex workload to SPD and makes it faster.”</w:t>
            </w:r>
          </w:p>
        </w:tc>
        <w:tc>
          <w:tcPr>
            <w:tcW w:w="6050" w:type="dxa"/>
            <w:tcMar>
              <w:top w:w="100" w:type="dxa"/>
              <w:left w:w="110" w:type="dxa"/>
              <w:bottom w:w="100" w:type="dxa"/>
              <w:right w:w="110" w:type="dxa"/>
            </w:tcMar>
            <w:vAlign w:val="center"/>
          </w:tcPr>
          <w:p w14:paraId="0931E7D6" w14:textId="77777777" w:rsidR="000404DE" w:rsidRDefault="00000000">
            <w:r>
              <w:rPr>
                <w:sz w:val="18"/>
              </w:rPr>
              <w:t>False. Eligibility and configuration determine whether the validated route applies and whether it wins.</w:t>
            </w:r>
          </w:p>
        </w:tc>
      </w:tr>
      <w:tr w:rsidR="000404DE" w14:paraId="7E18843B" w14:textId="77777777" w:rsidTr="00C54737">
        <w:trPr>
          <w:jc w:val="center"/>
        </w:trPr>
        <w:tc>
          <w:tcPr>
            <w:tcW w:w="3828" w:type="dxa"/>
            <w:tcMar>
              <w:top w:w="100" w:type="dxa"/>
              <w:left w:w="110" w:type="dxa"/>
              <w:bottom w:w="100" w:type="dxa"/>
              <w:right w:w="110" w:type="dxa"/>
            </w:tcMar>
            <w:vAlign w:val="center"/>
          </w:tcPr>
          <w:p w14:paraId="0A80ACCD" w14:textId="77777777" w:rsidR="000404DE" w:rsidRDefault="00000000">
            <w:pPr>
              <w:jc w:val="center"/>
            </w:pPr>
            <w:r>
              <w:rPr>
                <w:sz w:val="18"/>
              </w:rPr>
              <w:t>“FQNM eliminates floating point.”</w:t>
            </w:r>
          </w:p>
        </w:tc>
        <w:tc>
          <w:tcPr>
            <w:tcW w:w="6050" w:type="dxa"/>
            <w:tcMar>
              <w:top w:w="100" w:type="dxa"/>
              <w:left w:w="110" w:type="dxa"/>
              <w:bottom w:w="100" w:type="dxa"/>
              <w:right w:w="110" w:type="dxa"/>
            </w:tcMar>
            <w:vAlign w:val="center"/>
          </w:tcPr>
          <w:p w14:paraId="0571E987" w14:textId="77777777" w:rsidR="000404DE" w:rsidRDefault="00000000">
            <w:r>
              <w:rPr>
                <w:sz w:val="18"/>
              </w:rPr>
              <w:t>False. It is a scope-specific conservative integer-transfer technology.</w:t>
            </w:r>
          </w:p>
        </w:tc>
      </w:tr>
      <w:tr w:rsidR="000404DE" w14:paraId="31BCDB93" w14:textId="77777777" w:rsidTr="00C54737">
        <w:trPr>
          <w:jc w:val="center"/>
        </w:trPr>
        <w:tc>
          <w:tcPr>
            <w:tcW w:w="3828" w:type="dxa"/>
            <w:tcMar>
              <w:top w:w="100" w:type="dxa"/>
              <w:left w:w="110" w:type="dxa"/>
              <w:bottom w:w="100" w:type="dxa"/>
              <w:right w:w="110" w:type="dxa"/>
            </w:tcMar>
            <w:vAlign w:val="center"/>
          </w:tcPr>
          <w:p w14:paraId="0D95C160" w14:textId="77777777" w:rsidR="000404DE" w:rsidRDefault="00000000">
            <w:pPr>
              <w:jc w:val="center"/>
            </w:pPr>
            <w:r>
              <w:rPr>
                <w:sz w:val="18"/>
              </w:rPr>
              <w:t>“QNTA lets any NPU train any model.”</w:t>
            </w:r>
          </w:p>
        </w:tc>
        <w:tc>
          <w:tcPr>
            <w:tcW w:w="6050" w:type="dxa"/>
            <w:tcMar>
              <w:top w:w="100" w:type="dxa"/>
              <w:left w:w="110" w:type="dxa"/>
              <w:bottom w:w="100" w:type="dxa"/>
              <w:right w:w="110" w:type="dxa"/>
            </w:tcMar>
            <w:vAlign w:val="center"/>
          </w:tcPr>
          <w:p w14:paraId="45282FC1" w14:textId="77777777" w:rsidR="000404DE" w:rsidRDefault="00000000">
            <w:r>
              <w:rPr>
                <w:sz w:val="18"/>
              </w:rPr>
              <w:t>False. It restructures selected learning processes and requires per-task/runtime/device validation.</w:t>
            </w:r>
          </w:p>
        </w:tc>
      </w:tr>
      <w:tr w:rsidR="000404DE" w14:paraId="0CE70F77" w14:textId="77777777" w:rsidTr="00C54737">
        <w:trPr>
          <w:jc w:val="center"/>
        </w:trPr>
        <w:tc>
          <w:tcPr>
            <w:tcW w:w="3828" w:type="dxa"/>
            <w:tcMar>
              <w:top w:w="100" w:type="dxa"/>
              <w:left w:w="110" w:type="dxa"/>
              <w:bottom w:w="100" w:type="dxa"/>
              <w:right w:w="110" w:type="dxa"/>
            </w:tcMar>
            <w:vAlign w:val="center"/>
          </w:tcPr>
          <w:p w14:paraId="354075C9" w14:textId="77777777" w:rsidR="000404DE" w:rsidRDefault="00000000">
            <w:pPr>
              <w:jc w:val="center"/>
            </w:pPr>
            <w:r>
              <w:rPr>
                <w:sz w:val="18"/>
              </w:rPr>
              <w:t>“PRISM’s token reductions prove universal reasoning reduction.”</w:t>
            </w:r>
          </w:p>
        </w:tc>
        <w:tc>
          <w:tcPr>
            <w:tcW w:w="6050" w:type="dxa"/>
            <w:tcMar>
              <w:top w:w="100" w:type="dxa"/>
              <w:left w:w="110" w:type="dxa"/>
              <w:bottom w:w="100" w:type="dxa"/>
              <w:right w:w="110" w:type="dxa"/>
            </w:tcMar>
            <w:vAlign w:val="center"/>
          </w:tcPr>
          <w:p w14:paraId="04F382A1" w14:textId="77777777" w:rsidR="000404DE" w:rsidRDefault="00000000">
            <w:r>
              <w:rPr>
                <w:sz w:val="18"/>
              </w:rPr>
              <w:t>False. The study includes counterexamples where shorter input induced more generation; resource coordinates are separate.</w:t>
            </w:r>
          </w:p>
        </w:tc>
      </w:tr>
      <w:tr w:rsidR="000404DE" w14:paraId="7224BD7A" w14:textId="77777777" w:rsidTr="00C54737">
        <w:trPr>
          <w:jc w:val="center"/>
        </w:trPr>
        <w:tc>
          <w:tcPr>
            <w:tcW w:w="3828" w:type="dxa"/>
            <w:tcMar>
              <w:top w:w="100" w:type="dxa"/>
              <w:left w:w="110" w:type="dxa"/>
              <w:bottom w:w="100" w:type="dxa"/>
              <w:right w:w="110" w:type="dxa"/>
            </w:tcMar>
            <w:vAlign w:val="center"/>
          </w:tcPr>
          <w:p w14:paraId="17490BD2" w14:textId="77777777" w:rsidR="000404DE" w:rsidRDefault="00000000">
            <w:pPr>
              <w:jc w:val="center"/>
            </w:pPr>
            <w:r>
              <w:rPr>
                <w:sz w:val="18"/>
              </w:rPr>
              <w:t>“ASTOP and ALPHA must be deployed together.”</w:t>
            </w:r>
          </w:p>
        </w:tc>
        <w:tc>
          <w:tcPr>
            <w:tcW w:w="6050" w:type="dxa"/>
            <w:tcMar>
              <w:top w:w="100" w:type="dxa"/>
              <w:left w:w="110" w:type="dxa"/>
              <w:bottom w:w="100" w:type="dxa"/>
              <w:right w:w="110" w:type="dxa"/>
            </w:tcMar>
            <w:vAlign w:val="center"/>
          </w:tcPr>
          <w:p w14:paraId="6857249E" w14:textId="77777777" w:rsidR="000404DE" w:rsidRDefault="00000000">
            <w:r>
              <w:rPr>
                <w:sz w:val="18"/>
              </w:rPr>
              <w:t>False. The products are independent and may be composed only where useful.</w:t>
            </w:r>
          </w:p>
        </w:tc>
      </w:tr>
    </w:tbl>
    <w:p w14:paraId="0685E9BC" w14:textId="77777777" w:rsidR="000404DE" w:rsidRDefault="00000000">
      <w:pPr>
        <w:pStyle w:val="1"/>
      </w:pPr>
      <w:r>
        <w:rPr>
          <w:rFonts w:ascii="Arial" w:hAnsi="Arial"/>
        </w:rPr>
        <w:t>Appendix C. Standard Q&amp;A</w:t>
      </w:r>
    </w:p>
    <w:p w14:paraId="5A6480E0" w14:textId="77777777" w:rsidR="000404DE" w:rsidRDefault="00000000">
      <w:pPr>
        <w:pStyle w:val="31"/>
      </w:pPr>
      <w:r>
        <w:rPr>
          <w:rFonts w:ascii="Arial" w:hAnsi="Arial"/>
        </w:rPr>
        <w:t>What is PRISM?</w:t>
      </w:r>
    </w:p>
    <w:p w14:paraId="5CB0F853" w14:textId="77777777" w:rsidR="000404DE" w:rsidRDefault="00000000">
      <w:r>
        <w:t>An observation technology whose core architecture projects raw history into decision-facing semantic information before an expensive controller is invoked.</w:t>
      </w:r>
    </w:p>
    <w:p w14:paraId="0C337806" w14:textId="77777777" w:rsidR="000404DE" w:rsidRDefault="00000000">
      <w:pPr>
        <w:pStyle w:val="31"/>
      </w:pPr>
      <w:r>
        <w:rPr>
          <w:rFonts w:ascii="Arial" w:hAnsi="Arial"/>
        </w:rPr>
        <w:t>What is ASTOP?</w:t>
      </w:r>
    </w:p>
    <w:p w14:paraId="2D9038ED" w14:textId="77777777" w:rsidR="000404DE" w:rsidRDefault="00000000">
      <w:r>
        <w:t>The observation product that provides cross-platform host, accelerator, process and experiment telemetry to humans, programs and agents, including persistent event-driven observation.</w:t>
      </w:r>
    </w:p>
    <w:p w14:paraId="10E49F29" w14:textId="77777777" w:rsidR="000404DE" w:rsidRDefault="00000000">
      <w:pPr>
        <w:pStyle w:val="31"/>
      </w:pPr>
      <w:r>
        <w:rPr>
          <w:rFonts w:ascii="Arial" w:hAnsi="Arial"/>
        </w:rPr>
        <w:t>What is ALPHA Compute?</w:t>
      </w:r>
    </w:p>
    <w:p w14:paraId="2DBAB12D" w14:textId="77777777" w:rsidR="000404DE" w:rsidRDefault="00000000">
      <w:r>
        <w:t>The independent software product that diagnoses, transforms, executes/routes, verifies and measures eligible computation using applicable itriX technologies.</w:t>
      </w:r>
    </w:p>
    <w:p w14:paraId="6E2BD78C" w14:textId="77777777" w:rsidR="000404DE" w:rsidRDefault="00000000">
      <w:pPr>
        <w:pStyle w:val="31"/>
      </w:pPr>
      <w:r>
        <w:rPr>
          <w:rFonts w:ascii="Arial" w:hAnsi="Arial"/>
        </w:rPr>
        <w:lastRenderedPageBreak/>
        <w:t>What is ALPHA Core?</w:t>
      </w:r>
    </w:p>
    <w:p w14:paraId="22F90BA6" w14:textId="77777777" w:rsidR="000404DE" w:rsidRDefault="00000000">
      <w:r>
        <w:t>The separate optional hardware product that implements or accelerates validated ALPHA structures when deeper hardware value is justified.</w:t>
      </w:r>
    </w:p>
    <w:p w14:paraId="4740A776" w14:textId="77777777" w:rsidR="000404DE" w:rsidRDefault="00000000">
      <w:pPr>
        <w:pStyle w:val="31"/>
      </w:pPr>
      <w:r>
        <w:rPr>
          <w:rFonts w:ascii="Arial" w:hAnsi="Arial"/>
        </w:rPr>
        <w:t>Which are the technologies?</w:t>
      </w:r>
    </w:p>
    <w:p w14:paraId="166530A3" w14:textId="77777777" w:rsidR="000404DE" w:rsidRDefault="00000000">
      <w:r>
        <w:t>PRISM, AXIOM, AXIOM-TENSOR, CRE, FQNM and QNTA.</w:t>
      </w:r>
    </w:p>
    <w:p w14:paraId="43079DBA" w14:textId="77777777" w:rsidR="000404DE" w:rsidRDefault="00000000">
      <w:pPr>
        <w:pStyle w:val="31"/>
      </w:pPr>
      <w:r>
        <w:t>What is the AI-Powered Sales Platform?</w:t>
      </w:r>
    </w:p>
    <w:p w14:paraId="163AD179" w14:textId="77777777" w:rsidR="000404DE" w:rsidRDefault="00000000">
      <w:r>
        <w:t>The commercialization platform that manages the customer journey from education and qualification through assessment, PoC, validation, value verification, license-out and licensee development. It is not an additional customer product or technology.</w:t>
      </w:r>
    </w:p>
    <w:p w14:paraId="6982CDD2" w14:textId="77777777" w:rsidR="000404DE" w:rsidRDefault="00000000">
      <w:pPr>
        <w:pStyle w:val="31"/>
      </w:pPr>
      <w:r>
        <w:t>What is the Internal AI Knowledge Core?</w:t>
      </w:r>
    </w:p>
    <w:p w14:paraId="5A1EDA56" w14:textId="77777777" w:rsidR="000404DE" w:rsidRDefault="00000000">
      <w:r>
        <w:t>An internal component of the AI-Powered Sales Platform that maintains approved definitions, evidence status, disclosure boundaries, standard answers, objections and account context so human and AI-assisted sales work from a controlled knowledge base.</w:t>
      </w:r>
    </w:p>
    <w:p w14:paraId="6CAB0868" w14:textId="77777777" w:rsidR="000404DE" w:rsidRDefault="00000000">
      <w:pPr>
        <w:pStyle w:val="31"/>
      </w:pPr>
      <w:r>
        <w:rPr>
          <w:rFonts w:ascii="Arial" w:hAnsi="Arial"/>
        </w:rPr>
        <w:t>Does PRISM merely reduce observation frequency?</w:t>
      </w:r>
    </w:p>
    <w:p w14:paraId="786E5E96" w14:textId="77777777" w:rsidR="000404DE" w:rsidRDefault="00000000">
      <w:r>
        <w:t>No. Its core contribution is the information boundary: what decision-relevant representation reaches the controller. Frequency reduction may follow when decision-equivalent state is suppressed.</w:t>
      </w:r>
    </w:p>
    <w:p w14:paraId="3D2F9468" w14:textId="77777777" w:rsidR="000404DE" w:rsidRDefault="00000000">
      <w:pPr>
        <w:pStyle w:val="31"/>
      </w:pPr>
      <w:r>
        <w:rPr>
          <w:rFonts w:ascii="Arial" w:hAnsi="Arial"/>
        </w:rPr>
        <w:t>Does QNTA replace GPUs?</w:t>
      </w:r>
    </w:p>
    <w:p w14:paraId="655D339E" w14:textId="77777777" w:rsidR="000404DE" w:rsidRDefault="00000000">
      <w:r>
        <w:t>No. Current evidence supports selected inference-compatible learning execution and a broader design space, not universal GPU replacement.</w:t>
      </w:r>
    </w:p>
    <w:p w14:paraId="43922C6F" w14:textId="77777777" w:rsidR="000404DE" w:rsidRDefault="00000000">
      <w:pPr>
        <w:pStyle w:val="31"/>
      </w:pPr>
      <w:r>
        <w:rPr>
          <w:rFonts w:ascii="Arial" w:hAnsi="Arial"/>
        </w:rPr>
        <w:t>Can ASTOP be used without ALPHA?</w:t>
      </w:r>
    </w:p>
    <w:p w14:paraId="59BF77B6" w14:textId="77777777" w:rsidR="000404DE" w:rsidRDefault="00000000">
      <w:r>
        <w:t>Yes. It is an independent observability product.</w:t>
      </w:r>
    </w:p>
    <w:p w14:paraId="216075B5" w14:textId="77777777" w:rsidR="000404DE" w:rsidRDefault="00000000">
      <w:pPr>
        <w:pStyle w:val="31"/>
      </w:pPr>
      <w:r>
        <w:rPr>
          <w:rFonts w:ascii="Arial" w:hAnsi="Arial"/>
        </w:rPr>
        <w:t>Can ALPHA Compute be used without ALPHA Core?</w:t>
      </w:r>
    </w:p>
    <w:p w14:paraId="0C906C83" w14:textId="77777777" w:rsidR="000404DE" w:rsidRDefault="00000000">
      <w:r>
        <w:t>Yes. That is a canonical product rule.</w:t>
      </w:r>
    </w:p>
    <w:p w14:paraId="1B9F8335" w14:textId="77777777" w:rsidR="000404DE" w:rsidRDefault="00000000">
      <w:pPr>
        <w:pStyle w:val="31"/>
      </w:pPr>
      <w:r>
        <w:rPr>
          <w:rFonts w:ascii="Arial" w:hAnsi="Arial"/>
        </w:rPr>
        <w:t>What is the long-term ambition?</w:t>
      </w:r>
    </w:p>
    <w:p w14:paraId="517942C6" w14:textId="77777777" w:rsidR="000404DE" w:rsidRDefault="00000000">
      <w:r>
        <w:t>To build AI-native computational infrastructure that can organize observation, improve eligible representation, execute efficiently and verify advantage without forcing one proprietary stack on every customer.</w:t>
      </w:r>
    </w:p>
    <w:p w14:paraId="34037A73" w14:textId="77777777" w:rsidR="000404DE" w:rsidRDefault="00000000">
      <w:pPr>
        <w:pStyle w:val="1"/>
      </w:pPr>
      <w:r>
        <w:rPr>
          <w:rFonts w:ascii="Arial" w:hAnsi="Arial"/>
        </w:rPr>
        <w:t>Appendix D. Glossary</w:t>
      </w:r>
    </w:p>
    <w:tbl>
      <w:tblPr>
        <w:tblStyle w:val="af9"/>
        <w:tblW w:w="0" w:type="auto"/>
        <w:jc w:val="center"/>
        <w:tblLook w:val="04A0" w:firstRow="1" w:lastRow="0" w:firstColumn="1" w:lastColumn="0" w:noHBand="0" w:noVBand="1"/>
      </w:tblPr>
      <w:tblGrid>
        <w:gridCol w:w="2833"/>
        <w:gridCol w:w="7035"/>
      </w:tblGrid>
      <w:tr w:rsidR="000404DE" w14:paraId="3745640D" w14:textId="77777777" w:rsidTr="00C54737">
        <w:trPr>
          <w:jc w:val="center"/>
        </w:trPr>
        <w:tc>
          <w:tcPr>
            <w:tcW w:w="2835" w:type="dxa"/>
            <w:shd w:val="clear" w:color="auto" w:fill="D9E2F3"/>
            <w:tcMar>
              <w:top w:w="100" w:type="dxa"/>
              <w:left w:w="110" w:type="dxa"/>
              <w:bottom w:w="100" w:type="dxa"/>
              <w:right w:w="110" w:type="dxa"/>
            </w:tcMar>
            <w:vAlign w:val="center"/>
          </w:tcPr>
          <w:p w14:paraId="047D636D" w14:textId="77777777" w:rsidR="000404DE" w:rsidRDefault="00000000">
            <w:pPr>
              <w:jc w:val="center"/>
            </w:pPr>
            <w:r>
              <w:rPr>
                <w:b/>
                <w:sz w:val="18"/>
              </w:rPr>
              <w:t>Term</w:t>
            </w:r>
          </w:p>
        </w:tc>
        <w:tc>
          <w:tcPr>
            <w:tcW w:w="7043" w:type="dxa"/>
            <w:shd w:val="clear" w:color="auto" w:fill="D9E2F3"/>
            <w:tcMar>
              <w:top w:w="100" w:type="dxa"/>
              <w:left w:w="110" w:type="dxa"/>
              <w:bottom w:w="100" w:type="dxa"/>
              <w:right w:w="110" w:type="dxa"/>
            </w:tcMar>
            <w:vAlign w:val="center"/>
          </w:tcPr>
          <w:p w14:paraId="595BF150" w14:textId="77777777" w:rsidR="000404DE" w:rsidRDefault="00000000">
            <w:pPr>
              <w:jc w:val="center"/>
            </w:pPr>
            <w:r>
              <w:rPr>
                <w:b/>
                <w:sz w:val="18"/>
              </w:rPr>
              <w:t>Definition</w:t>
            </w:r>
          </w:p>
        </w:tc>
      </w:tr>
      <w:tr w:rsidR="000404DE" w14:paraId="52924797" w14:textId="77777777" w:rsidTr="00C54737">
        <w:trPr>
          <w:jc w:val="center"/>
        </w:trPr>
        <w:tc>
          <w:tcPr>
            <w:tcW w:w="2835" w:type="dxa"/>
            <w:tcMar>
              <w:top w:w="100" w:type="dxa"/>
              <w:left w:w="110" w:type="dxa"/>
              <w:bottom w:w="100" w:type="dxa"/>
              <w:right w:w="110" w:type="dxa"/>
            </w:tcMar>
            <w:vAlign w:val="center"/>
          </w:tcPr>
          <w:p w14:paraId="7C1C2654" w14:textId="77777777" w:rsidR="000404DE" w:rsidRDefault="00000000">
            <w:pPr>
              <w:jc w:val="center"/>
            </w:pPr>
            <w:r>
              <w:rPr>
                <w:sz w:val="18"/>
              </w:rPr>
              <w:t>PRISM</w:t>
            </w:r>
          </w:p>
        </w:tc>
        <w:tc>
          <w:tcPr>
            <w:tcW w:w="7043" w:type="dxa"/>
            <w:tcMar>
              <w:top w:w="100" w:type="dxa"/>
              <w:left w:w="110" w:type="dxa"/>
              <w:bottom w:w="100" w:type="dxa"/>
              <w:right w:w="110" w:type="dxa"/>
            </w:tcMar>
            <w:vAlign w:val="center"/>
          </w:tcPr>
          <w:p w14:paraId="5EF75C06" w14:textId="77777777" w:rsidR="000404DE" w:rsidRDefault="00000000">
            <w:r>
              <w:t>Projection and Representation for Intelligent Semantic Monitoring; observation technology that projects raw computational state into decision-sufficient information through a pre-controller Observation Layer.</w:t>
            </w:r>
          </w:p>
        </w:tc>
      </w:tr>
      <w:tr w:rsidR="000404DE" w14:paraId="673E4A50" w14:textId="77777777" w:rsidTr="00C54737">
        <w:trPr>
          <w:jc w:val="center"/>
        </w:trPr>
        <w:tc>
          <w:tcPr>
            <w:tcW w:w="2835" w:type="dxa"/>
            <w:tcMar>
              <w:top w:w="100" w:type="dxa"/>
              <w:left w:w="110" w:type="dxa"/>
              <w:bottom w:w="100" w:type="dxa"/>
              <w:right w:w="110" w:type="dxa"/>
            </w:tcMar>
            <w:vAlign w:val="center"/>
          </w:tcPr>
          <w:p w14:paraId="50D15DE5" w14:textId="77777777" w:rsidR="000404DE" w:rsidRDefault="00000000">
            <w:pPr>
              <w:jc w:val="center"/>
            </w:pPr>
            <w:r>
              <w:rPr>
                <w:sz w:val="18"/>
              </w:rPr>
              <w:t>ASTOP</w:t>
            </w:r>
          </w:p>
        </w:tc>
        <w:tc>
          <w:tcPr>
            <w:tcW w:w="7043" w:type="dxa"/>
            <w:tcMar>
              <w:top w:w="100" w:type="dxa"/>
              <w:left w:w="110" w:type="dxa"/>
              <w:bottom w:w="100" w:type="dxa"/>
              <w:right w:w="110" w:type="dxa"/>
            </w:tcMar>
            <w:vAlign w:val="center"/>
          </w:tcPr>
          <w:p w14:paraId="0B0C0591" w14:textId="77777777" w:rsidR="000404DE" w:rsidRDefault="00000000">
            <w:r>
              <w:rPr>
                <w:sz w:val="18"/>
              </w:rPr>
              <w:t>A System Trans-Observation Projector; cross-platform observability product.</w:t>
            </w:r>
          </w:p>
        </w:tc>
      </w:tr>
      <w:tr w:rsidR="000404DE" w14:paraId="484A9D93" w14:textId="77777777" w:rsidTr="00C54737">
        <w:trPr>
          <w:jc w:val="center"/>
        </w:trPr>
        <w:tc>
          <w:tcPr>
            <w:tcW w:w="2835" w:type="dxa"/>
            <w:tcMar>
              <w:top w:w="100" w:type="dxa"/>
              <w:left w:w="110" w:type="dxa"/>
              <w:bottom w:w="100" w:type="dxa"/>
              <w:right w:w="110" w:type="dxa"/>
            </w:tcMar>
            <w:vAlign w:val="center"/>
          </w:tcPr>
          <w:p w14:paraId="5BB5D992" w14:textId="77777777" w:rsidR="000404DE" w:rsidRDefault="00000000">
            <w:pPr>
              <w:jc w:val="center"/>
            </w:pPr>
            <w:r>
              <w:rPr>
                <w:sz w:val="18"/>
              </w:rPr>
              <w:t>ALPHA Compute</w:t>
            </w:r>
          </w:p>
        </w:tc>
        <w:tc>
          <w:tcPr>
            <w:tcW w:w="7043" w:type="dxa"/>
            <w:tcMar>
              <w:top w:w="100" w:type="dxa"/>
              <w:left w:w="110" w:type="dxa"/>
              <w:bottom w:w="100" w:type="dxa"/>
              <w:right w:w="110" w:type="dxa"/>
            </w:tcMar>
            <w:vAlign w:val="center"/>
          </w:tcPr>
          <w:p w14:paraId="6A688F34" w14:textId="77777777" w:rsidR="000404DE" w:rsidRDefault="00000000">
            <w:r>
              <w:rPr>
                <w:sz w:val="18"/>
              </w:rPr>
              <w:t>Independent software computational infrastructure product.</w:t>
            </w:r>
          </w:p>
        </w:tc>
      </w:tr>
      <w:tr w:rsidR="000404DE" w14:paraId="5A8DBA24" w14:textId="77777777" w:rsidTr="00C54737">
        <w:trPr>
          <w:jc w:val="center"/>
        </w:trPr>
        <w:tc>
          <w:tcPr>
            <w:tcW w:w="2835" w:type="dxa"/>
            <w:tcMar>
              <w:top w:w="100" w:type="dxa"/>
              <w:left w:w="110" w:type="dxa"/>
              <w:bottom w:w="100" w:type="dxa"/>
              <w:right w:w="110" w:type="dxa"/>
            </w:tcMar>
            <w:vAlign w:val="center"/>
          </w:tcPr>
          <w:p w14:paraId="718BE884" w14:textId="77777777" w:rsidR="000404DE" w:rsidRDefault="00000000">
            <w:pPr>
              <w:jc w:val="center"/>
            </w:pPr>
            <w:r>
              <w:rPr>
                <w:sz w:val="18"/>
              </w:rPr>
              <w:lastRenderedPageBreak/>
              <w:t>ALPHA Core</w:t>
            </w:r>
          </w:p>
        </w:tc>
        <w:tc>
          <w:tcPr>
            <w:tcW w:w="7043" w:type="dxa"/>
            <w:tcMar>
              <w:top w:w="100" w:type="dxa"/>
              <w:left w:w="110" w:type="dxa"/>
              <w:bottom w:w="100" w:type="dxa"/>
              <w:right w:w="110" w:type="dxa"/>
            </w:tcMar>
            <w:vAlign w:val="center"/>
          </w:tcPr>
          <w:p w14:paraId="1F64012C" w14:textId="77777777" w:rsidR="000404DE" w:rsidRDefault="00000000">
            <w:r>
              <w:rPr>
                <w:sz w:val="18"/>
              </w:rPr>
              <w:t>Separate optional hardware computational infrastructure product.</w:t>
            </w:r>
          </w:p>
        </w:tc>
      </w:tr>
      <w:tr w:rsidR="000404DE" w14:paraId="3229A5C2" w14:textId="77777777" w:rsidTr="00C54737">
        <w:trPr>
          <w:jc w:val="center"/>
        </w:trPr>
        <w:tc>
          <w:tcPr>
            <w:tcW w:w="2835" w:type="dxa"/>
            <w:tcMar>
              <w:top w:w="100" w:type="dxa"/>
              <w:left w:w="110" w:type="dxa"/>
              <w:bottom w:w="100" w:type="dxa"/>
              <w:right w:w="110" w:type="dxa"/>
            </w:tcMar>
            <w:vAlign w:val="center"/>
          </w:tcPr>
          <w:p w14:paraId="0A2AEA06" w14:textId="77777777" w:rsidR="000404DE" w:rsidRDefault="00000000">
            <w:pPr>
              <w:jc w:val="center"/>
            </w:pPr>
            <w:r>
              <w:rPr>
                <w:sz w:val="18"/>
              </w:rPr>
              <w:t>AXIOM</w:t>
            </w:r>
          </w:p>
        </w:tc>
        <w:tc>
          <w:tcPr>
            <w:tcW w:w="7043" w:type="dxa"/>
            <w:tcMar>
              <w:top w:w="100" w:type="dxa"/>
              <w:left w:w="110" w:type="dxa"/>
              <w:bottom w:w="100" w:type="dxa"/>
              <w:right w:w="110" w:type="dxa"/>
            </w:tcMar>
            <w:vAlign w:val="center"/>
          </w:tcPr>
          <w:p w14:paraId="2B608DB8" w14:textId="77777777" w:rsidR="000404DE" w:rsidRDefault="00000000">
            <w:r>
              <w:t>High-dimensional algebra/state representation technology centered on structured state evolution, observation/projection and reconstruction.</w:t>
            </w:r>
          </w:p>
        </w:tc>
      </w:tr>
      <w:tr w:rsidR="000404DE" w14:paraId="20F7803A" w14:textId="77777777" w:rsidTr="00C54737">
        <w:trPr>
          <w:jc w:val="center"/>
        </w:trPr>
        <w:tc>
          <w:tcPr>
            <w:tcW w:w="2835" w:type="dxa"/>
            <w:tcMar>
              <w:top w:w="100" w:type="dxa"/>
              <w:left w:w="110" w:type="dxa"/>
              <w:bottom w:w="100" w:type="dxa"/>
              <w:right w:w="110" w:type="dxa"/>
            </w:tcMar>
            <w:vAlign w:val="center"/>
          </w:tcPr>
          <w:p w14:paraId="02C8DC1F" w14:textId="77777777" w:rsidR="000404DE" w:rsidRDefault="00000000">
            <w:pPr>
              <w:jc w:val="center"/>
            </w:pPr>
            <w:r>
              <w:rPr>
                <w:sz w:val="18"/>
              </w:rPr>
              <w:t>AXIOM-TENSOR</w:t>
            </w:r>
          </w:p>
        </w:tc>
        <w:tc>
          <w:tcPr>
            <w:tcW w:w="7043" w:type="dxa"/>
            <w:tcMar>
              <w:top w:w="100" w:type="dxa"/>
              <w:left w:w="110" w:type="dxa"/>
              <w:bottom w:w="100" w:type="dxa"/>
              <w:right w:w="110" w:type="dxa"/>
            </w:tcMar>
            <w:vAlign w:val="center"/>
          </w:tcPr>
          <w:p w14:paraId="6EB1402A" w14:textId="77777777" w:rsidR="000404DE" w:rsidRDefault="00000000">
            <w:r>
              <w:t>Structured operator/tensor representation technology for exact or reduced-budget representations, applied selectively where quality and execution thresholds are met.</w:t>
            </w:r>
          </w:p>
        </w:tc>
      </w:tr>
      <w:tr w:rsidR="000404DE" w14:paraId="29F322ED" w14:textId="77777777" w:rsidTr="00C54737">
        <w:trPr>
          <w:jc w:val="center"/>
        </w:trPr>
        <w:tc>
          <w:tcPr>
            <w:tcW w:w="2835" w:type="dxa"/>
            <w:tcMar>
              <w:top w:w="100" w:type="dxa"/>
              <w:left w:w="110" w:type="dxa"/>
              <w:bottom w:w="100" w:type="dxa"/>
              <w:right w:w="110" w:type="dxa"/>
            </w:tcMar>
            <w:vAlign w:val="center"/>
          </w:tcPr>
          <w:p w14:paraId="51FEE9F1" w14:textId="77777777" w:rsidR="000404DE" w:rsidRDefault="00000000">
            <w:pPr>
              <w:jc w:val="center"/>
            </w:pPr>
            <w:r>
              <w:rPr>
                <w:sz w:val="18"/>
              </w:rPr>
              <w:t>CRE</w:t>
            </w:r>
          </w:p>
        </w:tc>
        <w:tc>
          <w:tcPr>
            <w:tcW w:w="7043" w:type="dxa"/>
            <w:tcMar>
              <w:top w:w="100" w:type="dxa"/>
              <w:left w:w="110" w:type="dxa"/>
              <w:bottom w:w="100" w:type="dxa"/>
              <w:right w:w="110" w:type="dxa"/>
            </w:tcMar>
            <w:vAlign w:val="center"/>
          </w:tcPr>
          <w:p w14:paraId="3B619738" w14:textId="77777777" w:rsidR="000404DE" w:rsidRDefault="00000000">
            <w:r>
              <w:t>Conjugation–Real Embedding; structure-preserving complex-to-real technology for eligible operators, including validated HPD-to-SPD execution routes.</w:t>
            </w:r>
          </w:p>
        </w:tc>
      </w:tr>
      <w:tr w:rsidR="000404DE" w14:paraId="36172BF4" w14:textId="77777777" w:rsidTr="00C54737">
        <w:trPr>
          <w:jc w:val="center"/>
        </w:trPr>
        <w:tc>
          <w:tcPr>
            <w:tcW w:w="2835" w:type="dxa"/>
            <w:tcMar>
              <w:top w:w="100" w:type="dxa"/>
              <w:left w:w="110" w:type="dxa"/>
              <w:bottom w:w="100" w:type="dxa"/>
              <w:right w:w="110" w:type="dxa"/>
            </w:tcMar>
            <w:vAlign w:val="center"/>
          </w:tcPr>
          <w:p w14:paraId="6F8FA0EE" w14:textId="77777777" w:rsidR="000404DE" w:rsidRDefault="00000000">
            <w:pPr>
              <w:jc w:val="center"/>
            </w:pPr>
            <w:r>
              <w:rPr>
                <w:sz w:val="18"/>
              </w:rPr>
              <w:t>FQNM</w:t>
            </w:r>
          </w:p>
        </w:tc>
        <w:tc>
          <w:tcPr>
            <w:tcW w:w="7043" w:type="dxa"/>
            <w:tcMar>
              <w:top w:w="100" w:type="dxa"/>
              <w:left w:w="110" w:type="dxa"/>
              <w:bottom w:w="100" w:type="dxa"/>
              <w:right w:w="110" w:type="dxa"/>
            </w:tcMar>
            <w:vAlign w:val="center"/>
          </w:tcPr>
          <w:p w14:paraId="741DCB8F" w14:textId="77777777" w:rsidR="000404DE" w:rsidRDefault="00000000">
            <w:r>
              <w:t>Fast Quantised Numerical Method; quantised integer-transfer technology for validated conservative dynamics with structural discrete conservation.</w:t>
            </w:r>
          </w:p>
        </w:tc>
      </w:tr>
      <w:tr w:rsidR="000404DE" w14:paraId="448DFC02" w14:textId="77777777" w:rsidTr="00C54737">
        <w:trPr>
          <w:jc w:val="center"/>
        </w:trPr>
        <w:tc>
          <w:tcPr>
            <w:tcW w:w="2835" w:type="dxa"/>
            <w:tcMar>
              <w:top w:w="100" w:type="dxa"/>
              <w:left w:w="110" w:type="dxa"/>
              <w:bottom w:w="100" w:type="dxa"/>
              <w:right w:w="110" w:type="dxa"/>
            </w:tcMar>
            <w:vAlign w:val="center"/>
          </w:tcPr>
          <w:p w14:paraId="31FE04FC" w14:textId="77777777" w:rsidR="000404DE" w:rsidRDefault="00000000">
            <w:pPr>
              <w:jc w:val="center"/>
            </w:pPr>
            <w:r>
              <w:rPr>
                <w:sz w:val="18"/>
              </w:rPr>
              <w:t>QNTA</w:t>
            </w:r>
          </w:p>
        </w:tc>
        <w:tc>
          <w:tcPr>
            <w:tcW w:w="7043" w:type="dxa"/>
            <w:tcMar>
              <w:top w:w="100" w:type="dxa"/>
              <w:left w:w="110" w:type="dxa"/>
              <w:bottom w:w="100" w:type="dxa"/>
              <w:right w:w="110" w:type="dxa"/>
            </w:tcMar>
            <w:vAlign w:val="center"/>
          </w:tcPr>
          <w:p w14:paraId="79120D1D" w14:textId="77777777" w:rsidR="000404DE" w:rsidRDefault="00000000">
            <w:r>
              <w:t>Technology that expresses selected learning computation and mutable state as an explicit inference-compatible contract, subject to task/runtime/device validation.</w:t>
            </w:r>
          </w:p>
        </w:tc>
      </w:tr>
      <w:tr w:rsidR="000404DE" w14:paraId="5769CB61" w14:textId="77777777" w:rsidTr="00C54737">
        <w:trPr>
          <w:jc w:val="center"/>
        </w:trPr>
        <w:tc>
          <w:tcPr>
            <w:tcW w:w="2835" w:type="dxa"/>
            <w:tcMar>
              <w:top w:w="100" w:type="dxa"/>
              <w:left w:w="110" w:type="dxa"/>
              <w:bottom w:w="100" w:type="dxa"/>
              <w:right w:w="110" w:type="dxa"/>
            </w:tcMar>
            <w:vAlign w:val="center"/>
          </w:tcPr>
          <w:p w14:paraId="1609B6EA" w14:textId="77777777" w:rsidR="000404DE" w:rsidRDefault="00000000">
            <w:pPr>
              <w:jc w:val="center"/>
            </w:pPr>
            <w:r>
              <w:rPr>
                <w:sz w:val="18"/>
              </w:rPr>
              <w:t>Decision sufficiency</w:t>
            </w:r>
          </w:p>
        </w:tc>
        <w:tc>
          <w:tcPr>
            <w:tcW w:w="7043" w:type="dxa"/>
            <w:tcMar>
              <w:top w:w="100" w:type="dxa"/>
              <w:left w:w="110" w:type="dxa"/>
              <w:bottom w:w="100" w:type="dxa"/>
              <w:right w:w="110" w:type="dxa"/>
            </w:tcMar>
            <w:vAlign w:val="center"/>
          </w:tcPr>
          <w:p w14:paraId="0DBAEEDA" w14:textId="77777777" w:rsidR="000404DE" w:rsidRDefault="00000000">
            <w:r>
              <w:rPr>
                <w:sz w:val="18"/>
              </w:rPr>
              <w:t>Condition that the delivered observation retains the information required for the declared decision.</w:t>
            </w:r>
          </w:p>
        </w:tc>
      </w:tr>
      <w:tr w:rsidR="000404DE" w14:paraId="7A31E9D0" w14:textId="77777777" w:rsidTr="00C54737">
        <w:trPr>
          <w:jc w:val="center"/>
        </w:trPr>
        <w:tc>
          <w:tcPr>
            <w:tcW w:w="2835" w:type="dxa"/>
            <w:tcMar>
              <w:top w:w="100" w:type="dxa"/>
              <w:left w:w="110" w:type="dxa"/>
              <w:bottom w:w="100" w:type="dxa"/>
              <w:right w:w="110" w:type="dxa"/>
            </w:tcMar>
            <w:vAlign w:val="center"/>
          </w:tcPr>
          <w:p w14:paraId="10AC2C32" w14:textId="77777777" w:rsidR="000404DE" w:rsidRDefault="00000000">
            <w:pPr>
              <w:jc w:val="center"/>
            </w:pPr>
            <w:r>
              <w:rPr>
                <w:sz w:val="18"/>
              </w:rPr>
              <w:t>Representation before execution</w:t>
            </w:r>
          </w:p>
        </w:tc>
        <w:tc>
          <w:tcPr>
            <w:tcW w:w="7043" w:type="dxa"/>
            <w:tcMar>
              <w:top w:w="100" w:type="dxa"/>
              <w:left w:w="110" w:type="dxa"/>
              <w:bottom w:w="100" w:type="dxa"/>
              <w:right w:w="110" w:type="dxa"/>
            </w:tcMar>
            <w:vAlign w:val="center"/>
          </w:tcPr>
          <w:p w14:paraId="3828397B" w14:textId="77777777" w:rsidR="000404DE" w:rsidRDefault="00000000">
            <w:r>
              <w:rPr>
                <w:sz w:val="18"/>
              </w:rPr>
              <w:t>Intervening in computational form before ordinary execution optimization.</w:t>
            </w:r>
          </w:p>
        </w:tc>
      </w:tr>
      <w:tr w:rsidR="000404DE" w14:paraId="214659C3" w14:textId="77777777" w:rsidTr="00C54737">
        <w:trPr>
          <w:jc w:val="center"/>
        </w:trPr>
        <w:tc>
          <w:tcPr>
            <w:tcW w:w="2835" w:type="dxa"/>
            <w:tcMar>
              <w:top w:w="100" w:type="dxa"/>
              <w:left w:w="110" w:type="dxa"/>
              <w:bottom w:w="100" w:type="dxa"/>
              <w:right w:w="110" w:type="dxa"/>
            </w:tcMar>
            <w:vAlign w:val="center"/>
          </w:tcPr>
          <w:p w14:paraId="67E3D15D" w14:textId="77777777" w:rsidR="000404DE" w:rsidRDefault="00000000">
            <w:pPr>
              <w:jc w:val="center"/>
            </w:pPr>
            <w:r>
              <w:rPr>
                <w:sz w:val="18"/>
              </w:rPr>
              <w:t>Observation before reasoning</w:t>
            </w:r>
          </w:p>
        </w:tc>
        <w:tc>
          <w:tcPr>
            <w:tcW w:w="7043" w:type="dxa"/>
            <w:tcMar>
              <w:top w:w="100" w:type="dxa"/>
              <w:left w:w="110" w:type="dxa"/>
              <w:bottom w:w="100" w:type="dxa"/>
              <w:right w:w="110" w:type="dxa"/>
            </w:tcMar>
            <w:vAlign w:val="center"/>
          </w:tcPr>
          <w:p w14:paraId="29E3BFEB" w14:textId="77777777" w:rsidR="000404DE" w:rsidRDefault="00000000">
            <w:r>
              <w:rPr>
                <w:sz w:val="18"/>
              </w:rPr>
              <w:t>Projecting and selecting controller-facing evidence before expensive reasoning.</w:t>
            </w:r>
          </w:p>
        </w:tc>
      </w:tr>
      <w:tr w:rsidR="000404DE" w14:paraId="4B9F1914" w14:textId="77777777" w:rsidTr="00C54737">
        <w:trPr>
          <w:jc w:val="center"/>
        </w:trPr>
        <w:tc>
          <w:tcPr>
            <w:tcW w:w="2835" w:type="dxa"/>
            <w:tcMar>
              <w:top w:w="100" w:type="dxa"/>
              <w:left w:w="110" w:type="dxa"/>
              <w:bottom w:w="100" w:type="dxa"/>
              <w:right w:w="110" w:type="dxa"/>
            </w:tcMar>
            <w:vAlign w:val="center"/>
          </w:tcPr>
          <w:p w14:paraId="22EE5AF1" w14:textId="77777777" w:rsidR="000404DE" w:rsidRDefault="00000000">
            <w:pPr>
              <w:jc w:val="center"/>
            </w:pPr>
            <w:r>
              <w:rPr>
                <w:sz w:val="18"/>
              </w:rPr>
              <w:t>Verified Net Advantage</w:t>
            </w:r>
          </w:p>
        </w:tc>
        <w:tc>
          <w:tcPr>
            <w:tcW w:w="7043" w:type="dxa"/>
            <w:tcMar>
              <w:top w:w="100" w:type="dxa"/>
              <w:left w:w="110" w:type="dxa"/>
              <w:bottom w:w="100" w:type="dxa"/>
              <w:right w:w="110" w:type="dxa"/>
            </w:tcMar>
            <w:vAlign w:val="center"/>
          </w:tcPr>
          <w:p w14:paraId="2D23A5DF" w14:textId="77777777" w:rsidR="000404DE" w:rsidRDefault="00000000">
            <w:r>
              <w:rPr>
                <w:sz w:val="18"/>
              </w:rPr>
              <w:t>Agreed baseline economic cost less ALPHA-enabled economic cost, with contractually defined treatment.</w:t>
            </w:r>
          </w:p>
        </w:tc>
      </w:tr>
      <w:tr w:rsidR="000404DE" w14:paraId="5A914AFF" w14:textId="77777777" w:rsidTr="00C54737">
        <w:trPr>
          <w:jc w:val="center"/>
        </w:trPr>
        <w:tc>
          <w:tcPr>
            <w:tcW w:w="2835" w:type="dxa"/>
            <w:tcMar>
              <w:top w:w="100" w:type="dxa"/>
              <w:left w:w="110" w:type="dxa"/>
              <w:bottom w:w="100" w:type="dxa"/>
              <w:right w:w="110" w:type="dxa"/>
            </w:tcMar>
            <w:vAlign w:val="center"/>
          </w:tcPr>
          <w:p w14:paraId="3191EF88" w14:textId="77777777" w:rsidR="000404DE" w:rsidRDefault="00000000">
            <w:r>
              <w:rPr>
                <w:sz w:val="18"/>
              </w:rPr>
              <w:t>AI-Powered Sales Platform</w:t>
            </w:r>
          </w:p>
        </w:tc>
        <w:tc>
          <w:tcPr>
            <w:tcW w:w="7043" w:type="dxa"/>
            <w:tcMar>
              <w:top w:w="100" w:type="dxa"/>
              <w:left w:w="110" w:type="dxa"/>
              <w:bottom w:w="100" w:type="dxa"/>
              <w:right w:w="110" w:type="dxa"/>
            </w:tcMar>
            <w:vAlign w:val="center"/>
          </w:tcPr>
          <w:p w14:paraId="469EF106" w14:textId="77777777" w:rsidR="000404DE" w:rsidRDefault="00000000">
            <w:r>
              <w:rPr>
                <w:sz w:val="18"/>
              </w:rPr>
              <w:t>Commercialization platform that manages customer progression from education and qualification through controlled assessment, PoC, validation, value verification, license-out and licensee development.</w:t>
            </w:r>
          </w:p>
        </w:tc>
      </w:tr>
      <w:tr w:rsidR="000404DE" w14:paraId="7D422F38" w14:textId="77777777" w:rsidTr="00C54737">
        <w:trPr>
          <w:jc w:val="center"/>
        </w:trPr>
        <w:tc>
          <w:tcPr>
            <w:tcW w:w="2835" w:type="dxa"/>
            <w:tcMar>
              <w:top w:w="100" w:type="dxa"/>
              <w:left w:w="110" w:type="dxa"/>
              <w:bottom w:w="100" w:type="dxa"/>
              <w:right w:w="110" w:type="dxa"/>
            </w:tcMar>
            <w:vAlign w:val="center"/>
          </w:tcPr>
          <w:p w14:paraId="12F6EDFC" w14:textId="77777777" w:rsidR="000404DE" w:rsidRDefault="00000000">
            <w:pPr>
              <w:jc w:val="center"/>
            </w:pPr>
            <w:r>
              <w:rPr>
                <w:sz w:val="18"/>
              </w:rPr>
              <w:t>Internal AI Knowledge Core</w:t>
            </w:r>
          </w:p>
        </w:tc>
        <w:tc>
          <w:tcPr>
            <w:tcW w:w="7043" w:type="dxa"/>
            <w:tcMar>
              <w:top w:w="100" w:type="dxa"/>
              <w:left w:w="110" w:type="dxa"/>
              <w:bottom w:w="100" w:type="dxa"/>
              <w:right w:w="110" w:type="dxa"/>
            </w:tcMar>
            <w:vAlign w:val="center"/>
          </w:tcPr>
          <w:p w14:paraId="26148BC1" w14:textId="77777777" w:rsidR="000404DE" w:rsidRDefault="00000000">
            <w:r>
              <w:rPr>
                <w:sz w:val="18"/>
              </w:rPr>
              <w:t>Internal component of the AI-Powered Sales Platform for approved definitions, claim/evidence status, disclosure rules, objections, standard answers and account context.</w:t>
            </w:r>
          </w:p>
        </w:tc>
      </w:tr>
    </w:tbl>
    <w:p w14:paraId="6F1A7BD0" w14:textId="77777777" w:rsidR="000404DE" w:rsidRDefault="00000000">
      <w:pPr>
        <w:pStyle w:val="1"/>
      </w:pPr>
      <w:r>
        <w:rPr>
          <w:rFonts w:ascii="Arial" w:hAnsi="Arial"/>
        </w:rPr>
        <w:t>Appendix E. Source and Evidence Register</w:t>
      </w:r>
    </w:p>
    <w:tbl>
      <w:tblPr>
        <w:tblStyle w:val="af9"/>
        <w:tblW w:w="0" w:type="auto"/>
        <w:jc w:val="center"/>
        <w:tblLook w:val="04A0" w:firstRow="1" w:lastRow="0" w:firstColumn="1" w:lastColumn="0" w:noHBand="0" w:noVBand="1"/>
      </w:tblPr>
      <w:tblGrid>
        <w:gridCol w:w="3290"/>
        <w:gridCol w:w="3289"/>
        <w:gridCol w:w="3289"/>
      </w:tblGrid>
      <w:tr w:rsidR="000404DE" w14:paraId="3A9F99EB" w14:textId="77777777">
        <w:trPr>
          <w:jc w:val="center"/>
        </w:trPr>
        <w:tc>
          <w:tcPr>
            <w:tcW w:w="3293" w:type="dxa"/>
            <w:shd w:val="clear" w:color="auto" w:fill="D9E2F3"/>
            <w:tcMar>
              <w:top w:w="100" w:type="dxa"/>
              <w:left w:w="110" w:type="dxa"/>
              <w:bottom w:w="100" w:type="dxa"/>
              <w:right w:w="110" w:type="dxa"/>
            </w:tcMar>
            <w:vAlign w:val="center"/>
          </w:tcPr>
          <w:p w14:paraId="660CE028" w14:textId="77777777" w:rsidR="000404DE" w:rsidRDefault="00000000">
            <w:pPr>
              <w:jc w:val="center"/>
            </w:pPr>
            <w:r>
              <w:rPr>
                <w:b/>
                <w:sz w:val="18"/>
              </w:rPr>
              <w:t>Source</w:t>
            </w:r>
          </w:p>
        </w:tc>
        <w:tc>
          <w:tcPr>
            <w:tcW w:w="3293" w:type="dxa"/>
            <w:shd w:val="clear" w:color="auto" w:fill="D9E2F3"/>
            <w:tcMar>
              <w:top w:w="100" w:type="dxa"/>
              <w:left w:w="110" w:type="dxa"/>
              <w:bottom w:w="100" w:type="dxa"/>
              <w:right w:w="110" w:type="dxa"/>
            </w:tcMar>
            <w:vAlign w:val="center"/>
          </w:tcPr>
          <w:p w14:paraId="170059A4" w14:textId="77777777" w:rsidR="000404DE" w:rsidRDefault="00000000">
            <w:pPr>
              <w:jc w:val="center"/>
            </w:pPr>
            <w:r>
              <w:rPr>
                <w:b/>
                <w:sz w:val="18"/>
              </w:rPr>
              <w:t>Primary role</w:t>
            </w:r>
          </w:p>
        </w:tc>
        <w:tc>
          <w:tcPr>
            <w:tcW w:w="3293" w:type="dxa"/>
            <w:shd w:val="clear" w:color="auto" w:fill="D9E2F3"/>
            <w:tcMar>
              <w:top w:w="100" w:type="dxa"/>
              <w:left w:w="110" w:type="dxa"/>
              <w:bottom w:w="100" w:type="dxa"/>
              <w:right w:w="110" w:type="dxa"/>
            </w:tcMar>
            <w:vAlign w:val="center"/>
          </w:tcPr>
          <w:p w14:paraId="037BACC4" w14:textId="77777777" w:rsidR="000404DE" w:rsidRDefault="00000000">
            <w:pPr>
              <w:jc w:val="center"/>
            </w:pPr>
            <w:r>
              <w:rPr>
                <w:b/>
                <w:sz w:val="18"/>
              </w:rPr>
              <w:t>Reliance note</w:t>
            </w:r>
          </w:p>
        </w:tc>
      </w:tr>
      <w:tr w:rsidR="000404DE" w14:paraId="0DFDFE1B" w14:textId="77777777">
        <w:trPr>
          <w:jc w:val="center"/>
        </w:trPr>
        <w:tc>
          <w:tcPr>
            <w:tcW w:w="3293" w:type="dxa"/>
            <w:tcMar>
              <w:top w:w="100" w:type="dxa"/>
              <w:left w:w="110" w:type="dxa"/>
              <w:bottom w:w="100" w:type="dxa"/>
              <w:right w:w="110" w:type="dxa"/>
            </w:tcMar>
            <w:vAlign w:val="center"/>
          </w:tcPr>
          <w:p w14:paraId="17E0A77D" w14:textId="77777777" w:rsidR="000404DE" w:rsidRDefault="00000000">
            <w:r>
              <w:rPr>
                <w:sz w:val="18"/>
              </w:rPr>
              <w:t>PRISM: An Observation Layer for Agentic and Long-Running Computational Systems</w:t>
            </w:r>
          </w:p>
        </w:tc>
        <w:tc>
          <w:tcPr>
            <w:tcW w:w="3293" w:type="dxa"/>
            <w:tcMar>
              <w:top w:w="100" w:type="dxa"/>
              <w:left w:w="110" w:type="dxa"/>
              <w:bottom w:w="100" w:type="dxa"/>
              <w:right w:w="110" w:type="dxa"/>
            </w:tcMar>
            <w:vAlign w:val="center"/>
          </w:tcPr>
          <w:p w14:paraId="20861518" w14:textId="77777777" w:rsidR="000404DE" w:rsidRDefault="00000000">
            <w:r>
              <w:rPr>
                <w:sz w:val="18"/>
              </w:rPr>
              <w:t>Observation technology, Observation Layer architecture, theory, benchmark design and evidence.</w:t>
            </w:r>
          </w:p>
        </w:tc>
        <w:tc>
          <w:tcPr>
            <w:tcW w:w="3293" w:type="dxa"/>
            <w:tcMar>
              <w:top w:w="100" w:type="dxa"/>
              <w:left w:w="110" w:type="dxa"/>
              <w:bottom w:w="100" w:type="dxa"/>
              <w:right w:w="110" w:type="dxa"/>
            </w:tcMar>
            <w:vAlign w:val="center"/>
          </w:tcPr>
          <w:p w14:paraId="52E3F36A" w14:textId="77777777" w:rsidR="000404DE" w:rsidRDefault="00000000">
            <w:r>
              <w:rPr>
                <w:sz w:val="18"/>
              </w:rPr>
              <w:t>Primary source for PRISM claims and boundaries.</w:t>
            </w:r>
          </w:p>
        </w:tc>
      </w:tr>
      <w:tr w:rsidR="000404DE" w14:paraId="5FB2F5AD" w14:textId="77777777">
        <w:trPr>
          <w:jc w:val="center"/>
        </w:trPr>
        <w:tc>
          <w:tcPr>
            <w:tcW w:w="3293" w:type="dxa"/>
            <w:tcMar>
              <w:top w:w="100" w:type="dxa"/>
              <w:left w:w="110" w:type="dxa"/>
              <w:bottom w:w="100" w:type="dxa"/>
              <w:right w:w="110" w:type="dxa"/>
            </w:tcMar>
            <w:vAlign w:val="center"/>
          </w:tcPr>
          <w:p w14:paraId="640A080E" w14:textId="77777777" w:rsidR="000404DE" w:rsidRDefault="00000000">
            <w:r>
              <w:rPr>
                <w:sz w:val="18"/>
              </w:rPr>
              <w:t>PRISM Advisor Briefing, August 2026</w:t>
            </w:r>
          </w:p>
        </w:tc>
        <w:tc>
          <w:tcPr>
            <w:tcW w:w="3293" w:type="dxa"/>
            <w:tcMar>
              <w:top w:w="100" w:type="dxa"/>
              <w:left w:w="110" w:type="dxa"/>
              <w:bottom w:w="100" w:type="dxa"/>
              <w:right w:w="110" w:type="dxa"/>
            </w:tcMar>
            <w:vAlign w:val="center"/>
          </w:tcPr>
          <w:p w14:paraId="6FE3EE67" w14:textId="77777777" w:rsidR="000404DE" w:rsidRDefault="00000000">
            <w:r>
              <w:rPr>
                <w:sz w:val="18"/>
              </w:rPr>
              <w:t>Executive evidence summary and placement interpretation.</w:t>
            </w:r>
          </w:p>
        </w:tc>
        <w:tc>
          <w:tcPr>
            <w:tcW w:w="3293" w:type="dxa"/>
            <w:tcMar>
              <w:top w:w="100" w:type="dxa"/>
              <w:left w:w="110" w:type="dxa"/>
              <w:bottom w:w="100" w:type="dxa"/>
              <w:right w:w="110" w:type="dxa"/>
            </w:tcMar>
            <w:vAlign w:val="center"/>
          </w:tcPr>
          <w:p w14:paraId="163DE626" w14:textId="77777777" w:rsidR="000404DE" w:rsidRDefault="00000000">
            <w:r>
              <w:rPr>
                <w:sz w:val="18"/>
              </w:rPr>
              <w:t>Condensed presentation of the paper results.</w:t>
            </w:r>
          </w:p>
        </w:tc>
      </w:tr>
      <w:tr w:rsidR="000404DE" w14:paraId="626CB028" w14:textId="77777777">
        <w:trPr>
          <w:jc w:val="center"/>
        </w:trPr>
        <w:tc>
          <w:tcPr>
            <w:tcW w:w="3293" w:type="dxa"/>
            <w:tcMar>
              <w:top w:w="100" w:type="dxa"/>
              <w:left w:w="110" w:type="dxa"/>
              <w:bottom w:w="100" w:type="dxa"/>
              <w:right w:w="110" w:type="dxa"/>
            </w:tcMar>
            <w:vAlign w:val="center"/>
          </w:tcPr>
          <w:p w14:paraId="6F87DEB0" w14:textId="77777777" w:rsidR="000404DE" w:rsidRPr="009F4C36" w:rsidRDefault="00000000">
            <w:pPr>
              <w:rPr>
                <w:lang w:val="fr-FR"/>
              </w:rPr>
            </w:pPr>
            <w:r w:rsidRPr="009F4C36">
              <w:rPr>
                <w:sz w:val="18"/>
                <w:lang w:val="fr-FR"/>
              </w:rPr>
              <w:lastRenderedPageBreak/>
              <w:t>ASTOP README / agent-observation documentation</w:t>
            </w:r>
          </w:p>
        </w:tc>
        <w:tc>
          <w:tcPr>
            <w:tcW w:w="3293" w:type="dxa"/>
            <w:tcMar>
              <w:top w:w="100" w:type="dxa"/>
              <w:left w:w="110" w:type="dxa"/>
              <w:bottom w:w="100" w:type="dxa"/>
              <w:right w:w="110" w:type="dxa"/>
            </w:tcMar>
            <w:vAlign w:val="center"/>
          </w:tcPr>
          <w:p w14:paraId="4A76F4E8" w14:textId="77777777" w:rsidR="000404DE" w:rsidRDefault="00000000">
            <w:r>
              <w:rPr>
                <w:sz w:val="18"/>
              </w:rPr>
              <w:t>Product capabilities, telemetry design, agent service and evidence semantics.</w:t>
            </w:r>
          </w:p>
        </w:tc>
        <w:tc>
          <w:tcPr>
            <w:tcW w:w="3293" w:type="dxa"/>
            <w:tcMar>
              <w:top w:w="100" w:type="dxa"/>
              <w:left w:w="110" w:type="dxa"/>
              <w:bottom w:w="100" w:type="dxa"/>
              <w:right w:w="110" w:type="dxa"/>
            </w:tcMar>
            <w:vAlign w:val="center"/>
          </w:tcPr>
          <w:p w14:paraId="509E4292" w14:textId="77777777" w:rsidR="000404DE" w:rsidRDefault="00000000">
            <w:r>
              <w:rPr>
                <w:sz w:val="18"/>
              </w:rPr>
              <w:t>Primary product-description source.</w:t>
            </w:r>
          </w:p>
        </w:tc>
      </w:tr>
      <w:tr w:rsidR="000404DE" w14:paraId="3AEB40E2" w14:textId="77777777">
        <w:trPr>
          <w:jc w:val="center"/>
        </w:trPr>
        <w:tc>
          <w:tcPr>
            <w:tcW w:w="3293" w:type="dxa"/>
            <w:tcMar>
              <w:top w:w="100" w:type="dxa"/>
              <w:left w:w="110" w:type="dxa"/>
              <w:bottom w:w="100" w:type="dxa"/>
              <w:right w:w="110" w:type="dxa"/>
            </w:tcMar>
            <w:vAlign w:val="center"/>
          </w:tcPr>
          <w:p w14:paraId="7EAED58E" w14:textId="77777777" w:rsidR="000404DE" w:rsidRDefault="00000000">
            <w:r>
              <w:rPr>
                <w:sz w:val="18"/>
              </w:rPr>
              <w:t>ALPHA Compute/Core White Paper v2.5</w:t>
            </w:r>
          </w:p>
        </w:tc>
        <w:tc>
          <w:tcPr>
            <w:tcW w:w="3293" w:type="dxa"/>
            <w:tcMar>
              <w:top w:w="100" w:type="dxa"/>
              <w:left w:w="110" w:type="dxa"/>
              <w:bottom w:w="100" w:type="dxa"/>
              <w:right w:w="110" w:type="dxa"/>
            </w:tcMar>
            <w:vAlign w:val="center"/>
          </w:tcPr>
          <w:p w14:paraId="14439F6D" w14:textId="77777777" w:rsidR="000404DE" w:rsidRDefault="00000000">
            <w:r>
              <w:rPr>
                <w:sz w:val="18"/>
              </w:rPr>
              <w:t>Representation-before-execution, product boundaries, proof and economics.</w:t>
            </w:r>
          </w:p>
        </w:tc>
        <w:tc>
          <w:tcPr>
            <w:tcW w:w="3293" w:type="dxa"/>
            <w:tcMar>
              <w:top w:w="100" w:type="dxa"/>
              <w:left w:w="110" w:type="dxa"/>
              <w:bottom w:w="100" w:type="dxa"/>
              <w:right w:w="110" w:type="dxa"/>
            </w:tcMar>
            <w:vAlign w:val="center"/>
          </w:tcPr>
          <w:p w14:paraId="0147CF60" w14:textId="77777777" w:rsidR="000404DE" w:rsidRDefault="00000000">
            <w:r>
              <w:t>Used as source material; current v3.5 taxonomy and product doctrine override legacy terminology where inconsistent.</w:t>
            </w:r>
          </w:p>
        </w:tc>
      </w:tr>
      <w:tr w:rsidR="000404DE" w14:paraId="28477F9F" w14:textId="77777777">
        <w:trPr>
          <w:jc w:val="center"/>
        </w:trPr>
        <w:tc>
          <w:tcPr>
            <w:tcW w:w="3293" w:type="dxa"/>
            <w:tcMar>
              <w:top w:w="100" w:type="dxa"/>
              <w:left w:w="110" w:type="dxa"/>
              <w:bottom w:w="100" w:type="dxa"/>
              <w:right w:w="110" w:type="dxa"/>
            </w:tcMar>
            <w:vAlign w:val="center"/>
          </w:tcPr>
          <w:p w14:paraId="6E2501FB" w14:textId="77777777" w:rsidR="000404DE" w:rsidRDefault="00000000">
            <w:r>
              <w:rPr>
                <w:sz w:val="18"/>
              </w:rPr>
              <w:t>QNTA + AXIOM-TENSOR Executive Briefing, 2026.08.13</w:t>
            </w:r>
          </w:p>
        </w:tc>
        <w:tc>
          <w:tcPr>
            <w:tcW w:w="3293" w:type="dxa"/>
            <w:tcMar>
              <w:top w:w="100" w:type="dxa"/>
              <w:left w:w="110" w:type="dxa"/>
              <w:bottom w:w="100" w:type="dxa"/>
              <w:right w:w="110" w:type="dxa"/>
            </w:tcMar>
            <w:vAlign w:val="center"/>
          </w:tcPr>
          <w:p w14:paraId="1CC9E45C" w14:textId="77777777" w:rsidR="000404DE" w:rsidRDefault="00000000">
            <w:r>
              <w:rPr>
                <w:sz w:val="18"/>
              </w:rPr>
              <w:t>QNTA concept/evidence and AXIOM-TENSOR selected-position results.</w:t>
            </w:r>
          </w:p>
        </w:tc>
        <w:tc>
          <w:tcPr>
            <w:tcW w:w="3293" w:type="dxa"/>
            <w:tcMar>
              <w:top w:w="100" w:type="dxa"/>
              <w:left w:w="110" w:type="dxa"/>
              <w:bottom w:w="100" w:type="dxa"/>
              <w:right w:w="110" w:type="dxa"/>
            </w:tcMar>
            <w:vAlign w:val="center"/>
          </w:tcPr>
          <w:p w14:paraId="084A5FBD" w14:textId="77777777" w:rsidR="000404DE" w:rsidRDefault="00000000">
            <w:r>
              <w:rPr>
                <w:sz w:val="18"/>
              </w:rPr>
              <w:t>QNTA underlying cited records were not supplied; claims remain briefing-level.</w:t>
            </w:r>
          </w:p>
        </w:tc>
      </w:tr>
      <w:tr w:rsidR="000404DE" w14:paraId="7EFD8168" w14:textId="77777777">
        <w:trPr>
          <w:jc w:val="center"/>
        </w:trPr>
        <w:tc>
          <w:tcPr>
            <w:tcW w:w="3293" w:type="dxa"/>
            <w:tcMar>
              <w:top w:w="100" w:type="dxa"/>
              <w:left w:w="110" w:type="dxa"/>
              <w:bottom w:w="100" w:type="dxa"/>
              <w:right w:w="110" w:type="dxa"/>
            </w:tcMar>
            <w:vAlign w:val="center"/>
          </w:tcPr>
          <w:p w14:paraId="59F7C5CF" w14:textId="77777777" w:rsidR="000404DE" w:rsidRDefault="00000000">
            <w:r>
              <w:rPr>
                <w:sz w:val="18"/>
              </w:rPr>
              <w:t>CRE thesis / defense materials</w:t>
            </w:r>
          </w:p>
        </w:tc>
        <w:tc>
          <w:tcPr>
            <w:tcW w:w="3293" w:type="dxa"/>
            <w:tcMar>
              <w:top w:w="100" w:type="dxa"/>
              <w:left w:w="110" w:type="dxa"/>
              <w:bottom w:w="100" w:type="dxa"/>
              <w:right w:w="110" w:type="dxa"/>
            </w:tcMar>
            <w:vAlign w:val="center"/>
          </w:tcPr>
          <w:p w14:paraId="116C883E" w14:textId="77777777" w:rsidR="000404DE" w:rsidRDefault="00000000">
            <w:r>
              <w:rPr>
                <w:sz w:val="18"/>
              </w:rPr>
              <w:t>CRE mathematics, real embedding and computational evidence.</w:t>
            </w:r>
          </w:p>
        </w:tc>
        <w:tc>
          <w:tcPr>
            <w:tcW w:w="3293" w:type="dxa"/>
            <w:tcMar>
              <w:top w:w="100" w:type="dxa"/>
              <w:left w:w="110" w:type="dxa"/>
              <w:bottom w:w="100" w:type="dxa"/>
              <w:right w:w="110" w:type="dxa"/>
            </w:tcMar>
            <w:vAlign w:val="center"/>
          </w:tcPr>
          <w:p w14:paraId="0BB37789" w14:textId="77777777" w:rsidR="000404DE" w:rsidRDefault="00000000">
            <w:r>
              <w:rPr>
                <w:sz w:val="18"/>
              </w:rPr>
              <w:t>Academic evidence within stated scope.</w:t>
            </w:r>
          </w:p>
        </w:tc>
      </w:tr>
      <w:tr w:rsidR="000404DE" w14:paraId="6118F500" w14:textId="77777777">
        <w:trPr>
          <w:jc w:val="center"/>
        </w:trPr>
        <w:tc>
          <w:tcPr>
            <w:tcW w:w="3293" w:type="dxa"/>
            <w:tcMar>
              <w:top w:w="100" w:type="dxa"/>
              <w:left w:w="110" w:type="dxa"/>
              <w:bottom w:w="100" w:type="dxa"/>
              <w:right w:w="110" w:type="dxa"/>
            </w:tcMar>
            <w:vAlign w:val="center"/>
          </w:tcPr>
          <w:p w14:paraId="5E5A6D4A" w14:textId="77777777" w:rsidR="000404DE" w:rsidRDefault="00000000">
            <w:r>
              <w:rPr>
                <w:sz w:val="18"/>
              </w:rPr>
              <w:t>FQNM presentation / patent materials</w:t>
            </w:r>
          </w:p>
        </w:tc>
        <w:tc>
          <w:tcPr>
            <w:tcW w:w="3293" w:type="dxa"/>
            <w:tcMar>
              <w:top w:w="100" w:type="dxa"/>
              <w:left w:w="110" w:type="dxa"/>
              <w:bottom w:w="100" w:type="dxa"/>
              <w:right w:w="110" w:type="dxa"/>
            </w:tcMar>
            <w:vAlign w:val="center"/>
          </w:tcPr>
          <w:p w14:paraId="4E1F891F" w14:textId="77777777" w:rsidR="000404DE" w:rsidRDefault="00000000">
            <w:r>
              <w:rPr>
                <w:sz w:val="18"/>
              </w:rPr>
              <w:t>Integer-transfer formulation and conservation logic.</w:t>
            </w:r>
          </w:p>
        </w:tc>
        <w:tc>
          <w:tcPr>
            <w:tcW w:w="3293" w:type="dxa"/>
            <w:tcMar>
              <w:top w:w="100" w:type="dxa"/>
              <w:left w:w="110" w:type="dxa"/>
              <w:bottom w:w="100" w:type="dxa"/>
              <w:right w:w="110" w:type="dxa"/>
            </w:tcMar>
            <w:vAlign w:val="center"/>
          </w:tcPr>
          <w:p w14:paraId="2ADC50EA" w14:textId="77777777" w:rsidR="000404DE" w:rsidRDefault="00000000">
            <w:r>
              <w:rPr>
                <w:sz w:val="18"/>
              </w:rPr>
              <w:t>Scope-specific; broader claims remain under validation.</w:t>
            </w:r>
          </w:p>
        </w:tc>
      </w:tr>
      <w:tr w:rsidR="000404DE" w14:paraId="0D44CA14" w14:textId="77777777">
        <w:trPr>
          <w:jc w:val="center"/>
        </w:trPr>
        <w:tc>
          <w:tcPr>
            <w:tcW w:w="3293" w:type="dxa"/>
            <w:tcMar>
              <w:top w:w="100" w:type="dxa"/>
              <w:left w:w="110" w:type="dxa"/>
              <w:bottom w:w="100" w:type="dxa"/>
              <w:right w:w="110" w:type="dxa"/>
            </w:tcMar>
            <w:vAlign w:val="center"/>
          </w:tcPr>
          <w:p w14:paraId="157BF298" w14:textId="77777777" w:rsidR="000404DE" w:rsidRDefault="00000000">
            <w:r>
              <w:rPr>
                <w:sz w:val="18"/>
              </w:rPr>
              <w:t>AXIOM patent / academic materials</w:t>
            </w:r>
          </w:p>
        </w:tc>
        <w:tc>
          <w:tcPr>
            <w:tcW w:w="3293" w:type="dxa"/>
            <w:tcMar>
              <w:top w:w="100" w:type="dxa"/>
              <w:left w:w="110" w:type="dxa"/>
              <w:bottom w:w="100" w:type="dxa"/>
              <w:right w:w="110" w:type="dxa"/>
            </w:tcMar>
            <w:vAlign w:val="center"/>
          </w:tcPr>
          <w:p w14:paraId="4F1672C8" w14:textId="77777777" w:rsidR="000404DE" w:rsidRDefault="00000000">
            <w:r>
              <w:rPr>
                <w:sz w:val="18"/>
              </w:rPr>
              <w:t>High-dimensional algebra representation and conceptual framework.</w:t>
            </w:r>
          </w:p>
        </w:tc>
        <w:tc>
          <w:tcPr>
            <w:tcW w:w="3293" w:type="dxa"/>
            <w:tcMar>
              <w:top w:w="100" w:type="dxa"/>
              <w:left w:w="110" w:type="dxa"/>
              <w:bottom w:w="100" w:type="dxa"/>
              <w:right w:w="110" w:type="dxa"/>
            </w:tcMar>
            <w:vAlign w:val="center"/>
          </w:tcPr>
          <w:p w14:paraId="2B3E3A06" w14:textId="77777777" w:rsidR="000404DE" w:rsidRDefault="00000000">
            <w:r>
              <w:rPr>
                <w:sz w:val="18"/>
              </w:rPr>
              <w:t>Implementation details remain controlled.</w:t>
            </w:r>
          </w:p>
        </w:tc>
      </w:tr>
      <w:tr w:rsidR="000404DE" w14:paraId="228A9AAB" w14:textId="77777777">
        <w:trPr>
          <w:jc w:val="center"/>
        </w:trPr>
        <w:tc>
          <w:tcPr>
            <w:tcW w:w="3293" w:type="dxa"/>
            <w:vAlign w:val="center"/>
          </w:tcPr>
          <w:p w14:paraId="23092933" w14:textId="77777777" w:rsidR="000404DE" w:rsidRDefault="00000000">
            <w:r>
              <w:rPr>
                <w:sz w:val="18"/>
              </w:rPr>
              <w:t>Current itriX AI-Powered Sales Platform / commercialization doctrine</w:t>
            </w:r>
          </w:p>
        </w:tc>
        <w:tc>
          <w:tcPr>
            <w:tcW w:w="3293" w:type="dxa"/>
            <w:vAlign w:val="center"/>
          </w:tcPr>
          <w:p w14:paraId="317E4B64" w14:textId="77777777" w:rsidR="000404DE" w:rsidRDefault="00000000">
            <w:r>
              <w:rPr>
                <w:sz w:val="18"/>
              </w:rPr>
              <w:t>Customer journey, AI-assisted qualification, controlled evaluation, license-out and licensee development.</w:t>
            </w:r>
          </w:p>
        </w:tc>
        <w:tc>
          <w:tcPr>
            <w:tcW w:w="3293" w:type="dxa"/>
            <w:vAlign w:val="center"/>
          </w:tcPr>
          <w:p w14:paraId="551F0834" w14:textId="77777777" w:rsidR="000404DE" w:rsidRDefault="00000000">
            <w:r>
              <w:rPr>
                <w:sz w:val="18"/>
              </w:rPr>
              <w:t>Used for commercialization architecture; it does not override technology/product evidence boundaries.</w:t>
            </w:r>
          </w:p>
        </w:tc>
      </w:tr>
      <w:tr w:rsidR="000404DE" w14:paraId="5FCCEAFF" w14:textId="77777777">
        <w:trPr>
          <w:jc w:val="center"/>
        </w:trPr>
        <w:tc>
          <w:tcPr>
            <w:tcW w:w="3293" w:type="dxa"/>
          </w:tcPr>
          <w:p w14:paraId="3A5C5B8D" w14:textId="77777777" w:rsidR="000404DE" w:rsidRDefault="00000000">
            <w:r>
              <w:t>ITRIX Core Technology Brief, 2026.08.28</w:t>
            </w:r>
          </w:p>
        </w:tc>
        <w:tc>
          <w:tcPr>
            <w:tcW w:w="3293" w:type="dxa"/>
          </w:tcPr>
          <w:p w14:paraId="04310A5E" w14:textId="77777777" w:rsidR="000404DE" w:rsidRDefault="00000000">
            <w:r>
              <w:t>Additional AXIOM-TENSOR and QNTA productization context, internal evidence summary and combined strategic direction.</w:t>
            </w:r>
          </w:p>
        </w:tc>
        <w:tc>
          <w:tcPr>
            <w:tcW w:w="3293" w:type="dxa"/>
          </w:tcPr>
          <w:p w14:paraId="686758F7" w14:textId="77777777" w:rsidR="000404DE" w:rsidRDefault="00000000">
            <w:r>
              <w:t>Used selectively for AXIOM-TENSOR/QNTA detail only. The brief is used only for AXIOM-TENSOR and QNTA information relevant to this white paper.</w:t>
            </w:r>
          </w:p>
        </w:tc>
      </w:tr>
    </w:tbl>
    <w:p w14:paraId="53602EB9" w14:textId="77777777" w:rsidR="000404DE" w:rsidRDefault="00000000">
      <w:pPr>
        <w:pStyle w:val="1"/>
      </w:pPr>
      <w:r>
        <w:rPr>
          <w:rFonts w:ascii="Arial" w:hAnsi="Arial"/>
        </w:rPr>
        <w:t>Appendix F. Review Questions</w:t>
      </w:r>
    </w:p>
    <w:p w14:paraId="2BED533D" w14:textId="77777777" w:rsidR="000404DE" w:rsidRDefault="00000000">
      <w:pPr>
        <w:pStyle w:val="a"/>
      </w:pPr>
      <w:r>
        <w:t>Why is “AI looks too often” an incomplete statement of the PRISM problem?</w:t>
      </w:r>
    </w:p>
    <w:p w14:paraId="4A9F1171" w14:textId="77777777" w:rsidR="000404DE" w:rsidRDefault="00000000">
      <w:pPr>
        <w:pStyle w:val="a"/>
      </w:pPr>
      <w:r>
        <w:t>What is the difference between PRISM and ASTOP?</w:t>
      </w:r>
    </w:p>
    <w:p w14:paraId="536D046D" w14:textId="77777777" w:rsidR="000404DE" w:rsidRDefault="00000000">
      <w:pPr>
        <w:pStyle w:val="a"/>
      </w:pPr>
      <w:r>
        <w:t>Why are ASTOP, ALPHA Compute and ALPHA Core products while PRISM, AXIOM, AXIOM-TENSOR, CRE, FQNM and QNTA are technologies?</w:t>
      </w:r>
    </w:p>
    <w:p w14:paraId="184FA46A" w14:textId="77777777" w:rsidR="000404DE" w:rsidRDefault="00000000">
      <w:pPr>
        <w:pStyle w:val="a"/>
      </w:pPr>
      <w:r>
        <w:t>Why must decision fidelity be established before PRISM efficiency claims?</w:t>
      </w:r>
    </w:p>
    <w:p w14:paraId="42632FAE" w14:textId="77777777" w:rsidR="000404DE" w:rsidRDefault="00000000">
      <w:pPr>
        <w:pStyle w:val="a"/>
      </w:pPr>
      <w:r>
        <w:t>Why does fewer delivered bytes not guarantee fewer generated tokens?</w:t>
      </w:r>
    </w:p>
    <w:p w14:paraId="7228F063" w14:textId="77777777" w:rsidR="000404DE" w:rsidRDefault="00000000">
      <w:pPr>
        <w:pStyle w:val="a"/>
      </w:pPr>
      <w:r>
        <w:t>Why is ALPHA Compute a complete product without ALPHA Core?</w:t>
      </w:r>
    </w:p>
    <w:p w14:paraId="279AFF6D" w14:textId="77777777" w:rsidR="000404DE" w:rsidRDefault="00000000">
      <w:pPr>
        <w:pStyle w:val="a"/>
      </w:pPr>
      <w:r>
        <w:t>What evidence would justify moving an ALPHA Compute deployment into an ALPHA Core hardware project?</w:t>
      </w:r>
    </w:p>
    <w:p w14:paraId="0045BD03" w14:textId="77777777" w:rsidR="000404DE" w:rsidRDefault="00000000">
      <w:pPr>
        <w:pStyle w:val="a"/>
      </w:pPr>
      <w:r>
        <w:t>Why must AXIOM-TENSOR exact and reduced-budget modes be separated?</w:t>
      </w:r>
    </w:p>
    <w:p w14:paraId="0E70C95A" w14:textId="77777777" w:rsidR="000404DE" w:rsidRDefault="00000000">
      <w:pPr>
        <w:pStyle w:val="a"/>
      </w:pPr>
      <w:r>
        <w:t>Why can CRE preserve mathematical meaning yet fail to improve runtime?</w:t>
      </w:r>
    </w:p>
    <w:p w14:paraId="17E92A16" w14:textId="77777777" w:rsidR="000404DE" w:rsidRDefault="00000000">
      <w:pPr>
        <w:pStyle w:val="a"/>
      </w:pPr>
      <w:r>
        <w:t>What makes FQNM conservation structurally different from post-hoc numerical correction?</w:t>
      </w:r>
    </w:p>
    <w:p w14:paraId="67004C29" w14:textId="77777777" w:rsidR="000404DE" w:rsidRDefault="00000000">
      <w:pPr>
        <w:pStyle w:val="a"/>
      </w:pPr>
      <w:r>
        <w:t>What does QNTA make explicit, and what does the current evidence not prove?</w:t>
      </w:r>
    </w:p>
    <w:p w14:paraId="1176BFCF" w14:textId="77777777" w:rsidR="000404DE" w:rsidRDefault="00000000">
      <w:pPr>
        <w:pStyle w:val="a"/>
      </w:pPr>
      <w:r>
        <w:t>Why must separate technology gains not be multiplied into one synthetic speedup?</w:t>
      </w:r>
    </w:p>
    <w:p w14:paraId="13A91802" w14:textId="77777777" w:rsidR="000404DE" w:rsidRDefault="00000000">
      <w:pPr>
        <w:pStyle w:val="a"/>
      </w:pPr>
      <w:r>
        <w:t>Why does ASTOP require explicit N/A/null semantics for unavailable telemetry?</w:t>
      </w:r>
    </w:p>
    <w:p w14:paraId="590AB3DB" w14:textId="77777777" w:rsidR="000404DE" w:rsidRDefault="00000000">
      <w:pPr>
        <w:pStyle w:val="a"/>
      </w:pPr>
      <w:r>
        <w:t>Why should ASTOP commercial economics remain distinct from the ALPHA 67:33 rule?</w:t>
      </w:r>
    </w:p>
    <w:p w14:paraId="0AA2BC11" w14:textId="77777777" w:rsidR="000404DE" w:rsidRDefault="00000000">
      <w:pPr>
        <w:pStyle w:val="a"/>
      </w:pPr>
      <w:r>
        <w:lastRenderedPageBreak/>
        <w:t>How could ASTOP, ALPHA Compute and ALPHA Core be composed without becoming mutually dependent products?</w:t>
      </w:r>
    </w:p>
    <w:p w14:paraId="2015940C" w14:textId="77777777" w:rsidR="000404DE" w:rsidRDefault="00000000">
      <w:pPr>
        <w:pStyle w:val="a"/>
      </w:pPr>
      <w:r>
        <w:t>What additional measurements are required to move from runtime or token savings to an energy claim?</w:t>
      </w:r>
    </w:p>
    <w:p w14:paraId="76DD48DA" w14:textId="77777777" w:rsidR="000404DE" w:rsidRDefault="00000000">
      <w:pPr>
        <w:pStyle w:val="a"/>
      </w:pPr>
      <w:r>
        <w:t>How should the AI-Powered Sales Platform use the Evidence-to-License Framework without turning evidence status into a sales claim?</w:t>
      </w:r>
    </w:p>
    <w:p w14:paraId="2240D1C0" w14:textId="77777777" w:rsidR="000404DE" w:rsidRDefault="00000000">
      <w:pPr>
        <w:pStyle w:val="a"/>
      </w:pPr>
      <w:r>
        <w:t>Using Problemology, summarize itriX in seven sentences: Problem, Secret, Solution, Products, Proof, Economics and Purpose.</w:t>
      </w:r>
    </w:p>
    <w:p w14:paraId="2BBB84A6" w14:textId="77777777" w:rsidR="000404DE" w:rsidRDefault="00000000">
      <w:pPr>
        <w:pStyle w:val="1"/>
      </w:pPr>
      <w:r>
        <w:rPr>
          <w:rFonts w:ascii="Arial" w:hAnsi="Arial"/>
        </w:rPr>
        <w:t>Closing Perspective</w:t>
      </w:r>
    </w:p>
    <w:p w14:paraId="53DC9C3C" w14:textId="77777777" w:rsidR="000404DE" w:rsidRDefault="00000000">
      <w:r>
        <w:t>The Age of AI will require more computation, but not every unit of future demand must be answered only with more chips, more memory, more electricity and more context. Part of the burden may be removable upstream—by improving what intelligence is asked to observe and by improving the representation the machine is asked to execute.</w:t>
      </w:r>
    </w:p>
    <w:p w14:paraId="51629205" w14:textId="77777777" w:rsidR="000404DE" w:rsidRDefault="00000000">
      <w:r>
        <w:t>PRISM is the observation technology; ASTOP turns that technology into a deployable product. AXIOM, AXIOM-TENSOR, CRE, FQNM and QNTA provide differentiated computational technologies; ALPHA Compute turns applicable technologies into software-level computational infrastructure, and ALPHA Core can implement or accelerate validated structures in hardware where justified.</w:t>
      </w:r>
    </w:p>
    <w:p w14:paraId="4D88BD0E" w14:textId="77777777" w:rsidR="000404DE" w:rsidRDefault="00000000">
      <w:r>
        <w:t>The value of the portfolio will not be measured by the number of inventions it contains. It will be measured by whether customers can reproduce the advantage, preserve required decisions and mathematical meaning, integrate the products without unnecessary dependency, and produce more useful intelligence or computation from the same scarce infrastructure. The AI-Powered Sales Platform is the commercialization discipline that should carry those proofs into appropriately bounded licenses and long-term licensee relationships.</w:t>
      </w:r>
    </w:p>
    <w:tbl>
      <w:tblPr>
        <w:tblW w:w="0" w:type="auto"/>
        <w:jc w:val="center"/>
        <w:tblLook w:val="04A0" w:firstRow="1" w:lastRow="0" w:firstColumn="1" w:lastColumn="0" w:noHBand="0" w:noVBand="1"/>
      </w:tblPr>
      <w:tblGrid>
        <w:gridCol w:w="9878"/>
      </w:tblGrid>
      <w:tr w:rsidR="000404DE" w14:paraId="3B39E29F" w14:textId="77777777">
        <w:trPr>
          <w:jc w:val="center"/>
        </w:trPr>
        <w:tc>
          <w:tcPr>
            <w:tcW w:w="9878" w:type="dxa"/>
            <w:shd w:val="clear" w:color="auto" w:fill="EAF0F7"/>
            <w:tcMar>
              <w:top w:w="140" w:type="dxa"/>
              <w:left w:w="160" w:type="dxa"/>
              <w:bottom w:w="140" w:type="dxa"/>
              <w:right w:w="160" w:type="dxa"/>
            </w:tcMar>
            <w:vAlign w:val="center"/>
          </w:tcPr>
          <w:p w14:paraId="11C9A9DD" w14:textId="77777777" w:rsidR="000404DE" w:rsidRDefault="00000000">
            <w:r>
              <w:rPr>
                <w:b/>
                <w:color w:val="324B69"/>
                <w:sz w:val="18"/>
              </w:rPr>
              <w:t>OPERATING DISCIPLINE</w:t>
            </w:r>
          </w:p>
          <w:p w14:paraId="00864CB8" w14:textId="77777777" w:rsidR="000404DE" w:rsidRDefault="00000000">
            <w:r>
              <w:rPr>
                <w:sz w:val="18"/>
              </w:rPr>
              <w:t>OWN · PROVE · LICENSE · MEASURE · SHARE</w:t>
            </w:r>
          </w:p>
        </w:tc>
      </w:tr>
    </w:tbl>
    <w:p w14:paraId="36B7B4F2" w14:textId="77777777" w:rsidR="00257C9F" w:rsidRDefault="00257C9F"/>
    <w:sectPr w:rsidR="00257C9F"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4B7F6" w14:textId="77777777" w:rsidR="00257C9F" w:rsidRDefault="00257C9F">
      <w:pPr>
        <w:spacing w:after="0" w:line="240" w:lineRule="auto"/>
      </w:pPr>
      <w:r>
        <w:separator/>
      </w:r>
    </w:p>
  </w:endnote>
  <w:endnote w:type="continuationSeparator" w:id="0">
    <w:p w14:paraId="0F3DFA7E" w14:textId="77777777" w:rsidR="00257C9F" w:rsidRDefault="00257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38F06" w14:textId="77777777" w:rsidR="000404DE" w:rsidRDefault="000404D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3F6B2" w14:textId="77777777" w:rsidR="000404DE" w:rsidRDefault="00000000">
    <w:pPr>
      <w:pStyle w:val="a6"/>
      <w:jc w:val="center"/>
    </w:pPr>
    <w:r>
      <w:rPr>
        <w:color w:val="7D7D7D"/>
        <w:sz w:val="16"/>
      </w:rPr>
      <w:t>Internal / Controlled Knowledge Use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A6A3" w14:textId="77777777" w:rsidR="000404DE" w:rsidRDefault="000404D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77795" w14:textId="77777777" w:rsidR="00257C9F" w:rsidRDefault="00257C9F">
      <w:pPr>
        <w:spacing w:after="0" w:line="240" w:lineRule="auto"/>
      </w:pPr>
      <w:r>
        <w:separator/>
      </w:r>
    </w:p>
  </w:footnote>
  <w:footnote w:type="continuationSeparator" w:id="0">
    <w:p w14:paraId="3868CE1D" w14:textId="77777777" w:rsidR="00257C9F" w:rsidRDefault="00257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8A7F3" w14:textId="77777777" w:rsidR="000404DE" w:rsidRDefault="000404D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8E764" w14:textId="77777777" w:rsidR="000404DE" w:rsidRDefault="00000000">
    <w:pPr>
      <w:pStyle w:val="a5"/>
      <w:jc w:val="right"/>
    </w:pPr>
    <w:proofErr w:type="spellStart"/>
    <w:r>
      <w:t>itriX</w:t>
    </w:r>
    <w:proofErr w:type="spellEnd"/>
    <w:r>
      <w:t xml:space="preserve">  |  Computational Infrastructure for the Age of AI  |  White Paper v3.5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2F12A" w14:textId="77777777" w:rsidR="000404DE" w:rsidRDefault="000404D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15653891">
    <w:abstractNumId w:val="8"/>
  </w:num>
  <w:num w:numId="2" w16cid:durableId="854228595">
    <w:abstractNumId w:val="6"/>
  </w:num>
  <w:num w:numId="3" w16cid:durableId="817497656">
    <w:abstractNumId w:val="5"/>
  </w:num>
  <w:num w:numId="4" w16cid:durableId="2144960217">
    <w:abstractNumId w:val="4"/>
  </w:num>
  <w:num w:numId="5" w16cid:durableId="1150512891">
    <w:abstractNumId w:val="7"/>
  </w:num>
  <w:num w:numId="6" w16cid:durableId="2070378019">
    <w:abstractNumId w:val="3"/>
  </w:num>
  <w:num w:numId="7" w16cid:durableId="1491290323">
    <w:abstractNumId w:val="2"/>
  </w:num>
  <w:num w:numId="8" w16cid:durableId="553809025">
    <w:abstractNumId w:val="1"/>
  </w:num>
  <w:num w:numId="9" w16cid:durableId="529805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4DE"/>
    <w:rsid w:val="0006063C"/>
    <w:rsid w:val="0015074B"/>
    <w:rsid w:val="00257C9F"/>
    <w:rsid w:val="0029639D"/>
    <w:rsid w:val="00326F90"/>
    <w:rsid w:val="00717CFB"/>
    <w:rsid w:val="009F4C36"/>
    <w:rsid w:val="00AA1D8D"/>
    <w:rsid w:val="00B47730"/>
    <w:rsid w:val="00C54737"/>
    <w:rsid w:val="00CB0664"/>
    <w:rsid w:val="00E30D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3B879"/>
  <w14:defaultImageDpi w14:val="300"/>
  <w15:docId w15:val="{28ACC756-C9A2-4542-B48D-7AECAC770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Arial" w:hAnsi="Arial"/>
      <w:sz w:val="21"/>
    </w:rPr>
  </w:style>
  <w:style w:type="paragraph" w:styleId="1">
    <w:name w:val="heading 1"/>
    <w:basedOn w:val="a1"/>
    <w:next w:val="a1"/>
    <w:link w:val="1Char"/>
    <w:uiPriority w:val="9"/>
    <w:qFormat/>
    <w:rsid w:val="00FC693F"/>
    <w:pPr>
      <w:keepNext/>
      <w:keepLines/>
      <w:spacing w:before="200" w:after="100"/>
      <w:outlineLvl w:val="0"/>
    </w:pPr>
    <w:rPr>
      <w:rFonts w:asciiTheme="majorHAnsi" w:eastAsiaTheme="majorEastAsia" w:hAnsiTheme="majorHAnsi" w:cstheme="majorBidi"/>
      <w:b/>
      <w:bCs/>
      <w:color w:val="14233C"/>
      <w:sz w:val="36"/>
      <w:szCs w:val="28"/>
    </w:rPr>
  </w:style>
  <w:style w:type="paragraph" w:styleId="21">
    <w:name w:val="heading 2"/>
    <w:basedOn w:val="a1"/>
    <w:next w:val="a1"/>
    <w:link w:val="2Char"/>
    <w:uiPriority w:val="9"/>
    <w:unhideWhenUsed/>
    <w:qFormat/>
    <w:rsid w:val="00FC693F"/>
    <w:pPr>
      <w:keepNext/>
      <w:keepLines/>
      <w:spacing w:before="200" w:after="100"/>
      <w:outlineLvl w:val="1"/>
    </w:pPr>
    <w:rPr>
      <w:rFonts w:asciiTheme="majorHAnsi" w:eastAsiaTheme="majorEastAsia" w:hAnsiTheme="majorHAnsi" w:cstheme="majorBidi"/>
      <w:b/>
      <w:bCs/>
      <w:color w:val="2D4F73"/>
      <w:sz w:val="26"/>
      <w:szCs w:val="26"/>
    </w:rPr>
  </w:style>
  <w:style w:type="paragraph" w:styleId="31">
    <w:name w:val="heading 3"/>
    <w:basedOn w:val="a1"/>
    <w:next w:val="a1"/>
    <w:link w:val="3Char"/>
    <w:uiPriority w:val="9"/>
    <w:unhideWhenUsed/>
    <w:qFormat/>
    <w:rsid w:val="00FC693F"/>
    <w:pPr>
      <w:keepNext/>
      <w:keepLines/>
      <w:spacing w:before="200" w:after="100"/>
      <w:outlineLvl w:val="2"/>
    </w:pPr>
    <w:rPr>
      <w:rFonts w:asciiTheme="majorHAnsi" w:eastAsiaTheme="majorEastAsia" w:hAnsiTheme="majorHAnsi" w:cstheme="majorBidi"/>
      <w:b/>
      <w:bCs/>
      <w:color w:val="3E5E7E"/>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4233C"/>
      <w:spacing w:val="5"/>
      <w:kern w:val="28"/>
      <w:sz w:val="5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35</Pages>
  <Words>10373</Words>
  <Characters>68672</Characters>
  <Application>Microsoft Office Word</Application>
  <DocSecurity>0</DocSecurity>
  <Lines>1597</Lines>
  <Paragraphs>908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itriX Computational Infrastructure for the Age of AI — White Paper v3.3</vt:lpstr>
      <vt:lpstr/>
    </vt:vector>
  </TitlesOfParts>
  <Manager/>
  <Company/>
  <LinksUpToDate>false</LinksUpToDate>
  <CharactersWithSpaces>78137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itriX Computational Infrastructure for the Age of AI — White Paper v3.3</dc:title>
  <dc:subject>Problemology-based white paper with Evidence-to-License Framework</dc:subject>
  <dc:creator>itriX Co., Ltd.</dc:creator>
  <cp:keywords/>
  <dc:description>Rewritten to align proof discipline with itriX license-out commercialization model.</dc:description>
  <cp:lastModifiedBy>DH Park</cp:lastModifiedBy>
  <cp:revision>3</cp:revision>
  <dcterms:created xsi:type="dcterms:W3CDTF">2026-08-28T12:34:00Z</dcterms:created>
  <dcterms:modified xsi:type="dcterms:W3CDTF">2026-08-28T12:41:00Z</dcterms:modified>
  <cp:category/>
</cp:coreProperties>
</file>