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1B94" w14:textId="77777777" w:rsidR="00634235" w:rsidRDefault="00000000">
      <w:pPr>
        <w:spacing w:before="680" w:after="140"/>
      </w:pPr>
      <w:r>
        <w:rPr>
          <w:b/>
          <w:color w:val="77B900"/>
          <w:sz w:val="20"/>
        </w:rPr>
        <w:t>itriX  |  KNOWLEDGE CORE</w:t>
      </w:r>
    </w:p>
    <w:p w14:paraId="151FE5E5" w14:textId="77777777" w:rsidR="00634235" w:rsidRDefault="00000000">
      <w:pPr>
        <w:spacing w:after="160"/>
      </w:pPr>
      <w:r>
        <w:rPr>
          <w:b/>
          <w:color w:val="141414"/>
          <w:sz w:val="58"/>
        </w:rPr>
        <w:t>ASTOP Comparative</w:t>
      </w:r>
      <w:r>
        <w:rPr>
          <w:b/>
          <w:color w:val="141414"/>
          <w:sz w:val="58"/>
        </w:rPr>
        <w:br/>
        <w:t>Knowledge Core</w:t>
      </w:r>
    </w:p>
    <w:p w14:paraId="03C32FAD" w14:textId="77777777" w:rsidR="00634235" w:rsidRDefault="00000000">
      <w:pPr>
        <w:spacing w:after="520"/>
      </w:pPr>
      <w:r>
        <w:rPr>
          <w:color w:val="5B6168"/>
          <w:sz w:val="28"/>
        </w:rPr>
        <w:t>Positioning ASTOP against Anthropic cost optimization and NVIDIA SoL-Pi</w:t>
      </w:r>
    </w:p>
    <w:tbl>
      <w:tblPr>
        <w:tblW w:w="0" w:type="auto"/>
        <w:jc w:val="center"/>
        <w:tblLayout w:type="fixed"/>
        <w:tblLook w:val="04A0" w:firstRow="1" w:lastRow="0" w:firstColumn="1" w:lastColumn="0" w:noHBand="0" w:noVBand="1"/>
      </w:tblPr>
      <w:tblGrid>
        <w:gridCol w:w="9994"/>
      </w:tblGrid>
      <w:tr w:rsidR="00634235" w14:paraId="2302CFCC" w14:textId="77777777">
        <w:trPr>
          <w:tblHeader/>
          <w:jc w:val="center"/>
        </w:trPr>
        <w:tc>
          <w:tcPr>
            <w:tcW w:w="9994" w:type="dxa"/>
            <w:tcBorders>
              <w:left w:val="single" w:sz="16" w:space="0" w:color="77B900"/>
            </w:tcBorders>
            <w:shd w:val="clear" w:color="auto" w:fill="F3F5F3"/>
            <w:tcMar>
              <w:top w:w="140" w:type="dxa"/>
              <w:left w:w="150" w:type="dxa"/>
              <w:bottom w:w="140" w:type="dxa"/>
              <w:right w:w="150" w:type="dxa"/>
            </w:tcMar>
          </w:tcPr>
          <w:p w14:paraId="7208BD23" w14:textId="77777777" w:rsidR="00634235" w:rsidRDefault="00000000">
            <w:pPr>
              <w:spacing w:after="60"/>
            </w:pPr>
            <w:r>
              <w:rPr>
                <w:b/>
                <w:color w:val="141414"/>
                <w:sz w:val="20"/>
              </w:rPr>
              <w:t>PURPOSE</w:t>
            </w:r>
          </w:p>
          <w:p w14:paraId="544CD7E2" w14:textId="77777777" w:rsidR="00634235" w:rsidRDefault="00000000">
            <w:pPr>
              <w:spacing w:after="0"/>
            </w:pPr>
            <w:r>
              <w:rPr>
                <w:color w:val="141414"/>
                <w:sz w:val="20"/>
              </w:rPr>
              <w:t>Train the AI-powered sales platform to explain ASTOP accurately, distinguish it from adjacent efficiency methods, qualify where it creates value, answer objections, and avoid unsupported benchmark comparisons.</w:t>
            </w:r>
          </w:p>
        </w:tc>
      </w:tr>
    </w:tbl>
    <w:p w14:paraId="3DEA7EA8" w14:textId="77777777" w:rsidR="00634235" w:rsidRDefault="00634235">
      <w:pPr>
        <w:spacing w:after="20"/>
      </w:pPr>
    </w:p>
    <w:p w14:paraId="6809B9B0" w14:textId="77777777" w:rsidR="00634235" w:rsidRDefault="00000000">
      <w:pPr>
        <w:spacing w:before="360" w:after="100"/>
      </w:pPr>
      <w:r>
        <w:rPr>
          <w:b/>
          <w:color w:val="5B6168"/>
          <w:sz w:val="18"/>
        </w:rPr>
        <w:t>Version  1.1</w:t>
      </w:r>
    </w:p>
    <w:p w14:paraId="582579CA" w14:textId="77777777" w:rsidR="00634235" w:rsidRDefault="00000000">
      <w:pPr>
        <w:spacing w:after="100"/>
      </w:pPr>
      <w:r>
        <w:rPr>
          <w:b/>
          <w:color w:val="5B6168"/>
          <w:sz w:val="18"/>
        </w:rPr>
        <w:t>Date</w:t>
      </w:r>
      <w:r>
        <w:rPr>
          <w:color w:val="141414"/>
          <w:sz w:val="18"/>
        </w:rPr>
        <w:t xml:space="preserve">  16 September 2026</w:t>
      </w:r>
    </w:p>
    <w:p w14:paraId="30BE26F5" w14:textId="77777777" w:rsidR="00634235" w:rsidRDefault="00000000">
      <w:pPr>
        <w:spacing w:after="100"/>
      </w:pPr>
      <w:r>
        <w:rPr>
          <w:b/>
          <w:color w:val="5B6168"/>
          <w:sz w:val="18"/>
        </w:rPr>
        <w:t>Primary audience</w:t>
      </w:r>
      <w:r>
        <w:rPr>
          <w:color w:val="141414"/>
          <w:sz w:val="18"/>
        </w:rPr>
        <w:t xml:space="preserve">  itriX AI-Powered Sales Platform and commercial team</w:t>
      </w:r>
    </w:p>
    <w:p w14:paraId="09E9400D" w14:textId="77777777" w:rsidR="00634235" w:rsidRDefault="00000000">
      <w:pPr>
        <w:spacing w:after="100"/>
      </w:pPr>
      <w:r>
        <w:rPr>
          <w:b/>
          <w:color w:val="5B6168"/>
          <w:sz w:val="18"/>
        </w:rPr>
        <w:t>Evidence basis</w:t>
      </w:r>
      <w:r>
        <w:rPr>
          <w:color w:val="141414"/>
          <w:sz w:val="18"/>
        </w:rPr>
        <w:t xml:space="preserve">  itriX technical briefing + current official Anthropic and NVIDIA sources</w:t>
      </w:r>
    </w:p>
    <w:p w14:paraId="544AEB4B" w14:textId="77777777" w:rsidR="00634235" w:rsidRDefault="00000000">
      <w:r>
        <w:br w:type="page"/>
      </w:r>
    </w:p>
    <w:p w14:paraId="59317B67" w14:textId="77777777" w:rsidR="00634235" w:rsidRDefault="00000000">
      <w:pPr>
        <w:pStyle w:val="1"/>
      </w:pPr>
      <w:r>
        <w:lastRenderedPageBreak/>
        <w:t>Executive Positioning</w:t>
      </w:r>
    </w:p>
    <w:tbl>
      <w:tblPr>
        <w:tblW w:w="0" w:type="auto"/>
        <w:jc w:val="center"/>
        <w:tblLayout w:type="fixed"/>
        <w:tblLook w:val="04A0" w:firstRow="1" w:lastRow="0" w:firstColumn="1" w:lastColumn="0" w:noHBand="0" w:noVBand="1"/>
      </w:tblPr>
      <w:tblGrid>
        <w:gridCol w:w="9994"/>
      </w:tblGrid>
      <w:tr w:rsidR="00634235" w14:paraId="7EB1F86C" w14:textId="77777777">
        <w:trPr>
          <w:tblHeader/>
          <w:jc w:val="center"/>
        </w:trPr>
        <w:tc>
          <w:tcPr>
            <w:tcW w:w="9994" w:type="dxa"/>
            <w:tcBorders>
              <w:left w:val="single" w:sz="16" w:space="0" w:color="77B900"/>
            </w:tcBorders>
            <w:shd w:val="clear" w:color="auto" w:fill="EEF5E8"/>
            <w:tcMar>
              <w:top w:w="140" w:type="dxa"/>
              <w:left w:w="150" w:type="dxa"/>
              <w:bottom w:w="140" w:type="dxa"/>
              <w:right w:w="150" w:type="dxa"/>
            </w:tcMar>
          </w:tcPr>
          <w:p w14:paraId="5A58127B" w14:textId="77777777" w:rsidR="00634235" w:rsidRDefault="00000000">
            <w:pPr>
              <w:spacing w:after="60"/>
            </w:pPr>
            <w:r>
              <w:rPr>
                <w:b/>
                <w:color w:val="141414"/>
                <w:sz w:val="20"/>
              </w:rPr>
              <w:t>CANONICAL POSITIONING</w:t>
            </w:r>
          </w:p>
          <w:p w14:paraId="7FC9E061" w14:textId="77777777" w:rsidR="00634235" w:rsidRDefault="00000000">
            <w:pPr>
              <w:spacing w:after="0"/>
            </w:pPr>
            <w:r>
              <w:rPr>
                <w:color w:val="141414"/>
                <w:sz w:val="20"/>
              </w:rPr>
              <w:t>Anthropic primarily improves the economics and configuration of model requests. SoL-Pi primarily removes repeated work inside long agent trajectories. ASTOP targets a different question: whether the decision model needs to be invoked now at all. It separates ongoing observation from judgment, maintains state outside the decision model, and reports only decision-relevant changes at meaningful times. The three approaches can be complementary; their benchmark results are not directly comparable.</w:t>
            </w:r>
          </w:p>
        </w:tc>
      </w:tr>
    </w:tbl>
    <w:p w14:paraId="0C944BF0" w14:textId="77777777" w:rsidR="00634235" w:rsidRDefault="00634235">
      <w:pPr>
        <w:spacing w:after="20"/>
      </w:pPr>
    </w:p>
    <w:p w14:paraId="3031DDAD" w14:textId="77777777" w:rsidR="00634235" w:rsidRDefault="00000000">
      <w:pPr>
        <w:pStyle w:val="21"/>
      </w:pPr>
      <w:r>
        <w:t>The three efficiency questions</w:t>
      </w:r>
    </w:p>
    <w:tbl>
      <w:tblPr>
        <w:tblW w:w="0" w:type="auto"/>
        <w:jc w:val="center"/>
        <w:tblLayout w:type="fixed"/>
        <w:tblLook w:val="04A0" w:firstRow="1" w:lastRow="0" w:firstColumn="1" w:lastColumn="0" w:noHBand="0" w:noVBand="1"/>
      </w:tblPr>
      <w:tblGrid>
        <w:gridCol w:w="2376"/>
        <w:gridCol w:w="1944"/>
        <w:gridCol w:w="1800"/>
        <w:gridCol w:w="3240"/>
      </w:tblGrid>
      <w:tr w:rsidR="00634235" w14:paraId="5ECC4E5B" w14:textId="77777777">
        <w:trPr>
          <w:tblHeader/>
          <w:jc w:val="center"/>
        </w:trPr>
        <w:tc>
          <w:tcPr>
            <w:tcW w:w="2376" w:type="dxa"/>
            <w:shd w:val="clear" w:color="auto" w:fill="141414"/>
            <w:tcMar>
              <w:top w:w="95" w:type="dxa"/>
              <w:left w:w="105" w:type="dxa"/>
              <w:bottom w:w="95" w:type="dxa"/>
              <w:right w:w="105" w:type="dxa"/>
            </w:tcMar>
            <w:vAlign w:val="center"/>
          </w:tcPr>
          <w:p w14:paraId="04120520" w14:textId="77777777" w:rsidR="00634235" w:rsidRDefault="00000000">
            <w:pPr>
              <w:spacing w:after="0"/>
            </w:pPr>
            <w:r>
              <w:rPr>
                <w:b/>
                <w:color w:val="FFFFFF"/>
                <w:sz w:val="18"/>
              </w:rPr>
              <w:t>Question</w:t>
            </w:r>
          </w:p>
        </w:tc>
        <w:tc>
          <w:tcPr>
            <w:tcW w:w="1944" w:type="dxa"/>
            <w:shd w:val="clear" w:color="auto" w:fill="141414"/>
            <w:tcMar>
              <w:top w:w="95" w:type="dxa"/>
              <w:left w:w="105" w:type="dxa"/>
              <w:bottom w:w="95" w:type="dxa"/>
              <w:right w:w="105" w:type="dxa"/>
            </w:tcMar>
            <w:vAlign w:val="center"/>
          </w:tcPr>
          <w:p w14:paraId="425B56D8" w14:textId="77777777" w:rsidR="00634235" w:rsidRDefault="00000000">
            <w:pPr>
              <w:spacing w:after="0"/>
            </w:pPr>
            <w:r>
              <w:rPr>
                <w:b/>
                <w:color w:val="FFFFFF"/>
                <w:sz w:val="18"/>
              </w:rPr>
              <w:t>Primary layer</w:t>
            </w:r>
          </w:p>
        </w:tc>
        <w:tc>
          <w:tcPr>
            <w:tcW w:w="1800" w:type="dxa"/>
            <w:shd w:val="clear" w:color="auto" w:fill="141414"/>
            <w:tcMar>
              <w:top w:w="95" w:type="dxa"/>
              <w:left w:w="105" w:type="dxa"/>
              <w:bottom w:w="95" w:type="dxa"/>
              <w:right w:w="105" w:type="dxa"/>
            </w:tcMar>
            <w:vAlign w:val="center"/>
          </w:tcPr>
          <w:p w14:paraId="451F7B7A" w14:textId="77777777" w:rsidR="00634235" w:rsidRDefault="00000000">
            <w:pPr>
              <w:spacing w:after="0"/>
            </w:pPr>
            <w:r>
              <w:rPr>
                <w:b/>
                <w:color w:val="FFFFFF"/>
                <w:sz w:val="18"/>
              </w:rPr>
              <w:t>Representative approach</w:t>
            </w:r>
          </w:p>
        </w:tc>
        <w:tc>
          <w:tcPr>
            <w:tcW w:w="3240" w:type="dxa"/>
            <w:shd w:val="clear" w:color="auto" w:fill="141414"/>
            <w:tcMar>
              <w:top w:w="95" w:type="dxa"/>
              <w:left w:w="105" w:type="dxa"/>
              <w:bottom w:w="95" w:type="dxa"/>
              <w:right w:w="105" w:type="dxa"/>
            </w:tcMar>
            <w:vAlign w:val="center"/>
          </w:tcPr>
          <w:p w14:paraId="63D0DD72" w14:textId="77777777" w:rsidR="00634235" w:rsidRDefault="00000000">
            <w:pPr>
              <w:spacing w:after="0"/>
            </w:pPr>
            <w:r>
              <w:rPr>
                <w:b/>
                <w:color w:val="FFFFFF"/>
                <w:sz w:val="18"/>
              </w:rPr>
              <w:t>Core economic idea</w:t>
            </w:r>
          </w:p>
        </w:tc>
      </w:tr>
      <w:tr w:rsidR="00634235" w14:paraId="44C0DEBB" w14:textId="77777777">
        <w:trPr>
          <w:jc w:val="center"/>
        </w:trPr>
        <w:tc>
          <w:tcPr>
            <w:tcW w:w="2376" w:type="dxa"/>
            <w:shd w:val="clear" w:color="auto" w:fill="FFFFFF"/>
            <w:tcMar>
              <w:top w:w="95" w:type="dxa"/>
              <w:left w:w="105" w:type="dxa"/>
              <w:bottom w:w="95" w:type="dxa"/>
              <w:right w:w="105" w:type="dxa"/>
            </w:tcMar>
            <w:vAlign w:val="center"/>
          </w:tcPr>
          <w:p w14:paraId="5EE6E122" w14:textId="77777777" w:rsidR="00634235" w:rsidRDefault="00000000">
            <w:pPr>
              <w:spacing w:after="0"/>
            </w:pPr>
            <w:r>
              <w:rPr>
                <w:color w:val="141414"/>
                <w:sz w:val="18"/>
              </w:rPr>
              <w:t>If a model request is needed, can that request be cheaper or better configured?</w:t>
            </w:r>
          </w:p>
        </w:tc>
        <w:tc>
          <w:tcPr>
            <w:tcW w:w="1944" w:type="dxa"/>
            <w:shd w:val="clear" w:color="auto" w:fill="FFFFFF"/>
            <w:tcMar>
              <w:top w:w="95" w:type="dxa"/>
              <w:left w:w="105" w:type="dxa"/>
              <w:bottom w:w="95" w:type="dxa"/>
              <w:right w:w="105" w:type="dxa"/>
            </w:tcMar>
            <w:vAlign w:val="center"/>
          </w:tcPr>
          <w:p w14:paraId="5A57BAA7" w14:textId="77777777" w:rsidR="00634235" w:rsidRDefault="00000000">
            <w:pPr>
              <w:spacing w:after="0"/>
            </w:pPr>
            <w:r>
              <w:rPr>
                <w:color w:val="141414"/>
                <w:sz w:val="18"/>
              </w:rPr>
              <w:t>Request / model use</w:t>
            </w:r>
          </w:p>
        </w:tc>
        <w:tc>
          <w:tcPr>
            <w:tcW w:w="1800" w:type="dxa"/>
            <w:shd w:val="clear" w:color="auto" w:fill="FFFFFF"/>
            <w:tcMar>
              <w:top w:w="95" w:type="dxa"/>
              <w:left w:w="105" w:type="dxa"/>
              <w:bottom w:w="95" w:type="dxa"/>
              <w:right w:w="105" w:type="dxa"/>
            </w:tcMar>
            <w:vAlign w:val="center"/>
          </w:tcPr>
          <w:p w14:paraId="72A088AF" w14:textId="77777777" w:rsidR="00634235" w:rsidRDefault="00000000">
            <w:pPr>
              <w:spacing w:after="0"/>
            </w:pPr>
            <w:r>
              <w:rPr>
                <w:color w:val="141414"/>
                <w:sz w:val="18"/>
              </w:rPr>
              <w:t>Anthropic</w:t>
            </w:r>
          </w:p>
        </w:tc>
        <w:tc>
          <w:tcPr>
            <w:tcW w:w="3240" w:type="dxa"/>
            <w:shd w:val="clear" w:color="auto" w:fill="FFFFFF"/>
            <w:tcMar>
              <w:top w:w="95" w:type="dxa"/>
              <w:left w:w="105" w:type="dxa"/>
              <w:bottom w:w="95" w:type="dxa"/>
              <w:right w:w="105" w:type="dxa"/>
            </w:tcMar>
            <w:vAlign w:val="center"/>
          </w:tcPr>
          <w:p w14:paraId="13A8909F" w14:textId="77777777" w:rsidR="00634235" w:rsidRDefault="00000000">
            <w:pPr>
              <w:spacing w:after="0"/>
            </w:pPr>
            <w:r>
              <w:rPr>
                <w:color w:val="141414"/>
                <w:sz w:val="18"/>
              </w:rPr>
              <w:t>Reuse stable prefixes; remove prompt anti-patterns; calibrate effort/model/output.</w:t>
            </w:r>
          </w:p>
        </w:tc>
      </w:tr>
      <w:tr w:rsidR="00634235" w14:paraId="325C271F" w14:textId="77777777">
        <w:trPr>
          <w:jc w:val="center"/>
        </w:trPr>
        <w:tc>
          <w:tcPr>
            <w:tcW w:w="2376" w:type="dxa"/>
            <w:shd w:val="clear" w:color="auto" w:fill="FFFFFF"/>
            <w:tcMar>
              <w:top w:w="95" w:type="dxa"/>
              <w:left w:w="105" w:type="dxa"/>
              <w:bottom w:w="95" w:type="dxa"/>
              <w:right w:w="105" w:type="dxa"/>
            </w:tcMar>
            <w:vAlign w:val="center"/>
          </w:tcPr>
          <w:p w14:paraId="362D83E6" w14:textId="77777777" w:rsidR="00634235" w:rsidRDefault="00000000">
            <w:pPr>
              <w:spacing w:after="0"/>
            </w:pPr>
            <w:r>
              <w:rPr>
                <w:color w:val="141414"/>
                <w:sz w:val="18"/>
              </w:rPr>
              <w:t>If an agent must work, can the trajectory contain less repetition?</w:t>
            </w:r>
          </w:p>
        </w:tc>
        <w:tc>
          <w:tcPr>
            <w:tcW w:w="1944" w:type="dxa"/>
            <w:shd w:val="clear" w:color="auto" w:fill="FFFFFF"/>
            <w:tcMar>
              <w:top w:w="95" w:type="dxa"/>
              <w:left w:w="105" w:type="dxa"/>
              <w:bottom w:w="95" w:type="dxa"/>
              <w:right w:w="105" w:type="dxa"/>
            </w:tcMar>
            <w:vAlign w:val="center"/>
          </w:tcPr>
          <w:p w14:paraId="0B29F1D7" w14:textId="77777777" w:rsidR="00634235" w:rsidRDefault="00000000">
            <w:pPr>
              <w:spacing w:after="0"/>
            </w:pPr>
            <w:r>
              <w:rPr>
                <w:color w:val="141414"/>
                <w:sz w:val="18"/>
              </w:rPr>
              <w:t>Agent harness / execution</w:t>
            </w:r>
          </w:p>
        </w:tc>
        <w:tc>
          <w:tcPr>
            <w:tcW w:w="1800" w:type="dxa"/>
            <w:shd w:val="clear" w:color="auto" w:fill="FFFFFF"/>
            <w:tcMar>
              <w:top w:w="95" w:type="dxa"/>
              <w:left w:w="105" w:type="dxa"/>
              <w:bottom w:w="95" w:type="dxa"/>
              <w:right w:w="105" w:type="dxa"/>
            </w:tcMar>
            <w:vAlign w:val="center"/>
          </w:tcPr>
          <w:p w14:paraId="632F6C11" w14:textId="77777777" w:rsidR="00634235" w:rsidRDefault="00000000">
            <w:pPr>
              <w:spacing w:after="0"/>
            </w:pPr>
            <w:r>
              <w:rPr>
                <w:color w:val="141414"/>
                <w:sz w:val="18"/>
              </w:rPr>
              <w:t>NVIDIA SoL-Pi</w:t>
            </w:r>
          </w:p>
        </w:tc>
        <w:tc>
          <w:tcPr>
            <w:tcW w:w="3240" w:type="dxa"/>
            <w:shd w:val="clear" w:color="auto" w:fill="FFFFFF"/>
            <w:tcMar>
              <w:top w:w="95" w:type="dxa"/>
              <w:left w:w="105" w:type="dxa"/>
              <w:bottom w:w="95" w:type="dxa"/>
              <w:right w:w="105" w:type="dxa"/>
            </w:tcMar>
            <w:vAlign w:val="center"/>
          </w:tcPr>
          <w:p w14:paraId="2D51B366" w14:textId="77777777" w:rsidR="00634235" w:rsidRDefault="00000000">
            <w:pPr>
              <w:spacing w:after="0"/>
            </w:pPr>
            <w:r>
              <w:rPr>
                <w:color w:val="141414"/>
                <w:sz w:val="18"/>
              </w:rPr>
              <w:t>Fuse predictable actions; avoid replaying large observations; compact completed context; reduce long logs.</w:t>
            </w:r>
          </w:p>
        </w:tc>
      </w:tr>
      <w:tr w:rsidR="00634235" w14:paraId="53513E78" w14:textId="77777777">
        <w:trPr>
          <w:jc w:val="center"/>
        </w:trPr>
        <w:tc>
          <w:tcPr>
            <w:tcW w:w="2376" w:type="dxa"/>
            <w:shd w:val="clear" w:color="auto" w:fill="FFFFFF"/>
            <w:tcMar>
              <w:top w:w="95" w:type="dxa"/>
              <w:left w:w="105" w:type="dxa"/>
              <w:bottom w:w="95" w:type="dxa"/>
              <w:right w:w="105" w:type="dxa"/>
            </w:tcMar>
            <w:vAlign w:val="center"/>
          </w:tcPr>
          <w:p w14:paraId="1455ACA7" w14:textId="77777777" w:rsidR="00634235" w:rsidRDefault="00000000">
            <w:pPr>
              <w:spacing w:after="0"/>
            </w:pPr>
            <w:r>
              <w:rPr>
                <w:color w:val="141414"/>
                <w:sz w:val="18"/>
              </w:rPr>
              <w:t>Does the decision model need to be asked again right now?</w:t>
            </w:r>
          </w:p>
        </w:tc>
        <w:tc>
          <w:tcPr>
            <w:tcW w:w="1944" w:type="dxa"/>
            <w:shd w:val="clear" w:color="auto" w:fill="FFFFFF"/>
            <w:tcMar>
              <w:top w:w="95" w:type="dxa"/>
              <w:left w:w="105" w:type="dxa"/>
              <w:bottom w:w="95" w:type="dxa"/>
              <w:right w:w="105" w:type="dxa"/>
            </w:tcMar>
            <w:vAlign w:val="center"/>
          </w:tcPr>
          <w:p w14:paraId="35CD34B9" w14:textId="77777777" w:rsidR="00634235" w:rsidRDefault="00000000">
            <w:pPr>
              <w:spacing w:after="0"/>
            </w:pPr>
            <w:r>
              <w:rPr>
                <w:color w:val="141414"/>
                <w:sz w:val="18"/>
              </w:rPr>
              <w:t>Supervision / observation</w:t>
            </w:r>
          </w:p>
        </w:tc>
        <w:tc>
          <w:tcPr>
            <w:tcW w:w="1800" w:type="dxa"/>
            <w:shd w:val="clear" w:color="auto" w:fill="FFFFFF"/>
            <w:tcMar>
              <w:top w:w="95" w:type="dxa"/>
              <w:left w:w="105" w:type="dxa"/>
              <w:bottom w:w="95" w:type="dxa"/>
              <w:right w:w="105" w:type="dxa"/>
            </w:tcMar>
            <w:vAlign w:val="center"/>
          </w:tcPr>
          <w:p w14:paraId="1C6C5D93" w14:textId="77777777" w:rsidR="00634235" w:rsidRDefault="00000000">
            <w:pPr>
              <w:spacing w:after="0"/>
            </w:pPr>
            <w:r>
              <w:rPr>
                <w:color w:val="141414"/>
                <w:sz w:val="18"/>
              </w:rPr>
              <w:t>ASTOP (PRISM framing)</w:t>
            </w:r>
          </w:p>
        </w:tc>
        <w:tc>
          <w:tcPr>
            <w:tcW w:w="3240" w:type="dxa"/>
            <w:shd w:val="clear" w:color="auto" w:fill="FFFFFF"/>
            <w:tcMar>
              <w:top w:w="95" w:type="dxa"/>
              <w:left w:w="105" w:type="dxa"/>
              <w:bottom w:w="95" w:type="dxa"/>
              <w:right w:w="105" w:type="dxa"/>
            </w:tcMar>
            <w:vAlign w:val="center"/>
          </w:tcPr>
          <w:p w14:paraId="044E8502" w14:textId="77777777" w:rsidR="00634235" w:rsidRDefault="00000000">
            <w:pPr>
              <w:spacing w:after="0"/>
            </w:pPr>
            <w:r>
              <w:rPr>
                <w:color w:val="141414"/>
                <w:sz w:val="18"/>
              </w:rPr>
              <w:t>Maintain state independently and emit decision-relevant information only when meaningful change or a required event occurs.</w:t>
            </w:r>
          </w:p>
        </w:tc>
      </w:tr>
    </w:tbl>
    <w:p w14:paraId="6ED669E4" w14:textId="77777777" w:rsidR="00634235" w:rsidRDefault="00000000">
      <w:pPr>
        <w:spacing w:after="140"/>
      </w:pPr>
      <w:r>
        <w:rPr>
          <w:color w:val="5B6168"/>
          <w:sz w:val="19"/>
        </w:rPr>
        <w:t>Important: these are primary intervention points, not exclusive capability boundaries. Anthropic effort settings can alter tool-use behavior; SoL-Pi also changes observation handling; ASTOP may overlap with parts of a harness around the observation boundary.</w:t>
      </w:r>
    </w:p>
    <w:p w14:paraId="32A94A0A" w14:textId="77777777" w:rsidR="00634235" w:rsidRDefault="00000000">
      <w:pPr>
        <w:pStyle w:val="21"/>
      </w:pPr>
      <w:r>
        <w:t>Terminology standard for the sales platform</w:t>
      </w:r>
    </w:p>
    <w:p w14:paraId="238A1F00" w14:textId="77777777" w:rsidR="00634235" w:rsidRDefault="00000000">
      <w:pPr>
        <w:pStyle w:val="a0"/>
        <w:spacing w:after="40"/>
      </w:pPr>
      <w:r>
        <w:t>Use “ASTOP” as the customer-facing name.</w:t>
      </w:r>
    </w:p>
    <w:p w14:paraId="04D413C7" w14:textId="77777777" w:rsidR="00634235" w:rsidRDefault="00000000">
      <w:pPr>
        <w:pStyle w:val="a0"/>
        <w:spacing w:after="40"/>
      </w:pPr>
      <w:r>
        <w:t>Use “ASTOP” for customer-facing language. Use “PRISM” only when discussing the technical framing or evidence cited by itriX. The attached briefing uses the label “PRISM / astop”; this Knowledge Core does not assume that PRISM and ASTOP are legally identical names or fully equivalent implementations.</w:t>
      </w:r>
    </w:p>
    <w:p w14:paraId="5707656D" w14:textId="77777777" w:rsidR="00634235" w:rsidRDefault="00000000">
      <w:pPr>
        <w:pStyle w:val="a0"/>
        <w:spacing w:after="40"/>
      </w:pPr>
      <w:r>
        <w:t>Use “Anthropic method” narrowly to mean the September 2026 Claude Platform cost-optimization guidance discussed here, not Anthropic’s entire agent architecture.</w:t>
      </w:r>
    </w:p>
    <w:p w14:paraId="51CADFE9" w14:textId="77777777" w:rsidR="00634235" w:rsidRDefault="00000000">
      <w:pPr>
        <w:pStyle w:val="a0"/>
        <w:spacing w:after="40"/>
      </w:pPr>
      <w:r>
        <w:t>Use “SoL-Pi” for NVIDIA’s research project and current standalone Pi extension. NVIDIA explicitly states that SoL-Pi is not an official Pi distribution. [N2]</w:t>
      </w:r>
    </w:p>
    <w:p w14:paraId="6EFCDB43" w14:textId="77777777" w:rsidR="00634235" w:rsidRDefault="00000000">
      <w:r>
        <w:br w:type="page"/>
      </w:r>
    </w:p>
    <w:p w14:paraId="75748F93" w14:textId="77777777" w:rsidR="00634235" w:rsidRDefault="00000000">
      <w:pPr>
        <w:pStyle w:val="1"/>
      </w:pPr>
      <w:r>
        <w:lastRenderedPageBreak/>
        <w:t>1. ASTOP: Supervision and Observation Efficiency</w:t>
      </w:r>
    </w:p>
    <w:p w14:paraId="13B4EC85" w14:textId="77777777" w:rsidR="00634235" w:rsidRDefault="00000000">
      <w:r>
        <w:rPr>
          <w:b/>
          <w:color w:val="9A6A00"/>
          <w:sz w:val="18"/>
        </w:rPr>
        <w:t>SOURCE BASIS  This section is grounded in the attached itriX technical briefing dated 2026-09-15. For sales use, numerical ASTOP/PRISM claims in this Knowledge Core must be treated as itriX internal-source evidence unless separately supported by a public source. [I1]</w:t>
      </w:r>
    </w:p>
    <w:p w14:paraId="1EE2765F" w14:textId="77777777" w:rsidR="00634235" w:rsidRDefault="00000000">
      <w:pPr>
        <w:pStyle w:val="21"/>
      </w:pPr>
      <w:r>
        <w:t>1.1 Core mechanism</w:t>
      </w:r>
    </w:p>
    <w:p w14:paraId="70E3DBFF" w14:textId="77777777" w:rsidR="00634235" w:rsidRDefault="00000000">
      <w:r>
        <w:t>ASTOP is positioned as an independent observation layer between a changing environment and an expensive decision model. Instead of repeatedly asking the model to inspect an unchanged or decision-irrelevant state, the observer continues to collect and maintain state and reports only when a meaningful change requires judgment. [I1]</w:t>
      </w:r>
    </w:p>
    <w:p w14:paraId="707BBC65" w14:textId="77777777" w:rsidR="00634235" w:rsidRDefault="00000000">
      <w:pPr>
        <w:pStyle w:val="a0"/>
        <w:spacing w:after="40"/>
      </w:pPr>
      <w:r>
        <w:rPr>
          <w:b/>
        </w:rPr>
        <w:t>Information selection</w:t>
      </w:r>
      <w:r>
        <w:t xml:space="preserve"> — decide what information is necessary for the next judgment and how it should be represented.</w:t>
      </w:r>
    </w:p>
    <w:p w14:paraId="55F76B25" w14:textId="77777777" w:rsidR="00634235" w:rsidRDefault="00000000">
      <w:pPr>
        <w:pStyle w:val="a0"/>
        <w:spacing w:after="40"/>
      </w:pPr>
      <w:r>
        <w:rPr>
          <w:b/>
        </w:rPr>
        <w:t>Temporal selection</w:t>
      </w:r>
      <w:r>
        <w:t xml:space="preserve"> — decide when a report is necessary, based on meaningful state change rather than a fixed polling cadence.</w:t>
      </w:r>
    </w:p>
    <w:p w14:paraId="0FD65F68" w14:textId="77777777" w:rsidR="00634235" w:rsidRDefault="00000000">
      <w:pPr>
        <w:pStyle w:val="a0"/>
        <w:spacing w:after="40"/>
      </w:pPr>
      <w:r>
        <w:rPr>
          <w:b/>
        </w:rPr>
        <w:t>State continuity</w:t>
      </w:r>
      <w:r>
        <w:t xml:space="preserve"> — keep observation state outside the expensive decision call so unchanged status does not have to be re-explained every cycle.</w:t>
      </w:r>
    </w:p>
    <w:p w14:paraId="2E16E103" w14:textId="77777777" w:rsidR="00634235" w:rsidRDefault="00000000">
      <w:pPr>
        <w:pStyle w:val="a0"/>
        <w:spacing w:after="40"/>
      </w:pPr>
      <w:r>
        <w:rPr>
          <w:b/>
        </w:rPr>
        <w:t>Preservation requirement</w:t>
      </w:r>
      <w:r>
        <w:t xml:space="preserve"> — do not suppress required progress, exception, or completion events; efficiency is valid only if decision-relevant information is preserved.</w:t>
      </w:r>
    </w:p>
    <w:p w14:paraId="3EC30DD3" w14:textId="77777777" w:rsidR="00634235" w:rsidRDefault="00000000">
      <w:pPr>
        <w:pStyle w:val="21"/>
      </w:pPr>
      <w:r>
        <w:t>1.2 What ASTOP is designed to reduce</w:t>
      </w:r>
    </w:p>
    <w:p w14:paraId="5BF63A68" w14:textId="77777777" w:rsidR="00634235" w:rsidRDefault="00000000">
      <w:r>
        <w:t>The target waste is repeated supervision: model calls whose principal purpose is to ask whether anything important has changed. This is especially relevant when the observation frequency is high but meaningful state changes are comparatively sparse.</w:t>
      </w:r>
    </w:p>
    <w:tbl>
      <w:tblPr>
        <w:tblW w:w="0" w:type="auto"/>
        <w:jc w:val="center"/>
        <w:tblLayout w:type="fixed"/>
        <w:tblLook w:val="04A0" w:firstRow="1" w:lastRow="0" w:firstColumn="1" w:lastColumn="0" w:noHBand="0" w:noVBand="1"/>
      </w:tblPr>
      <w:tblGrid>
        <w:gridCol w:w="9994"/>
      </w:tblGrid>
      <w:tr w:rsidR="00634235" w14:paraId="33F9EB31" w14:textId="77777777">
        <w:trPr>
          <w:tblHeader/>
          <w:jc w:val="center"/>
        </w:trPr>
        <w:tc>
          <w:tcPr>
            <w:tcW w:w="9994" w:type="dxa"/>
            <w:tcBorders>
              <w:left w:val="single" w:sz="16" w:space="0" w:color="2C5F8A"/>
            </w:tcBorders>
            <w:shd w:val="clear" w:color="auto" w:fill="F7F7F7"/>
            <w:tcMar>
              <w:top w:w="140" w:type="dxa"/>
              <w:left w:w="150" w:type="dxa"/>
              <w:bottom w:w="140" w:type="dxa"/>
              <w:right w:w="150" w:type="dxa"/>
            </w:tcMar>
          </w:tcPr>
          <w:p w14:paraId="102B910F" w14:textId="77777777" w:rsidR="00634235" w:rsidRDefault="00000000">
            <w:pPr>
              <w:spacing w:after="60"/>
            </w:pPr>
            <w:r>
              <w:rPr>
                <w:b/>
                <w:color w:val="141414"/>
                <w:sz w:val="20"/>
              </w:rPr>
              <w:t>ECONOMIC LOGIC</w:t>
            </w:r>
          </w:p>
          <w:p w14:paraId="7268A7CA" w14:textId="77777777" w:rsidR="00634235" w:rsidRDefault="00000000">
            <w:pPr>
              <w:spacing w:after="0"/>
            </w:pPr>
            <w:r>
              <w:rPr>
                <w:color w:val="141414"/>
                <w:sz w:val="20"/>
              </w:rPr>
              <w:t>Net ASTOP value should be evaluated as avoided downstream model work minus the compute, storage, integration, and failure-handling cost of the observer. Token reduction is useful evidence, but it is not automatically equal to monetary or total-system cost reduction.</w:t>
            </w:r>
          </w:p>
        </w:tc>
      </w:tr>
    </w:tbl>
    <w:p w14:paraId="15C0858E" w14:textId="77777777" w:rsidR="00634235" w:rsidRDefault="00634235">
      <w:pPr>
        <w:spacing w:after="20"/>
      </w:pPr>
    </w:p>
    <w:p w14:paraId="15D04865" w14:textId="77777777" w:rsidR="00634235" w:rsidRDefault="00000000">
      <w:pPr>
        <w:pStyle w:val="21"/>
      </w:pPr>
      <w:r>
        <w:t>1.3 Strong-fit and weak-fit conditions</w:t>
      </w:r>
    </w:p>
    <w:tbl>
      <w:tblPr>
        <w:tblW w:w="0" w:type="auto"/>
        <w:jc w:val="center"/>
        <w:tblLayout w:type="fixed"/>
        <w:tblLook w:val="04A0" w:firstRow="1" w:lastRow="0" w:firstColumn="1" w:lastColumn="0" w:noHBand="0" w:noVBand="1"/>
      </w:tblPr>
      <w:tblGrid>
        <w:gridCol w:w="1944"/>
        <w:gridCol w:w="3816"/>
        <w:gridCol w:w="3816"/>
      </w:tblGrid>
      <w:tr w:rsidR="00634235" w14:paraId="03339EAF" w14:textId="77777777">
        <w:trPr>
          <w:tblHeader/>
          <w:jc w:val="center"/>
        </w:trPr>
        <w:tc>
          <w:tcPr>
            <w:tcW w:w="1944" w:type="dxa"/>
            <w:shd w:val="clear" w:color="auto" w:fill="141414"/>
            <w:tcMar>
              <w:top w:w="95" w:type="dxa"/>
              <w:left w:w="105" w:type="dxa"/>
              <w:bottom w:w="95" w:type="dxa"/>
              <w:right w:w="105" w:type="dxa"/>
            </w:tcMar>
            <w:vAlign w:val="center"/>
          </w:tcPr>
          <w:p w14:paraId="7275F9D2" w14:textId="77777777" w:rsidR="00634235" w:rsidRDefault="00000000">
            <w:pPr>
              <w:spacing w:after="0"/>
            </w:pPr>
            <w:r>
              <w:rPr>
                <w:b/>
                <w:color w:val="FFFFFF"/>
                <w:sz w:val="18"/>
              </w:rPr>
              <w:t>Signal</w:t>
            </w:r>
          </w:p>
        </w:tc>
        <w:tc>
          <w:tcPr>
            <w:tcW w:w="3816" w:type="dxa"/>
            <w:shd w:val="clear" w:color="auto" w:fill="141414"/>
            <w:tcMar>
              <w:top w:w="95" w:type="dxa"/>
              <w:left w:w="105" w:type="dxa"/>
              <w:bottom w:w="95" w:type="dxa"/>
              <w:right w:w="105" w:type="dxa"/>
            </w:tcMar>
            <w:vAlign w:val="center"/>
          </w:tcPr>
          <w:p w14:paraId="32FDD0CC" w14:textId="77777777" w:rsidR="00634235" w:rsidRDefault="00000000">
            <w:pPr>
              <w:spacing w:after="0"/>
            </w:pPr>
            <w:r>
              <w:rPr>
                <w:b/>
                <w:color w:val="FFFFFF"/>
                <w:sz w:val="18"/>
              </w:rPr>
              <w:t>Strong ASTOP fit</w:t>
            </w:r>
          </w:p>
        </w:tc>
        <w:tc>
          <w:tcPr>
            <w:tcW w:w="3816" w:type="dxa"/>
            <w:shd w:val="clear" w:color="auto" w:fill="141414"/>
            <w:tcMar>
              <w:top w:w="95" w:type="dxa"/>
              <w:left w:w="105" w:type="dxa"/>
              <w:bottom w:w="95" w:type="dxa"/>
              <w:right w:w="105" w:type="dxa"/>
            </w:tcMar>
            <w:vAlign w:val="center"/>
          </w:tcPr>
          <w:p w14:paraId="4E3FDDFA" w14:textId="77777777" w:rsidR="00634235" w:rsidRDefault="00000000">
            <w:pPr>
              <w:spacing w:after="0"/>
            </w:pPr>
            <w:r>
              <w:rPr>
                <w:b/>
                <w:color w:val="FFFFFF"/>
                <w:sz w:val="18"/>
              </w:rPr>
              <w:t>Weaker ASTOP fit</w:t>
            </w:r>
          </w:p>
        </w:tc>
      </w:tr>
      <w:tr w:rsidR="00634235" w14:paraId="21757690" w14:textId="77777777">
        <w:trPr>
          <w:jc w:val="center"/>
        </w:trPr>
        <w:tc>
          <w:tcPr>
            <w:tcW w:w="1944" w:type="dxa"/>
            <w:shd w:val="clear" w:color="auto" w:fill="FFFFFF"/>
            <w:tcMar>
              <w:top w:w="95" w:type="dxa"/>
              <w:left w:w="105" w:type="dxa"/>
              <w:bottom w:w="95" w:type="dxa"/>
              <w:right w:w="105" w:type="dxa"/>
            </w:tcMar>
            <w:vAlign w:val="center"/>
          </w:tcPr>
          <w:p w14:paraId="6E5B5166" w14:textId="77777777" w:rsidR="00634235" w:rsidRDefault="00000000">
            <w:pPr>
              <w:spacing w:after="0"/>
            </w:pPr>
            <w:r>
              <w:rPr>
                <w:color w:val="141414"/>
                <w:sz w:val="18"/>
              </w:rPr>
              <w:t>State dynamics</w:t>
            </w:r>
          </w:p>
        </w:tc>
        <w:tc>
          <w:tcPr>
            <w:tcW w:w="3816" w:type="dxa"/>
            <w:shd w:val="clear" w:color="auto" w:fill="FFFFFF"/>
            <w:tcMar>
              <w:top w:w="95" w:type="dxa"/>
              <w:left w:w="105" w:type="dxa"/>
              <w:bottom w:w="95" w:type="dxa"/>
              <w:right w:w="105" w:type="dxa"/>
            </w:tcMar>
            <w:vAlign w:val="center"/>
          </w:tcPr>
          <w:p w14:paraId="404EAE3E" w14:textId="77777777" w:rsidR="00634235" w:rsidRDefault="00000000">
            <w:pPr>
              <w:spacing w:after="0"/>
            </w:pPr>
            <w:r>
              <w:rPr>
                <w:color w:val="141414"/>
                <w:sz w:val="18"/>
              </w:rPr>
              <w:t>Long intervals with no decision-relevant change</w:t>
            </w:r>
          </w:p>
        </w:tc>
        <w:tc>
          <w:tcPr>
            <w:tcW w:w="3816" w:type="dxa"/>
            <w:shd w:val="clear" w:color="auto" w:fill="FFFFFF"/>
            <w:tcMar>
              <w:top w:w="95" w:type="dxa"/>
              <w:left w:w="105" w:type="dxa"/>
              <w:bottom w:w="95" w:type="dxa"/>
              <w:right w:w="105" w:type="dxa"/>
            </w:tcMar>
            <w:vAlign w:val="center"/>
          </w:tcPr>
          <w:p w14:paraId="257F5891" w14:textId="77777777" w:rsidR="00634235" w:rsidRDefault="00000000">
            <w:pPr>
              <w:spacing w:after="0"/>
            </w:pPr>
            <w:r>
              <w:rPr>
                <w:color w:val="141414"/>
                <w:sz w:val="18"/>
              </w:rPr>
              <w:t>Most observations contain new decision-relevant information</w:t>
            </w:r>
          </w:p>
        </w:tc>
      </w:tr>
      <w:tr w:rsidR="00634235" w14:paraId="593EA359" w14:textId="77777777">
        <w:trPr>
          <w:jc w:val="center"/>
        </w:trPr>
        <w:tc>
          <w:tcPr>
            <w:tcW w:w="1944" w:type="dxa"/>
            <w:shd w:val="clear" w:color="auto" w:fill="FFFFFF"/>
            <w:tcMar>
              <w:top w:w="95" w:type="dxa"/>
              <w:left w:w="105" w:type="dxa"/>
              <w:bottom w:w="95" w:type="dxa"/>
              <w:right w:w="105" w:type="dxa"/>
            </w:tcMar>
            <w:vAlign w:val="center"/>
          </w:tcPr>
          <w:p w14:paraId="32523B85" w14:textId="77777777" w:rsidR="00634235" w:rsidRDefault="00000000">
            <w:pPr>
              <w:spacing w:after="0"/>
            </w:pPr>
            <w:r>
              <w:rPr>
                <w:color w:val="141414"/>
                <w:sz w:val="18"/>
              </w:rPr>
              <w:t>Supervision pattern</w:t>
            </w:r>
          </w:p>
        </w:tc>
        <w:tc>
          <w:tcPr>
            <w:tcW w:w="3816" w:type="dxa"/>
            <w:shd w:val="clear" w:color="auto" w:fill="FFFFFF"/>
            <w:tcMar>
              <w:top w:w="95" w:type="dxa"/>
              <w:left w:w="105" w:type="dxa"/>
              <w:bottom w:w="95" w:type="dxa"/>
              <w:right w:w="105" w:type="dxa"/>
            </w:tcMar>
            <w:vAlign w:val="center"/>
          </w:tcPr>
          <w:p w14:paraId="17C2228E" w14:textId="77777777" w:rsidR="00634235" w:rsidRDefault="00000000">
            <w:pPr>
              <w:spacing w:after="0"/>
            </w:pPr>
            <w:r>
              <w:rPr>
                <w:color w:val="141414"/>
                <w:sz w:val="18"/>
              </w:rPr>
              <w:t>Frequent polling or repeated status checks</w:t>
            </w:r>
          </w:p>
        </w:tc>
        <w:tc>
          <w:tcPr>
            <w:tcW w:w="3816" w:type="dxa"/>
            <w:shd w:val="clear" w:color="auto" w:fill="FFFFFF"/>
            <w:tcMar>
              <w:top w:w="95" w:type="dxa"/>
              <w:left w:w="105" w:type="dxa"/>
              <w:bottom w:w="95" w:type="dxa"/>
              <w:right w:w="105" w:type="dxa"/>
            </w:tcMar>
            <w:vAlign w:val="center"/>
          </w:tcPr>
          <w:p w14:paraId="0DB44EC5" w14:textId="77777777" w:rsidR="00634235" w:rsidRDefault="00000000">
            <w:pPr>
              <w:spacing w:after="0"/>
            </w:pPr>
            <w:r>
              <w:rPr>
                <w:color w:val="141414"/>
                <w:sz w:val="18"/>
              </w:rPr>
              <w:t>One-shot inference or infrequent checks</w:t>
            </w:r>
          </w:p>
        </w:tc>
      </w:tr>
      <w:tr w:rsidR="00634235" w14:paraId="1B1880AE" w14:textId="77777777">
        <w:trPr>
          <w:jc w:val="center"/>
        </w:trPr>
        <w:tc>
          <w:tcPr>
            <w:tcW w:w="1944" w:type="dxa"/>
            <w:shd w:val="clear" w:color="auto" w:fill="FFFFFF"/>
            <w:tcMar>
              <w:top w:w="95" w:type="dxa"/>
              <w:left w:w="105" w:type="dxa"/>
              <w:bottom w:w="95" w:type="dxa"/>
              <w:right w:w="105" w:type="dxa"/>
            </w:tcMar>
            <w:vAlign w:val="center"/>
          </w:tcPr>
          <w:p w14:paraId="530D679F" w14:textId="77777777" w:rsidR="00634235" w:rsidRDefault="00000000">
            <w:pPr>
              <w:spacing w:after="0"/>
            </w:pPr>
            <w:r>
              <w:rPr>
                <w:color w:val="141414"/>
                <w:sz w:val="18"/>
              </w:rPr>
              <w:t>Task duration</w:t>
            </w:r>
          </w:p>
        </w:tc>
        <w:tc>
          <w:tcPr>
            <w:tcW w:w="3816" w:type="dxa"/>
            <w:shd w:val="clear" w:color="auto" w:fill="FFFFFF"/>
            <w:tcMar>
              <w:top w:w="95" w:type="dxa"/>
              <w:left w:w="105" w:type="dxa"/>
              <w:bottom w:w="95" w:type="dxa"/>
              <w:right w:w="105" w:type="dxa"/>
            </w:tcMar>
            <w:vAlign w:val="center"/>
          </w:tcPr>
          <w:p w14:paraId="444D13E1" w14:textId="77777777" w:rsidR="00634235" w:rsidRDefault="00000000">
            <w:pPr>
              <w:spacing w:after="0"/>
            </w:pPr>
            <w:r>
              <w:rPr>
                <w:color w:val="141414"/>
                <w:sz w:val="18"/>
              </w:rPr>
              <w:t>Long-running asynchronous jobs or workflows</w:t>
            </w:r>
          </w:p>
        </w:tc>
        <w:tc>
          <w:tcPr>
            <w:tcW w:w="3816" w:type="dxa"/>
            <w:shd w:val="clear" w:color="auto" w:fill="FFFFFF"/>
            <w:tcMar>
              <w:top w:w="95" w:type="dxa"/>
              <w:left w:w="105" w:type="dxa"/>
              <w:bottom w:w="95" w:type="dxa"/>
              <w:right w:w="105" w:type="dxa"/>
            </w:tcMar>
            <w:vAlign w:val="center"/>
          </w:tcPr>
          <w:p w14:paraId="5C0085C3" w14:textId="77777777" w:rsidR="00634235" w:rsidRDefault="00000000">
            <w:pPr>
              <w:spacing w:after="0"/>
            </w:pPr>
            <w:r>
              <w:rPr>
                <w:color w:val="141414"/>
                <w:sz w:val="18"/>
              </w:rPr>
              <w:t>Short, single-turn tasks</w:t>
            </w:r>
          </w:p>
        </w:tc>
      </w:tr>
      <w:tr w:rsidR="00634235" w14:paraId="313E458E" w14:textId="77777777">
        <w:trPr>
          <w:jc w:val="center"/>
        </w:trPr>
        <w:tc>
          <w:tcPr>
            <w:tcW w:w="1944" w:type="dxa"/>
            <w:shd w:val="clear" w:color="auto" w:fill="FFFFFF"/>
            <w:tcMar>
              <w:top w:w="95" w:type="dxa"/>
              <w:left w:w="105" w:type="dxa"/>
              <w:bottom w:w="95" w:type="dxa"/>
              <w:right w:w="105" w:type="dxa"/>
            </w:tcMar>
            <w:vAlign w:val="center"/>
          </w:tcPr>
          <w:p w14:paraId="160D49D6" w14:textId="77777777" w:rsidR="00634235" w:rsidRDefault="00000000">
            <w:pPr>
              <w:spacing w:after="0"/>
            </w:pPr>
            <w:r>
              <w:rPr>
                <w:color w:val="141414"/>
                <w:sz w:val="18"/>
              </w:rPr>
              <w:t>Event structure</w:t>
            </w:r>
          </w:p>
        </w:tc>
        <w:tc>
          <w:tcPr>
            <w:tcW w:w="3816" w:type="dxa"/>
            <w:shd w:val="clear" w:color="auto" w:fill="FFFFFF"/>
            <w:tcMar>
              <w:top w:w="95" w:type="dxa"/>
              <w:left w:w="105" w:type="dxa"/>
              <w:bottom w:w="95" w:type="dxa"/>
              <w:right w:w="105" w:type="dxa"/>
            </w:tcMar>
            <w:vAlign w:val="center"/>
          </w:tcPr>
          <w:p w14:paraId="16D65A2E" w14:textId="77777777" w:rsidR="00634235" w:rsidRDefault="00000000">
            <w:pPr>
              <w:spacing w:after="0"/>
            </w:pPr>
            <w:r>
              <w:rPr>
                <w:color w:val="141414"/>
                <w:sz w:val="18"/>
              </w:rPr>
              <w:t>Completion, exception, threshold or milestone events can be defined</w:t>
            </w:r>
          </w:p>
        </w:tc>
        <w:tc>
          <w:tcPr>
            <w:tcW w:w="3816" w:type="dxa"/>
            <w:shd w:val="clear" w:color="auto" w:fill="FFFFFF"/>
            <w:tcMar>
              <w:top w:w="95" w:type="dxa"/>
              <w:left w:w="105" w:type="dxa"/>
              <w:bottom w:w="95" w:type="dxa"/>
              <w:right w:w="105" w:type="dxa"/>
            </w:tcMar>
            <w:vAlign w:val="center"/>
          </w:tcPr>
          <w:p w14:paraId="384E5C78" w14:textId="77777777" w:rsidR="00634235" w:rsidRDefault="00000000">
            <w:pPr>
              <w:spacing w:after="0"/>
            </w:pPr>
            <w:r>
              <w:rPr>
                <w:color w:val="141414"/>
                <w:sz w:val="18"/>
              </w:rPr>
              <w:t>Every sample must be seen by the controller/model</w:t>
            </w:r>
          </w:p>
        </w:tc>
      </w:tr>
      <w:tr w:rsidR="00634235" w14:paraId="1A69A89E" w14:textId="77777777">
        <w:trPr>
          <w:jc w:val="center"/>
        </w:trPr>
        <w:tc>
          <w:tcPr>
            <w:tcW w:w="1944" w:type="dxa"/>
            <w:shd w:val="clear" w:color="auto" w:fill="FFFFFF"/>
            <w:tcMar>
              <w:top w:w="95" w:type="dxa"/>
              <w:left w:w="105" w:type="dxa"/>
              <w:bottom w:w="95" w:type="dxa"/>
              <w:right w:w="105" w:type="dxa"/>
            </w:tcMar>
            <w:vAlign w:val="center"/>
          </w:tcPr>
          <w:p w14:paraId="3CFF29E2" w14:textId="77777777" w:rsidR="00634235" w:rsidRDefault="00000000">
            <w:pPr>
              <w:spacing w:after="0"/>
            </w:pPr>
            <w:r>
              <w:rPr>
                <w:color w:val="141414"/>
                <w:sz w:val="18"/>
              </w:rPr>
              <w:t>Failure tolerance</w:t>
            </w:r>
          </w:p>
        </w:tc>
        <w:tc>
          <w:tcPr>
            <w:tcW w:w="3816" w:type="dxa"/>
            <w:shd w:val="clear" w:color="auto" w:fill="FFFFFF"/>
            <w:tcMar>
              <w:top w:w="95" w:type="dxa"/>
              <w:left w:w="105" w:type="dxa"/>
              <w:bottom w:w="95" w:type="dxa"/>
              <w:right w:w="105" w:type="dxa"/>
            </w:tcMar>
            <w:vAlign w:val="center"/>
          </w:tcPr>
          <w:p w14:paraId="23F6A004" w14:textId="77777777" w:rsidR="00634235" w:rsidRDefault="00000000">
            <w:pPr>
              <w:spacing w:after="0"/>
            </w:pPr>
            <w:r>
              <w:rPr>
                <w:color w:val="141414"/>
                <w:sz w:val="18"/>
              </w:rPr>
              <w:t>Critical events can be formally preserved and tested</w:t>
            </w:r>
          </w:p>
        </w:tc>
        <w:tc>
          <w:tcPr>
            <w:tcW w:w="3816" w:type="dxa"/>
            <w:shd w:val="clear" w:color="auto" w:fill="FFFFFF"/>
            <w:tcMar>
              <w:top w:w="95" w:type="dxa"/>
              <w:left w:w="105" w:type="dxa"/>
              <w:bottom w:w="95" w:type="dxa"/>
              <w:right w:w="105" w:type="dxa"/>
            </w:tcMar>
            <w:vAlign w:val="center"/>
          </w:tcPr>
          <w:p w14:paraId="476575EC" w14:textId="77777777" w:rsidR="00634235" w:rsidRDefault="00000000">
            <w:pPr>
              <w:spacing w:after="0"/>
            </w:pPr>
            <w:r>
              <w:rPr>
                <w:color w:val="141414"/>
                <w:sz w:val="18"/>
              </w:rPr>
              <w:t>Missing any individual observation is unacceptable and cannot be abstracted</w:t>
            </w:r>
          </w:p>
        </w:tc>
      </w:tr>
    </w:tbl>
    <w:p w14:paraId="62766C9E" w14:textId="77777777" w:rsidR="00634235" w:rsidRDefault="00000000">
      <w:pPr>
        <w:pStyle w:val="21"/>
      </w:pPr>
      <w:r>
        <w:t>1.4 Internal reported evidence</w:t>
      </w:r>
    </w:p>
    <w:p w14:paraId="7431E494" w14:textId="77777777" w:rsidR="00634235" w:rsidRDefault="00000000">
      <w:r>
        <w:t>The itriX briefing reports the following PRISM results: 51.9–84.5% token reduction versus polling in supervision tasks, and judgment-fidelity results of PRISM 360/360 versus polling 350/360. The briefing also references testing across 9 controller types and 8 tasks. [I1]</w:t>
      </w:r>
    </w:p>
    <w:p w14:paraId="391AF348" w14:textId="77777777" w:rsidR="00634235" w:rsidRDefault="00000000">
      <w:pPr>
        <w:spacing w:after="100"/>
      </w:pPr>
      <w:r>
        <w:rPr>
          <w:color w:val="5B6168"/>
          <w:sz w:val="19"/>
        </w:rPr>
        <w:t xml:space="preserve">Sales interpretation: these results support the hypothesis that event-/meaning-selective supervision can materially reduce token use in suitable monitoring tasks. They do not establish that ASTOP will save 51.9–84.5% in a customer </w:t>
      </w:r>
      <w:r>
        <w:rPr>
          <w:color w:val="5B6168"/>
          <w:sz w:val="19"/>
        </w:rPr>
        <w:lastRenderedPageBreak/>
        <w:t>deployment, and they must not be compared numerically with SoL-Pi’s EdgeBench results as if they were the same benchmark.</w:t>
      </w:r>
    </w:p>
    <w:p w14:paraId="59F3F230" w14:textId="77777777" w:rsidR="00634235" w:rsidRDefault="00000000">
      <w:pPr>
        <w:pStyle w:val="1"/>
      </w:pPr>
      <w:r>
        <w:t>2. Anthropic: Request and Model-Use Efficiency</w:t>
      </w:r>
    </w:p>
    <w:p w14:paraId="7E9EFDE4" w14:textId="77777777" w:rsidR="00634235" w:rsidRDefault="00000000">
      <w:r>
        <w:rPr>
          <w:b/>
          <w:color w:val="77B900"/>
          <w:sz w:val="18"/>
        </w:rPr>
        <w:t xml:space="preserve">EXTERNAL OFFICIAL SOURCE  </w:t>
      </w:r>
      <w:r>
        <w:rPr>
          <w:sz w:val="20"/>
        </w:rPr>
        <w:t>Anthropic’s September 8, 2026 article, “Reducing cost and improving performance with Claude Platform,” together with current Claude Platform documentation on prompt caching and effort. [A1][A2][A3]</w:t>
      </w:r>
    </w:p>
    <w:p w14:paraId="347F0798" w14:textId="77777777" w:rsidR="00634235" w:rsidRDefault="00000000">
      <w:pPr>
        <w:pStyle w:val="21"/>
      </w:pPr>
      <w:r>
        <w:t>2.1 Core levers in Anthropic’s guidance</w:t>
      </w:r>
    </w:p>
    <w:p w14:paraId="08531E20" w14:textId="77777777" w:rsidR="00634235" w:rsidRDefault="00000000">
      <w:pPr>
        <w:pStyle w:val="a0"/>
        <w:spacing w:after="40"/>
      </w:pPr>
      <w:r>
        <w:rPr>
          <w:b/>
        </w:rPr>
        <w:t>Prompt caching</w:t>
      </w:r>
      <w:r>
        <w:t xml:space="preserve"> — reuse a stable prompt prefix so repeated system instructions, tools, examples, documents, or conversation history do not need to be processed at full input cost every time. Claude Platform supports automatic caching and explicit cache breakpoints. [A2]</w:t>
      </w:r>
    </w:p>
    <w:p w14:paraId="77B7652C" w14:textId="77777777" w:rsidR="00634235" w:rsidRDefault="00000000">
      <w:pPr>
        <w:pStyle w:val="a0"/>
        <w:spacing w:after="40"/>
      </w:pPr>
      <w:r>
        <w:rPr>
          <w:b/>
        </w:rPr>
        <w:t>Prompt/instruction audit</w:t>
      </w:r>
      <w:r>
        <w:t xml:space="preserve"> — remove legacy or contradictory instructions, duplicated verification rituals, manual scratchpads, and other patterns that cause unnecessary reasoning or tool calls on newer models. [A1]</w:t>
      </w:r>
    </w:p>
    <w:p w14:paraId="51B147FD" w14:textId="77777777" w:rsidR="00634235" w:rsidRDefault="00000000">
      <w:pPr>
        <w:pStyle w:val="a0"/>
        <w:spacing w:after="40"/>
      </w:pPr>
      <w:r>
        <w:rPr>
          <w:b/>
        </w:rPr>
        <w:t>Effort calibration</w:t>
      </w:r>
      <w:r>
        <w:t xml:space="preserve"> — set effort to match task difficulty. Anthropic notes that too much effort can increase cost/latency and sometimes hurt quality through over-thinking, while too little effort can stop before enough evidence is gathered. [A1][A3]</w:t>
      </w:r>
    </w:p>
    <w:p w14:paraId="19238A42" w14:textId="77777777" w:rsidR="00634235" w:rsidRDefault="00000000">
      <w:pPr>
        <w:pStyle w:val="a0"/>
        <w:spacing w:after="40"/>
      </w:pPr>
      <w:r>
        <w:rPr>
          <w:b/>
        </w:rPr>
        <w:t>Broader cost optimization</w:t>
      </w:r>
      <w:r>
        <w:t xml:space="preserve"> — Anthropic’s cost-optimize workflow can also trim request payloads, bound output, batch unattended work, and test model/effort choices when an evaluation is available. [A1]</w:t>
      </w:r>
    </w:p>
    <w:p w14:paraId="037BB52F" w14:textId="77777777" w:rsidR="00634235" w:rsidRDefault="00000000">
      <w:pPr>
        <w:pStyle w:val="21"/>
      </w:pPr>
      <w:r>
        <w:t>2.2 What prompt caching does — and does not do</w:t>
      </w:r>
    </w:p>
    <w:p w14:paraId="3BE2902F" w14:textId="77777777" w:rsidR="00634235" w:rsidRDefault="00000000">
      <w:r>
        <w:t>Prompt caching reduces the cost and latency of processing repeated prompt prefixes. The default cache lifetime is 5 minutes; a 1-hour cache is available at additional cache-write cost. Reuse depends on stable prefixes and correctly placed cache points. [A2]</w:t>
      </w:r>
    </w:p>
    <w:tbl>
      <w:tblPr>
        <w:tblW w:w="0" w:type="auto"/>
        <w:jc w:val="center"/>
        <w:tblLayout w:type="fixed"/>
        <w:tblLook w:val="04A0" w:firstRow="1" w:lastRow="0" w:firstColumn="1" w:lastColumn="0" w:noHBand="0" w:noVBand="1"/>
      </w:tblPr>
      <w:tblGrid>
        <w:gridCol w:w="9994"/>
      </w:tblGrid>
      <w:tr w:rsidR="00634235" w14:paraId="0EA46E72" w14:textId="77777777">
        <w:trPr>
          <w:tblHeader/>
          <w:jc w:val="center"/>
        </w:trPr>
        <w:tc>
          <w:tcPr>
            <w:tcW w:w="9994" w:type="dxa"/>
            <w:tcBorders>
              <w:left w:val="single" w:sz="16" w:space="0" w:color="77B900"/>
            </w:tcBorders>
            <w:shd w:val="clear" w:color="auto" w:fill="EEF5E8"/>
            <w:tcMar>
              <w:top w:w="140" w:type="dxa"/>
              <w:left w:w="150" w:type="dxa"/>
              <w:bottom w:w="140" w:type="dxa"/>
              <w:right w:w="150" w:type="dxa"/>
            </w:tcMar>
          </w:tcPr>
          <w:p w14:paraId="7DC2392E" w14:textId="77777777" w:rsidR="00634235" w:rsidRDefault="00000000">
            <w:pPr>
              <w:spacing w:after="60"/>
            </w:pPr>
            <w:r>
              <w:rPr>
                <w:b/>
                <w:color w:val="141414"/>
                <w:sz w:val="20"/>
              </w:rPr>
              <w:t>KEY DISTINCTION</w:t>
            </w:r>
          </w:p>
          <w:p w14:paraId="1F189F4F" w14:textId="77777777" w:rsidR="00634235" w:rsidRDefault="00000000">
            <w:pPr>
              <w:spacing w:after="0"/>
            </w:pPr>
            <w:r>
              <w:rPr>
                <w:color w:val="141414"/>
                <w:sz w:val="20"/>
              </w:rPr>
              <w:t>Caching can make repeated requests cheaper, but caching alone does not decide whether a supervision request should exist. If an application polls the same state 100 times, efficient caching may reduce the cost of those 100 requests; ASTOP targets whether some of those decision requests can be avoided because no meaningful change occurred.</w:t>
            </w:r>
          </w:p>
        </w:tc>
      </w:tr>
    </w:tbl>
    <w:p w14:paraId="552DCF99" w14:textId="77777777" w:rsidR="00634235" w:rsidRDefault="00634235">
      <w:pPr>
        <w:spacing w:after="20"/>
      </w:pPr>
    </w:p>
    <w:p w14:paraId="598205A9" w14:textId="77777777" w:rsidR="00634235" w:rsidRDefault="00000000">
      <w:r>
        <w:rPr>
          <w:color w:val="5B6168"/>
          <w:sz w:val="19"/>
        </w:rPr>
        <w:t>Boundary caveat: Anthropic’s effort control can also change agent behavior, including the number and terseness of tool calls. Therefore, the difference is not “Anthropic only touches price while ASTOP touches behavior.” The stronger distinction is the primary decision boundary being optimized. [A3]</w:t>
      </w:r>
    </w:p>
    <w:p w14:paraId="6C1FFF81" w14:textId="77777777" w:rsidR="00634235" w:rsidRDefault="00000000">
      <w:pPr>
        <w:pStyle w:val="21"/>
      </w:pPr>
      <w:r>
        <w:t>2.3 Reported Anthropic examples</w:t>
      </w:r>
    </w:p>
    <w:tbl>
      <w:tblPr>
        <w:tblW w:w="0" w:type="auto"/>
        <w:jc w:val="center"/>
        <w:tblLayout w:type="fixed"/>
        <w:tblLook w:val="04A0" w:firstRow="1" w:lastRow="0" w:firstColumn="1" w:lastColumn="0" w:noHBand="0" w:noVBand="1"/>
      </w:tblPr>
      <w:tblGrid>
        <w:gridCol w:w="2520"/>
        <w:gridCol w:w="3024"/>
        <w:gridCol w:w="4032"/>
      </w:tblGrid>
      <w:tr w:rsidR="00634235" w14:paraId="2A31B8D9" w14:textId="77777777">
        <w:trPr>
          <w:tblHeader/>
          <w:jc w:val="center"/>
        </w:trPr>
        <w:tc>
          <w:tcPr>
            <w:tcW w:w="2520" w:type="dxa"/>
            <w:shd w:val="clear" w:color="auto" w:fill="141414"/>
            <w:tcMar>
              <w:top w:w="95" w:type="dxa"/>
              <w:left w:w="105" w:type="dxa"/>
              <w:bottom w:w="95" w:type="dxa"/>
              <w:right w:w="105" w:type="dxa"/>
            </w:tcMar>
            <w:vAlign w:val="center"/>
          </w:tcPr>
          <w:p w14:paraId="2299F346" w14:textId="77777777" w:rsidR="00634235" w:rsidRDefault="00000000">
            <w:pPr>
              <w:spacing w:after="0"/>
            </w:pPr>
            <w:r>
              <w:rPr>
                <w:b/>
                <w:color w:val="FFFFFF"/>
                <w:sz w:val="18"/>
              </w:rPr>
              <w:t>Anthropic example</w:t>
            </w:r>
          </w:p>
        </w:tc>
        <w:tc>
          <w:tcPr>
            <w:tcW w:w="3024" w:type="dxa"/>
            <w:shd w:val="clear" w:color="auto" w:fill="141414"/>
            <w:tcMar>
              <w:top w:w="95" w:type="dxa"/>
              <w:left w:w="105" w:type="dxa"/>
              <w:bottom w:w="95" w:type="dxa"/>
              <w:right w:w="105" w:type="dxa"/>
            </w:tcMar>
            <w:vAlign w:val="center"/>
          </w:tcPr>
          <w:p w14:paraId="07167E34" w14:textId="77777777" w:rsidR="00634235" w:rsidRDefault="00000000">
            <w:pPr>
              <w:spacing w:after="0"/>
            </w:pPr>
            <w:r>
              <w:rPr>
                <w:b/>
                <w:color w:val="FFFFFF"/>
                <w:sz w:val="18"/>
              </w:rPr>
              <w:t>Reported result</w:t>
            </w:r>
          </w:p>
        </w:tc>
        <w:tc>
          <w:tcPr>
            <w:tcW w:w="4032" w:type="dxa"/>
            <w:shd w:val="clear" w:color="auto" w:fill="141414"/>
            <w:tcMar>
              <w:top w:w="95" w:type="dxa"/>
              <w:left w:w="105" w:type="dxa"/>
              <w:bottom w:w="95" w:type="dxa"/>
              <w:right w:w="105" w:type="dxa"/>
            </w:tcMar>
            <w:vAlign w:val="center"/>
          </w:tcPr>
          <w:p w14:paraId="04F44618" w14:textId="77777777" w:rsidR="00634235" w:rsidRDefault="00000000">
            <w:pPr>
              <w:spacing w:after="0"/>
            </w:pPr>
            <w:r>
              <w:rPr>
                <w:b/>
                <w:color w:val="FFFFFF"/>
                <w:sz w:val="18"/>
              </w:rPr>
              <w:t>What it proves / does not prove</w:t>
            </w:r>
          </w:p>
        </w:tc>
      </w:tr>
      <w:tr w:rsidR="00634235" w14:paraId="2CC84AE1" w14:textId="77777777">
        <w:trPr>
          <w:jc w:val="center"/>
        </w:trPr>
        <w:tc>
          <w:tcPr>
            <w:tcW w:w="2520" w:type="dxa"/>
            <w:shd w:val="clear" w:color="auto" w:fill="FFFFFF"/>
            <w:tcMar>
              <w:top w:w="95" w:type="dxa"/>
              <w:left w:w="105" w:type="dxa"/>
              <w:bottom w:w="95" w:type="dxa"/>
              <w:right w:w="105" w:type="dxa"/>
            </w:tcMar>
            <w:vAlign w:val="center"/>
          </w:tcPr>
          <w:p w14:paraId="508D242A" w14:textId="77777777" w:rsidR="00634235" w:rsidRDefault="00000000">
            <w:pPr>
              <w:spacing w:after="0"/>
            </w:pPr>
            <w:r>
              <w:rPr>
                <w:color w:val="141414"/>
                <w:sz w:val="18"/>
              </w:rPr>
              <w:t>Prompt-audit during Opus 4.8 → Opus 5 migration</w:t>
            </w:r>
          </w:p>
        </w:tc>
        <w:tc>
          <w:tcPr>
            <w:tcW w:w="3024" w:type="dxa"/>
            <w:shd w:val="clear" w:color="auto" w:fill="FFFFFF"/>
            <w:tcMar>
              <w:top w:w="95" w:type="dxa"/>
              <w:left w:w="105" w:type="dxa"/>
              <w:bottom w:w="95" w:type="dxa"/>
              <w:right w:w="105" w:type="dxa"/>
            </w:tcMar>
            <w:vAlign w:val="center"/>
          </w:tcPr>
          <w:p w14:paraId="51B13619" w14:textId="77777777" w:rsidR="00634235" w:rsidRDefault="00000000">
            <w:pPr>
              <w:spacing w:after="0"/>
            </w:pPr>
            <w:r>
              <w:rPr>
                <w:color w:val="141414"/>
                <w:sz w:val="18"/>
              </w:rPr>
              <w:t>14.6% lower cost and 5.3% higher accuracy on average across six planted prompt anti-patterns. [A1]</w:t>
            </w:r>
          </w:p>
        </w:tc>
        <w:tc>
          <w:tcPr>
            <w:tcW w:w="4032" w:type="dxa"/>
            <w:shd w:val="clear" w:color="auto" w:fill="FFFFFF"/>
            <w:tcMar>
              <w:top w:w="95" w:type="dxa"/>
              <w:left w:w="105" w:type="dxa"/>
              <w:bottom w:w="95" w:type="dxa"/>
              <w:right w:w="105" w:type="dxa"/>
            </w:tcMar>
            <w:vAlign w:val="center"/>
          </w:tcPr>
          <w:p w14:paraId="16754AEE" w14:textId="77777777" w:rsidR="00634235" w:rsidRDefault="00000000">
            <w:pPr>
              <w:spacing w:after="0"/>
            </w:pPr>
            <w:r>
              <w:rPr>
                <w:color w:val="141414"/>
                <w:sz w:val="18"/>
              </w:rPr>
              <w:t>Prompt cleanup can remove duplicated reasoning/tool calls. It is not an ASTOP benchmark.</w:t>
            </w:r>
          </w:p>
        </w:tc>
      </w:tr>
      <w:tr w:rsidR="00634235" w14:paraId="7F44E581" w14:textId="77777777">
        <w:trPr>
          <w:jc w:val="center"/>
        </w:trPr>
        <w:tc>
          <w:tcPr>
            <w:tcW w:w="2520" w:type="dxa"/>
            <w:shd w:val="clear" w:color="auto" w:fill="FFFFFF"/>
            <w:tcMar>
              <w:top w:w="95" w:type="dxa"/>
              <w:left w:w="105" w:type="dxa"/>
              <w:bottom w:w="95" w:type="dxa"/>
              <w:right w:w="105" w:type="dxa"/>
            </w:tcMar>
            <w:vAlign w:val="center"/>
          </w:tcPr>
          <w:p w14:paraId="1AED58FB" w14:textId="77777777" w:rsidR="00634235" w:rsidRDefault="00000000">
            <w:pPr>
              <w:spacing w:after="0"/>
            </w:pPr>
            <w:r>
              <w:rPr>
                <w:color w:val="141414"/>
                <w:sz w:val="18"/>
              </w:rPr>
              <w:t>cost-optimize on public benchmarks</w:t>
            </w:r>
          </w:p>
        </w:tc>
        <w:tc>
          <w:tcPr>
            <w:tcW w:w="3024" w:type="dxa"/>
            <w:shd w:val="clear" w:color="auto" w:fill="FFFFFF"/>
            <w:tcMar>
              <w:top w:w="95" w:type="dxa"/>
              <w:left w:w="105" w:type="dxa"/>
              <w:bottom w:w="95" w:type="dxa"/>
              <w:right w:w="105" w:type="dxa"/>
            </w:tcMar>
            <w:vAlign w:val="center"/>
          </w:tcPr>
          <w:p w14:paraId="1E7B545A" w14:textId="77777777" w:rsidR="00634235" w:rsidRDefault="00000000">
            <w:pPr>
              <w:spacing w:after="0"/>
            </w:pPr>
            <w:r>
              <w:rPr>
                <w:color w:val="141414"/>
                <w:sz w:val="18"/>
              </w:rPr>
              <w:t>Examples reported approximately 52–73% lower cost depending on benchmark and selected levers. [A1]</w:t>
            </w:r>
          </w:p>
        </w:tc>
        <w:tc>
          <w:tcPr>
            <w:tcW w:w="4032" w:type="dxa"/>
            <w:shd w:val="clear" w:color="auto" w:fill="FFFFFF"/>
            <w:tcMar>
              <w:top w:w="95" w:type="dxa"/>
              <w:left w:w="105" w:type="dxa"/>
              <w:bottom w:w="95" w:type="dxa"/>
              <w:right w:w="105" w:type="dxa"/>
            </w:tcMar>
            <w:vAlign w:val="center"/>
          </w:tcPr>
          <w:p w14:paraId="7C5FB8E3" w14:textId="77777777" w:rsidR="00634235" w:rsidRDefault="00000000">
            <w:pPr>
              <w:spacing w:after="0"/>
            </w:pPr>
            <w:r>
              <w:rPr>
                <w:color w:val="141414"/>
                <w:sz w:val="18"/>
              </w:rPr>
              <w:t>Large request-level savings are possible in specific workloads; the mechanism mix differs by benchmark.</w:t>
            </w:r>
          </w:p>
        </w:tc>
      </w:tr>
      <w:tr w:rsidR="00634235" w14:paraId="2EEB42F1" w14:textId="77777777">
        <w:trPr>
          <w:jc w:val="center"/>
        </w:trPr>
        <w:tc>
          <w:tcPr>
            <w:tcW w:w="2520" w:type="dxa"/>
            <w:shd w:val="clear" w:color="auto" w:fill="FFFFFF"/>
            <w:tcMar>
              <w:top w:w="95" w:type="dxa"/>
              <w:left w:w="105" w:type="dxa"/>
              <w:bottom w:w="95" w:type="dxa"/>
              <w:right w:w="105" w:type="dxa"/>
            </w:tcMar>
            <w:vAlign w:val="center"/>
          </w:tcPr>
          <w:p w14:paraId="11258E9C" w14:textId="77777777" w:rsidR="00634235" w:rsidRDefault="00000000">
            <w:pPr>
              <w:spacing w:after="0"/>
            </w:pPr>
            <w:r>
              <w:rPr>
                <w:color w:val="141414"/>
                <w:sz w:val="18"/>
              </w:rPr>
              <w:t>Hillclimb customer-support example</w:t>
            </w:r>
          </w:p>
        </w:tc>
        <w:tc>
          <w:tcPr>
            <w:tcW w:w="3024" w:type="dxa"/>
            <w:shd w:val="clear" w:color="auto" w:fill="FFFFFF"/>
            <w:tcMar>
              <w:top w:w="95" w:type="dxa"/>
              <w:left w:w="105" w:type="dxa"/>
              <w:bottom w:w="95" w:type="dxa"/>
              <w:right w:w="105" w:type="dxa"/>
            </w:tcMar>
            <w:vAlign w:val="center"/>
          </w:tcPr>
          <w:p w14:paraId="68DCBD2D" w14:textId="77777777" w:rsidR="00634235" w:rsidRDefault="00000000">
            <w:pPr>
              <w:spacing w:after="0"/>
            </w:pPr>
            <w:r>
              <w:rPr>
                <w:color w:val="141414"/>
                <w:sz w:val="18"/>
              </w:rPr>
              <w:t>Held-out accuracy 90.5% vs. 78.6% baseline at about one-fifth the original cost. [A1]</w:t>
            </w:r>
          </w:p>
        </w:tc>
        <w:tc>
          <w:tcPr>
            <w:tcW w:w="4032" w:type="dxa"/>
            <w:shd w:val="clear" w:color="auto" w:fill="FFFFFF"/>
            <w:tcMar>
              <w:top w:w="95" w:type="dxa"/>
              <w:left w:w="105" w:type="dxa"/>
              <w:bottom w:w="95" w:type="dxa"/>
              <w:right w:w="105" w:type="dxa"/>
            </w:tcMar>
            <w:vAlign w:val="center"/>
          </w:tcPr>
          <w:p w14:paraId="775264A0" w14:textId="77777777" w:rsidR="00634235" w:rsidRDefault="00000000">
            <w:pPr>
              <w:spacing w:after="0"/>
            </w:pPr>
            <w:r>
              <w:rPr>
                <w:color w:val="141414"/>
                <w:sz w:val="18"/>
              </w:rPr>
              <w:t>Joint model, effort, and prompt optimization can improve both cost and quality in a specific evaluation.</w:t>
            </w:r>
          </w:p>
        </w:tc>
      </w:tr>
    </w:tbl>
    <w:p w14:paraId="1273D1EC" w14:textId="77777777" w:rsidR="00634235" w:rsidRDefault="00000000">
      <w:pPr>
        <w:pStyle w:val="1"/>
      </w:pPr>
      <w:r>
        <w:lastRenderedPageBreak/>
        <w:t>3. NVIDIA SoL-Pi: Agent-Harness Efficiency</w:t>
      </w:r>
    </w:p>
    <w:p w14:paraId="00491152" w14:textId="77777777" w:rsidR="00634235" w:rsidRDefault="00000000">
      <w:r>
        <w:rPr>
          <w:b/>
          <w:color w:val="77B900"/>
          <w:sz w:val="18"/>
        </w:rPr>
        <w:t xml:space="preserve">EXTERNAL OFFICIAL SOURCE  </w:t>
      </w:r>
      <w:r>
        <w:rPr>
          <w:sz w:val="20"/>
        </w:rPr>
        <w:t>NVIDIA Research project page and the NVlabs/SoL-Pi GitHub repository. As of 16 September 2026, the project page labels the formal paper “Coming soon,” so the public project page and repository are the principal current sources. [N1][N2]</w:t>
      </w:r>
    </w:p>
    <w:p w14:paraId="0E2A2E50" w14:textId="77777777" w:rsidR="00634235" w:rsidRDefault="00000000">
      <w:pPr>
        <w:pStyle w:val="21"/>
      </w:pPr>
      <w:r>
        <w:t>3.1 What SoL-Pi is</w:t>
      </w:r>
    </w:p>
    <w:p w14:paraId="033F7D66" w14:textId="77777777" w:rsidR="00634235" w:rsidRDefault="00000000">
      <w:r>
        <w:t>SoL-Pi is an NVIDIA-developed standalone extension for the Pi coding-agent harness. It packages four reusable mechanisms discovered through scaled auto-research loops. NVIDIA describes the objective as constrained efficiency: reduce tokens, cost, or agent work while retaining a predeclared capability floor. [N1][N2]</w:t>
      </w:r>
    </w:p>
    <w:p w14:paraId="35BA54BB" w14:textId="77777777" w:rsidR="00634235" w:rsidRDefault="00000000">
      <w:pPr>
        <w:pStyle w:val="21"/>
      </w:pPr>
      <w:r>
        <w:t>3.2 The four mechanisms</w:t>
      </w:r>
    </w:p>
    <w:tbl>
      <w:tblPr>
        <w:tblW w:w="0" w:type="auto"/>
        <w:jc w:val="center"/>
        <w:tblLayout w:type="fixed"/>
        <w:tblLook w:val="04A0" w:firstRow="1" w:lastRow="0" w:firstColumn="1" w:lastColumn="0" w:noHBand="0" w:noVBand="1"/>
      </w:tblPr>
      <w:tblGrid>
        <w:gridCol w:w="2088"/>
        <w:gridCol w:w="2664"/>
        <w:gridCol w:w="4824"/>
      </w:tblGrid>
      <w:tr w:rsidR="00634235" w14:paraId="7CF8D936" w14:textId="77777777">
        <w:trPr>
          <w:tblHeader/>
          <w:jc w:val="center"/>
        </w:trPr>
        <w:tc>
          <w:tcPr>
            <w:tcW w:w="2088" w:type="dxa"/>
            <w:shd w:val="clear" w:color="auto" w:fill="141414"/>
            <w:tcMar>
              <w:top w:w="95" w:type="dxa"/>
              <w:left w:w="105" w:type="dxa"/>
              <w:bottom w:w="95" w:type="dxa"/>
              <w:right w:w="105" w:type="dxa"/>
            </w:tcMar>
            <w:vAlign w:val="center"/>
          </w:tcPr>
          <w:p w14:paraId="48514915" w14:textId="77777777" w:rsidR="00634235" w:rsidRDefault="00000000">
            <w:pPr>
              <w:spacing w:after="0"/>
            </w:pPr>
            <w:r>
              <w:rPr>
                <w:b/>
                <w:color w:val="FFFFFF"/>
                <w:sz w:val="18"/>
              </w:rPr>
              <w:t>Mechanism</w:t>
            </w:r>
          </w:p>
        </w:tc>
        <w:tc>
          <w:tcPr>
            <w:tcW w:w="2664" w:type="dxa"/>
            <w:shd w:val="clear" w:color="auto" w:fill="141414"/>
            <w:tcMar>
              <w:top w:w="95" w:type="dxa"/>
              <w:left w:w="105" w:type="dxa"/>
              <w:bottom w:w="95" w:type="dxa"/>
              <w:right w:w="105" w:type="dxa"/>
            </w:tcMar>
            <w:vAlign w:val="center"/>
          </w:tcPr>
          <w:p w14:paraId="716D81B1" w14:textId="77777777" w:rsidR="00634235" w:rsidRDefault="00000000">
            <w:pPr>
              <w:spacing w:after="0"/>
            </w:pPr>
            <w:r>
              <w:rPr>
                <w:b/>
                <w:color w:val="FFFFFF"/>
                <w:sz w:val="18"/>
              </w:rPr>
              <w:t>Waste targeted</w:t>
            </w:r>
          </w:p>
        </w:tc>
        <w:tc>
          <w:tcPr>
            <w:tcW w:w="4824" w:type="dxa"/>
            <w:shd w:val="clear" w:color="auto" w:fill="141414"/>
            <w:tcMar>
              <w:top w:w="95" w:type="dxa"/>
              <w:left w:w="105" w:type="dxa"/>
              <w:bottom w:w="95" w:type="dxa"/>
              <w:right w:w="105" w:type="dxa"/>
            </w:tcMar>
            <w:vAlign w:val="center"/>
          </w:tcPr>
          <w:p w14:paraId="1115660E" w14:textId="77777777" w:rsidR="00634235" w:rsidRDefault="00000000">
            <w:pPr>
              <w:spacing w:after="0"/>
            </w:pPr>
            <w:r>
              <w:rPr>
                <w:b/>
                <w:color w:val="FFFFFF"/>
                <w:sz w:val="18"/>
              </w:rPr>
              <w:t>How it works</w:t>
            </w:r>
          </w:p>
        </w:tc>
      </w:tr>
      <w:tr w:rsidR="00634235" w14:paraId="6A22697D" w14:textId="77777777">
        <w:trPr>
          <w:jc w:val="center"/>
        </w:trPr>
        <w:tc>
          <w:tcPr>
            <w:tcW w:w="2088" w:type="dxa"/>
            <w:shd w:val="clear" w:color="auto" w:fill="FFFFFF"/>
            <w:tcMar>
              <w:top w:w="95" w:type="dxa"/>
              <w:left w:w="105" w:type="dxa"/>
              <w:bottom w:w="95" w:type="dxa"/>
              <w:right w:w="105" w:type="dxa"/>
            </w:tcMar>
            <w:vAlign w:val="center"/>
          </w:tcPr>
          <w:p w14:paraId="71B1DA4F" w14:textId="77777777" w:rsidR="00634235" w:rsidRDefault="00000000">
            <w:pPr>
              <w:spacing w:after="0"/>
            </w:pPr>
            <w:r>
              <w:rPr>
                <w:color w:val="141414"/>
                <w:sz w:val="18"/>
              </w:rPr>
              <w:t>Action Fusion</w:t>
            </w:r>
          </w:p>
        </w:tc>
        <w:tc>
          <w:tcPr>
            <w:tcW w:w="2664" w:type="dxa"/>
            <w:shd w:val="clear" w:color="auto" w:fill="FFFFFF"/>
            <w:tcMar>
              <w:top w:w="95" w:type="dxa"/>
              <w:left w:w="105" w:type="dxa"/>
              <w:bottom w:w="95" w:type="dxa"/>
              <w:right w:w="105" w:type="dxa"/>
            </w:tcMar>
            <w:vAlign w:val="center"/>
          </w:tcPr>
          <w:p w14:paraId="4F1105E7" w14:textId="77777777" w:rsidR="00634235" w:rsidRDefault="00000000">
            <w:pPr>
              <w:spacing w:after="0"/>
            </w:pPr>
            <w:r>
              <w:rPr>
                <w:color w:val="141414"/>
                <w:sz w:val="18"/>
              </w:rPr>
              <w:t>Predictable model round trips</w:t>
            </w:r>
          </w:p>
        </w:tc>
        <w:tc>
          <w:tcPr>
            <w:tcW w:w="4824" w:type="dxa"/>
            <w:shd w:val="clear" w:color="auto" w:fill="FFFFFF"/>
            <w:tcMar>
              <w:top w:w="95" w:type="dxa"/>
              <w:left w:w="105" w:type="dxa"/>
              <w:bottom w:w="95" w:type="dxa"/>
              <w:right w:w="105" w:type="dxa"/>
            </w:tcMar>
            <w:vAlign w:val="center"/>
          </w:tcPr>
          <w:p w14:paraId="5B1C5CD6" w14:textId="77777777" w:rsidR="00634235" w:rsidRDefault="00000000">
            <w:pPr>
              <w:spacing w:after="0"/>
            </w:pPr>
            <w:r>
              <w:rPr>
                <w:color w:val="141414"/>
                <w:sz w:val="18"/>
              </w:rPr>
              <w:t>Combines an edit/write and its immediate validation command into one local sequence, removing an intermediate model decision when eligible. [N1]</w:t>
            </w:r>
          </w:p>
        </w:tc>
      </w:tr>
      <w:tr w:rsidR="00634235" w14:paraId="7CE3D387" w14:textId="77777777">
        <w:trPr>
          <w:jc w:val="center"/>
        </w:trPr>
        <w:tc>
          <w:tcPr>
            <w:tcW w:w="2088" w:type="dxa"/>
            <w:shd w:val="clear" w:color="auto" w:fill="FFFFFF"/>
            <w:tcMar>
              <w:top w:w="95" w:type="dxa"/>
              <w:left w:w="105" w:type="dxa"/>
              <w:bottom w:w="95" w:type="dxa"/>
              <w:right w:w="105" w:type="dxa"/>
            </w:tcMar>
            <w:vAlign w:val="center"/>
          </w:tcPr>
          <w:p w14:paraId="4535C1E4" w14:textId="77777777" w:rsidR="00634235" w:rsidRDefault="00000000">
            <w:pPr>
              <w:spacing w:after="0"/>
            </w:pPr>
            <w:r>
              <w:rPr>
                <w:color w:val="141414"/>
                <w:sz w:val="18"/>
              </w:rPr>
              <w:t>ObservationPack</w:t>
            </w:r>
          </w:p>
        </w:tc>
        <w:tc>
          <w:tcPr>
            <w:tcW w:w="2664" w:type="dxa"/>
            <w:shd w:val="clear" w:color="auto" w:fill="FFFFFF"/>
            <w:tcMar>
              <w:top w:w="95" w:type="dxa"/>
              <w:left w:w="105" w:type="dxa"/>
              <w:bottom w:w="95" w:type="dxa"/>
              <w:right w:w="105" w:type="dxa"/>
            </w:tcMar>
            <w:vAlign w:val="center"/>
          </w:tcPr>
          <w:p w14:paraId="3A5C2DBB" w14:textId="77777777" w:rsidR="00634235" w:rsidRDefault="00000000">
            <w:pPr>
              <w:spacing w:after="0"/>
            </w:pPr>
            <w:r>
              <w:rPr>
                <w:color w:val="141414"/>
                <w:sz w:val="18"/>
              </w:rPr>
              <w:t>Repeated large tool outputs</w:t>
            </w:r>
          </w:p>
        </w:tc>
        <w:tc>
          <w:tcPr>
            <w:tcW w:w="4824" w:type="dxa"/>
            <w:shd w:val="clear" w:color="auto" w:fill="FFFFFF"/>
            <w:tcMar>
              <w:top w:w="95" w:type="dxa"/>
              <w:left w:w="105" w:type="dxa"/>
              <w:bottom w:w="95" w:type="dxa"/>
              <w:right w:w="105" w:type="dxa"/>
            </w:tcMar>
            <w:vAlign w:val="center"/>
          </w:tcPr>
          <w:p w14:paraId="7D5339F8" w14:textId="77777777" w:rsidR="00634235" w:rsidRDefault="00000000">
            <w:pPr>
              <w:spacing w:after="0"/>
            </w:pPr>
            <w:r>
              <w:rPr>
                <w:color w:val="141414"/>
                <w:sz w:val="18"/>
              </w:rPr>
              <w:t>Archives a large payload locally, leaves a stable handle/excerpt in context, and recalls exact pages only when needed. [N1][N2]</w:t>
            </w:r>
          </w:p>
        </w:tc>
      </w:tr>
      <w:tr w:rsidR="00634235" w14:paraId="58F0251B" w14:textId="77777777">
        <w:trPr>
          <w:jc w:val="center"/>
        </w:trPr>
        <w:tc>
          <w:tcPr>
            <w:tcW w:w="2088" w:type="dxa"/>
            <w:shd w:val="clear" w:color="auto" w:fill="FFFFFF"/>
            <w:tcMar>
              <w:top w:w="95" w:type="dxa"/>
              <w:left w:w="105" w:type="dxa"/>
              <w:bottom w:w="95" w:type="dxa"/>
              <w:right w:w="105" w:type="dxa"/>
            </w:tcMar>
            <w:vAlign w:val="center"/>
          </w:tcPr>
          <w:p w14:paraId="4B36ECBC" w14:textId="77777777" w:rsidR="00634235" w:rsidRDefault="00000000">
            <w:pPr>
              <w:spacing w:after="0"/>
            </w:pPr>
            <w:r>
              <w:rPr>
                <w:color w:val="141414"/>
                <w:sz w:val="18"/>
              </w:rPr>
              <w:t>Evidence-Preserving Reducer</w:t>
            </w:r>
          </w:p>
        </w:tc>
        <w:tc>
          <w:tcPr>
            <w:tcW w:w="2664" w:type="dxa"/>
            <w:shd w:val="clear" w:color="auto" w:fill="FFFFFF"/>
            <w:tcMar>
              <w:top w:w="95" w:type="dxa"/>
              <w:left w:w="105" w:type="dxa"/>
              <w:bottom w:w="95" w:type="dxa"/>
              <w:right w:w="105" w:type="dxa"/>
            </w:tcMar>
            <w:vAlign w:val="center"/>
          </w:tcPr>
          <w:p w14:paraId="1524CA88" w14:textId="77777777" w:rsidR="00634235" w:rsidRDefault="00000000">
            <w:pPr>
              <w:spacing w:after="0"/>
            </w:pPr>
            <w:r>
              <w:rPr>
                <w:color w:val="141414"/>
                <w:sz w:val="18"/>
              </w:rPr>
              <w:t>Frontier-model reading of long diagnostic logs</w:t>
            </w:r>
          </w:p>
        </w:tc>
        <w:tc>
          <w:tcPr>
            <w:tcW w:w="4824" w:type="dxa"/>
            <w:shd w:val="clear" w:color="auto" w:fill="FFFFFF"/>
            <w:tcMar>
              <w:top w:w="95" w:type="dxa"/>
              <w:left w:w="105" w:type="dxa"/>
              <w:bottom w:w="95" w:type="dxa"/>
              <w:right w:w="105" w:type="dxa"/>
            </w:tcMar>
            <w:vAlign w:val="center"/>
          </w:tcPr>
          <w:p w14:paraId="3F7A7BE7" w14:textId="77777777" w:rsidR="00634235" w:rsidRDefault="00000000">
            <w:pPr>
              <w:spacing w:after="0"/>
            </w:pPr>
            <w:r>
              <w:rPr>
                <w:color w:val="141414"/>
                <w:sz w:val="18"/>
              </w:rPr>
              <w:t>Delegates first-pass reduction and only accepts compact receipts whose retained quoted evidence can be checked against the archived log. [N1]</w:t>
            </w:r>
          </w:p>
        </w:tc>
      </w:tr>
      <w:tr w:rsidR="00634235" w14:paraId="33697EF7" w14:textId="77777777">
        <w:trPr>
          <w:jc w:val="center"/>
        </w:trPr>
        <w:tc>
          <w:tcPr>
            <w:tcW w:w="2088" w:type="dxa"/>
            <w:shd w:val="clear" w:color="auto" w:fill="FFFFFF"/>
            <w:tcMar>
              <w:top w:w="95" w:type="dxa"/>
              <w:left w:w="105" w:type="dxa"/>
              <w:bottom w:w="95" w:type="dxa"/>
              <w:right w:w="105" w:type="dxa"/>
            </w:tcMar>
            <w:vAlign w:val="center"/>
          </w:tcPr>
          <w:p w14:paraId="0FCC74FF" w14:textId="77777777" w:rsidR="00634235" w:rsidRDefault="00000000">
            <w:pPr>
              <w:spacing w:after="0"/>
            </w:pPr>
            <w:r>
              <w:rPr>
                <w:color w:val="141414"/>
                <w:sz w:val="18"/>
              </w:rPr>
              <w:t>Online Context Compact</w:t>
            </w:r>
          </w:p>
        </w:tc>
        <w:tc>
          <w:tcPr>
            <w:tcW w:w="2664" w:type="dxa"/>
            <w:shd w:val="clear" w:color="auto" w:fill="FFFFFF"/>
            <w:tcMar>
              <w:top w:w="95" w:type="dxa"/>
              <w:left w:w="105" w:type="dxa"/>
              <w:bottom w:w="95" w:type="dxa"/>
              <w:right w:w="105" w:type="dxa"/>
            </w:tcMar>
            <w:vAlign w:val="center"/>
          </w:tcPr>
          <w:p w14:paraId="31B11B9A" w14:textId="77777777" w:rsidR="00634235" w:rsidRDefault="00000000">
            <w:pPr>
              <w:spacing w:after="0"/>
            </w:pPr>
            <w:r>
              <w:rPr>
                <w:color w:val="141414"/>
                <w:sz w:val="18"/>
              </w:rPr>
              <w:t>Completed subtasks replayed in later context</w:t>
            </w:r>
          </w:p>
        </w:tc>
        <w:tc>
          <w:tcPr>
            <w:tcW w:w="4824" w:type="dxa"/>
            <w:shd w:val="clear" w:color="auto" w:fill="FFFFFF"/>
            <w:tcMar>
              <w:top w:w="95" w:type="dxa"/>
              <w:left w:w="105" w:type="dxa"/>
              <w:bottom w:w="95" w:type="dxa"/>
              <w:right w:w="105" w:type="dxa"/>
            </w:tcMar>
            <w:vAlign w:val="center"/>
          </w:tcPr>
          <w:p w14:paraId="727CA8ED" w14:textId="77777777" w:rsidR="00634235" w:rsidRDefault="00000000">
            <w:pPr>
              <w:spacing w:after="0"/>
            </w:pPr>
            <w:r>
              <w:rPr>
                <w:color w:val="141414"/>
                <w:sz w:val="18"/>
              </w:rPr>
              <w:t>Treats subtask completion as a candidate compaction point and compacts when expected later savings can repay the rewrite. [N1]</w:t>
            </w:r>
          </w:p>
        </w:tc>
      </w:tr>
    </w:tbl>
    <w:p w14:paraId="71388EBD" w14:textId="77777777" w:rsidR="00634235" w:rsidRDefault="00000000">
      <w:pPr>
        <w:pStyle w:val="21"/>
      </w:pPr>
      <w:r>
        <w:t>3.3 Reported SoL-Pi evidence</w:t>
      </w:r>
    </w:p>
    <w:p w14:paraId="21C8CDAA" w14:textId="77777777" w:rsidR="00634235" w:rsidRDefault="00000000">
      <w:r>
        <w:t>On EdgeBench, NVIDIA reports that SoL-Pi retains roughly 94% of Pi’s average score on both tested model backends while using 45–49% fewer tokens and costing about one-third less than Pi. The same project page reports Terminal-Bench 4 results of 15/63 solved for SoL-Pi versus 18/63 for Pi and Codex, with lower total model cost for SoL-Pi. [N1]</w:t>
      </w:r>
    </w:p>
    <w:p w14:paraId="2F86C6E7" w14:textId="77777777" w:rsidR="00634235" w:rsidRDefault="00000000">
      <w:r>
        <w:rPr>
          <w:color w:val="5B6168"/>
          <w:sz w:val="19"/>
        </w:rPr>
        <w:t>This is a meaningful efficiency result, but the capability trade-off matters. SoL-Pi’s own methodology explicitly uses capability floors because an agent can appear efficient simply by doing less. The assembled harness still shows some score loss relative to Pi. [N1]</w:t>
      </w:r>
    </w:p>
    <w:p w14:paraId="60896515" w14:textId="77777777" w:rsidR="00634235" w:rsidRDefault="00000000">
      <w:pPr>
        <w:pStyle w:val="21"/>
      </w:pPr>
      <w:r>
        <w:t>3.4 Operational boundaries relevant to sales</w:t>
      </w:r>
    </w:p>
    <w:p w14:paraId="11F7B651" w14:textId="77777777" w:rsidR="00634235" w:rsidRDefault="00000000">
      <w:pPr>
        <w:pStyle w:val="a0"/>
        <w:spacing w:after="40"/>
      </w:pPr>
      <w:r>
        <w:t>The current open-source release is a standalone extension for Pi, not an official Pi distribution or a generic drop-in layer for every agent framework. Its four mechanisms are opt-in and disabled by default. [N2]</w:t>
      </w:r>
    </w:p>
    <w:p w14:paraId="6719F32D" w14:textId="77777777" w:rsidR="00634235" w:rsidRDefault="00000000">
      <w:pPr>
        <w:pStyle w:val="a0"/>
        <w:spacing w:after="40"/>
      </w:pPr>
      <w:r>
        <w:t>ObservationPack and Evidence-Preserving Reducer store session-specific archives locally. The project documentation notes that these archived copies are not automatically deleted when the Pi session ends. [N2]</w:t>
      </w:r>
    </w:p>
    <w:p w14:paraId="6992F690" w14:textId="77777777" w:rsidR="00634235" w:rsidRDefault="00000000">
      <w:pPr>
        <w:pStyle w:val="a0"/>
        <w:spacing w:after="40"/>
      </w:pPr>
      <w:r>
        <w:t>When Evidence-Preserving Reducer is enabled, eligible diagnostic logs may be sent through its reducer-model route using Pi-managed authentication. Workloads whose logs must remain local should not enable remote reduction. [N2]</w:t>
      </w:r>
    </w:p>
    <w:p w14:paraId="4609DDC2" w14:textId="77777777" w:rsidR="00634235" w:rsidRDefault="00000000">
      <w:pPr>
        <w:pStyle w:val="a0"/>
        <w:spacing w:after="40"/>
      </w:pPr>
      <w:r>
        <w:t>SoL-Pi is not a sandbox or permission boundary; it inherits the permissions of the Pi process. [N2]</w:t>
      </w:r>
    </w:p>
    <w:p w14:paraId="038D4774" w14:textId="77777777" w:rsidR="00634235" w:rsidRDefault="00000000">
      <w:pPr>
        <w:pStyle w:val="1"/>
      </w:pPr>
      <w:r>
        <w:t>4. Side-by-Side Comparison</w:t>
      </w:r>
    </w:p>
    <w:p w14:paraId="5DFAD6CD" w14:textId="77777777" w:rsidR="00634235" w:rsidRDefault="00000000">
      <w:r>
        <w:t>Use this table for internal reasoning. In customer conversations, lead with the three-layer explanation and only expand into mechanism detail when relevant.</w:t>
      </w:r>
    </w:p>
    <w:p w14:paraId="7B0F5002" w14:textId="77777777" w:rsidR="00634235" w:rsidRDefault="00000000">
      <w:pPr>
        <w:pStyle w:val="21"/>
      </w:pPr>
      <w:r>
        <w:lastRenderedPageBreak/>
        <w:t>4.1 Primary mechanism and economic target</w:t>
      </w:r>
    </w:p>
    <w:tbl>
      <w:tblPr>
        <w:tblW w:w="0" w:type="auto"/>
        <w:jc w:val="center"/>
        <w:tblLayout w:type="fixed"/>
        <w:tblLook w:val="04A0" w:firstRow="1" w:lastRow="0" w:firstColumn="1" w:lastColumn="0" w:noHBand="0" w:noVBand="1"/>
      </w:tblPr>
      <w:tblGrid>
        <w:gridCol w:w="1757"/>
        <w:gridCol w:w="2592"/>
        <w:gridCol w:w="2592"/>
        <w:gridCol w:w="2635"/>
      </w:tblGrid>
      <w:tr w:rsidR="00634235" w14:paraId="54E3A3D9" w14:textId="77777777">
        <w:trPr>
          <w:tblHeader/>
          <w:jc w:val="center"/>
        </w:trPr>
        <w:tc>
          <w:tcPr>
            <w:tcW w:w="1757" w:type="dxa"/>
            <w:shd w:val="clear" w:color="auto" w:fill="141414"/>
            <w:tcMar>
              <w:top w:w="95" w:type="dxa"/>
              <w:left w:w="105" w:type="dxa"/>
              <w:bottom w:w="95" w:type="dxa"/>
              <w:right w:w="105" w:type="dxa"/>
            </w:tcMar>
            <w:vAlign w:val="center"/>
          </w:tcPr>
          <w:p w14:paraId="157D5F41" w14:textId="77777777" w:rsidR="00634235" w:rsidRDefault="00000000">
            <w:pPr>
              <w:spacing w:after="0"/>
            </w:pPr>
            <w:r>
              <w:rPr>
                <w:b/>
                <w:color w:val="FFFFFF"/>
                <w:sz w:val="18"/>
              </w:rPr>
              <w:t>Dimension</w:t>
            </w:r>
          </w:p>
        </w:tc>
        <w:tc>
          <w:tcPr>
            <w:tcW w:w="2592" w:type="dxa"/>
            <w:shd w:val="clear" w:color="auto" w:fill="141414"/>
            <w:tcMar>
              <w:top w:w="95" w:type="dxa"/>
              <w:left w:w="105" w:type="dxa"/>
              <w:bottom w:w="95" w:type="dxa"/>
              <w:right w:w="105" w:type="dxa"/>
            </w:tcMar>
            <w:vAlign w:val="center"/>
          </w:tcPr>
          <w:p w14:paraId="05BC0447" w14:textId="77777777" w:rsidR="00634235" w:rsidRDefault="00000000">
            <w:pPr>
              <w:spacing w:after="0"/>
            </w:pPr>
            <w:r>
              <w:rPr>
                <w:b/>
                <w:color w:val="FFFFFF"/>
                <w:sz w:val="18"/>
              </w:rPr>
              <w:t>Anthropic method</w:t>
            </w:r>
          </w:p>
        </w:tc>
        <w:tc>
          <w:tcPr>
            <w:tcW w:w="2592" w:type="dxa"/>
            <w:shd w:val="clear" w:color="auto" w:fill="141414"/>
            <w:tcMar>
              <w:top w:w="95" w:type="dxa"/>
              <w:left w:w="105" w:type="dxa"/>
              <w:bottom w:w="95" w:type="dxa"/>
              <w:right w:w="105" w:type="dxa"/>
            </w:tcMar>
            <w:vAlign w:val="center"/>
          </w:tcPr>
          <w:p w14:paraId="18FCCC18" w14:textId="77777777" w:rsidR="00634235" w:rsidRDefault="00000000">
            <w:pPr>
              <w:spacing w:after="0"/>
            </w:pPr>
            <w:r>
              <w:rPr>
                <w:b/>
                <w:color w:val="FFFFFF"/>
                <w:sz w:val="18"/>
              </w:rPr>
              <w:t>NVIDIA SoL-Pi</w:t>
            </w:r>
          </w:p>
        </w:tc>
        <w:tc>
          <w:tcPr>
            <w:tcW w:w="2635" w:type="dxa"/>
            <w:shd w:val="clear" w:color="auto" w:fill="141414"/>
            <w:tcMar>
              <w:top w:w="95" w:type="dxa"/>
              <w:left w:w="105" w:type="dxa"/>
              <w:bottom w:w="95" w:type="dxa"/>
              <w:right w:w="105" w:type="dxa"/>
            </w:tcMar>
            <w:vAlign w:val="center"/>
          </w:tcPr>
          <w:p w14:paraId="352E8651" w14:textId="77777777" w:rsidR="00634235" w:rsidRDefault="00000000">
            <w:pPr>
              <w:spacing w:after="0"/>
            </w:pPr>
            <w:r>
              <w:rPr>
                <w:b/>
                <w:color w:val="FFFFFF"/>
                <w:sz w:val="18"/>
              </w:rPr>
              <w:t>ASTOP</w:t>
            </w:r>
          </w:p>
        </w:tc>
      </w:tr>
      <w:tr w:rsidR="00634235" w14:paraId="52939338" w14:textId="77777777">
        <w:trPr>
          <w:jc w:val="center"/>
        </w:trPr>
        <w:tc>
          <w:tcPr>
            <w:tcW w:w="1757" w:type="dxa"/>
            <w:shd w:val="clear" w:color="auto" w:fill="FFFFFF"/>
            <w:tcMar>
              <w:top w:w="95" w:type="dxa"/>
              <w:left w:w="105" w:type="dxa"/>
              <w:bottom w:w="95" w:type="dxa"/>
              <w:right w:w="105" w:type="dxa"/>
            </w:tcMar>
            <w:vAlign w:val="center"/>
          </w:tcPr>
          <w:p w14:paraId="3C118E2E" w14:textId="77777777" w:rsidR="00634235" w:rsidRDefault="00000000">
            <w:pPr>
              <w:spacing w:after="0"/>
            </w:pPr>
            <w:r>
              <w:rPr>
                <w:color w:val="141414"/>
                <w:sz w:val="18"/>
              </w:rPr>
              <w:t>Primary intervention point</w:t>
            </w:r>
          </w:p>
        </w:tc>
        <w:tc>
          <w:tcPr>
            <w:tcW w:w="2592" w:type="dxa"/>
            <w:shd w:val="clear" w:color="auto" w:fill="FFFFFF"/>
            <w:tcMar>
              <w:top w:w="95" w:type="dxa"/>
              <w:left w:w="105" w:type="dxa"/>
              <w:bottom w:w="95" w:type="dxa"/>
              <w:right w:w="105" w:type="dxa"/>
            </w:tcMar>
            <w:vAlign w:val="center"/>
          </w:tcPr>
          <w:p w14:paraId="08884618" w14:textId="77777777" w:rsidR="00634235" w:rsidRDefault="00000000">
            <w:pPr>
              <w:spacing w:after="0"/>
            </w:pPr>
            <w:r>
              <w:rPr>
                <w:color w:val="141414"/>
                <w:sz w:val="18"/>
              </w:rPr>
              <w:t>Model/API request configuration</w:t>
            </w:r>
          </w:p>
        </w:tc>
        <w:tc>
          <w:tcPr>
            <w:tcW w:w="2592" w:type="dxa"/>
            <w:shd w:val="clear" w:color="auto" w:fill="FFFFFF"/>
            <w:tcMar>
              <w:top w:w="95" w:type="dxa"/>
              <w:left w:w="105" w:type="dxa"/>
              <w:bottom w:w="95" w:type="dxa"/>
              <w:right w:w="105" w:type="dxa"/>
            </w:tcMar>
            <w:vAlign w:val="center"/>
          </w:tcPr>
          <w:p w14:paraId="6EF5AFDA" w14:textId="77777777" w:rsidR="00634235" w:rsidRDefault="00000000">
            <w:pPr>
              <w:spacing w:after="0"/>
            </w:pPr>
            <w:r>
              <w:rPr>
                <w:color w:val="141414"/>
                <w:sz w:val="18"/>
              </w:rPr>
              <w:t>Agent harness and trajectory</w:t>
            </w:r>
          </w:p>
        </w:tc>
        <w:tc>
          <w:tcPr>
            <w:tcW w:w="2635" w:type="dxa"/>
            <w:shd w:val="clear" w:color="auto" w:fill="FFFFFF"/>
            <w:tcMar>
              <w:top w:w="95" w:type="dxa"/>
              <w:left w:w="105" w:type="dxa"/>
              <w:bottom w:w="95" w:type="dxa"/>
              <w:right w:w="105" w:type="dxa"/>
            </w:tcMar>
            <w:vAlign w:val="center"/>
          </w:tcPr>
          <w:p w14:paraId="626833AE" w14:textId="77777777" w:rsidR="00634235" w:rsidRDefault="00000000">
            <w:pPr>
              <w:spacing w:after="0"/>
            </w:pPr>
            <w:r>
              <w:rPr>
                <w:color w:val="141414"/>
                <w:sz w:val="18"/>
              </w:rPr>
              <w:t>Supervision / observation boundary</w:t>
            </w:r>
          </w:p>
        </w:tc>
      </w:tr>
      <w:tr w:rsidR="00634235" w14:paraId="708D226A" w14:textId="77777777">
        <w:trPr>
          <w:jc w:val="center"/>
        </w:trPr>
        <w:tc>
          <w:tcPr>
            <w:tcW w:w="1757" w:type="dxa"/>
            <w:shd w:val="clear" w:color="auto" w:fill="FFFFFF"/>
            <w:tcMar>
              <w:top w:w="95" w:type="dxa"/>
              <w:left w:w="105" w:type="dxa"/>
              <w:bottom w:w="95" w:type="dxa"/>
              <w:right w:w="105" w:type="dxa"/>
            </w:tcMar>
            <w:vAlign w:val="center"/>
          </w:tcPr>
          <w:p w14:paraId="0283B299" w14:textId="77777777" w:rsidR="00634235" w:rsidRDefault="00000000">
            <w:pPr>
              <w:spacing w:after="0"/>
            </w:pPr>
            <w:r>
              <w:rPr>
                <w:color w:val="141414"/>
                <w:sz w:val="18"/>
              </w:rPr>
              <w:t>Primary question</w:t>
            </w:r>
          </w:p>
        </w:tc>
        <w:tc>
          <w:tcPr>
            <w:tcW w:w="2592" w:type="dxa"/>
            <w:shd w:val="clear" w:color="auto" w:fill="FFFFFF"/>
            <w:tcMar>
              <w:top w:w="95" w:type="dxa"/>
              <w:left w:w="105" w:type="dxa"/>
              <w:bottom w:w="95" w:type="dxa"/>
              <w:right w:w="105" w:type="dxa"/>
            </w:tcMar>
            <w:vAlign w:val="center"/>
          </w:tcPr>
          <w:p w14:paraId="1167569A" w14:textId="77777777" w:rsidR="00634235" w:rsidRDefault="00000000">
            <w:pPr>
              <w:spacing w:after="0"/>
            </w:pPr>
            <w:r>
              <w:rPr>
                <w:color w:val="141414"/>
                <w:sz w:val="18"/>
              </w:rPr>
              <w:t>How should this necessary request be run more economically?</w:t>
            </w:r>
          </w:p>
        </w:tc>
        <w:tc>
          <w:tcPr>
            <w:tcW w:w="2592" w:type="dxa"/>
            <w:shd w:val="clear" w:color="auto" w:fill="FFFFFF"/>
            <w:tcMar>
              <w:top w:w="95" w:type="dxa"/>
              <w:left w:w="105" w:type="dxa"/>
              <w:bottom w:w="95" w:type="dxa"/>
              <w:right w:w="105" w:type="dxa"/>
            </w:tcMar>
            <w:vAlign w:val="center"/>
          </w:tcPr>
          <w:p w14:paraId="4471FC35" w14:textId="77777777" w:rsidR="00634235" w:rsidRDefault="00000000">
            <w:pPr>
              <w:spacing w:after="0"/>
            </w:pPr>
            <w:r>
              <w:rPr>
                <w:color w:val="141414"/>
                <w:sz w:val="18"/>
              </w:rPr>
              <w:t>How can this agent complete work with less repeated overhead?</w:t>
            </w:r>
          </w:p>
        </w:tc>
        <w:tc>
          <w:tcPr>
            <w:tcW w:w="2635" w:type="dxa"/>
            <w:shd w:val="clear" w:color="auto" w:fill="FFFFFF"/>
            <w:tcMar>
              <w:top w:w="95" w:type="dxa"/>
              <w:left w:w="105" w:type="dxa"/>
              <w:bottom w:w="95" w:type="dxa"/>
              <w:right w:w="105" w:type="dxa"/>
            </w:tcMar>
            <w:vAlign w:val="center"/>
          </w:tcPr>
          <w:p w14:paraId="63E558D0" w14:textId="77777777" w:rsidR="00634235" w:rsidRDefault="00000000">
            <w:pPr>
              <w:spacing w:after="0"/>
            </w:pPr>
            <w:r>
              <w:rPr>
                <w:color w:val="141414"/>
                <w:sz w:val="18"/>
              </w:rPr>
              <w:t>Does the decision model need a new report now, and what should it contain?</w:t>
            </w:r>
          </w:p>
        </w:tc>
      </w:tr>
      <w:tr w:rsidR="00634235" w14:paraId="2097B709" w14:textId="77777777">
        <w:trPr>
          <w:jc w:val="center"/>
        </w:trPr>
        <w:tc>
          <w:tcPr>
            <w:tcW w:w="1757" w:type="dxa"/>
            <w:shd w:val="clear" w:color="auto" w:fill="FFFFFF"/>
            <w:tcMar>
              <w:top w:w="95" w:type="dxa"/>
              <w:left w:w="105" w:type="dxa"/>
              <w:bottom w:w="95" w:type="dxa"/>
              <w:right w:w="105" w:type="dxa"/>
            </w:tcMar>
            <w:vAlign w:val="center"/>
          </w:tcPr>
          <w:p w14:paraId="716E2A33" w14:textId="77777777" w:rsidR="00634235" w:rsidRDefault="00000000">
            <w:pPr>
              <w:spacing w:after="0"/>
            </w:pPr>
            <w:r>
              <w:rPr>
                <w:color w:val="141414"/>
                <w:sz w:val="18"/>
              </w:rPr>
              <w:t>Optimization unit</w:t>
            </w:r>
          </w:p>
        </w:tc>
        <w:tc>
          <w:tcPr>
            <w:tcW w:w="2592" w:type="dxa"/>
            <w:shd w:val="clear" w:color="auto" w:fill="FFFFFF"/>
            <w:tcMar>
              <w:top w:w="95" w:type="dxa"/>
              <w:left w:w="105" w:type="dxa"/>
              <w:bottom w:w="95" w:type="dxa"/>
              <w:right w:w="105" w:type="dxa"/>
            </w:tcMar>
            <w:vAlign w:val="center"/>
          </w:tcPr>
          <w:p w14:paraId="2A55E3BC" w14:textId="77777777" w:rsidR="00634235" w:rsidRDefault="00000000">
            <w:pPr>
              <w:spacing w:after="0"/>
            </w:pPr>
            <w:r>
              <w:rPr>
                <w:color w:val="141414"/>
                <w:sz w:val="18"/>
              </w:rPr>
              <w:t>Prompt prefix, instructions, effort, output/model choice</w:t>
            </w:r>
          </w:p>
        </w:tc>
        <w:tc>
          <w:tcPr>
            <w:tcW w:w="2592" w:type="dxa"/>
            <w:shd w:val="clear" w:color="auto" w:fill="FFFFFF"/>
            <w:tcMar>
              <w:top w:w="95" w:type="dxa"/>
              <w:left w:w="105" w:type="dxa"/>
              <w:bottom w:w="95" w:type="dxa"/>
              <w:right w:w="105" w:type="dxa"/>
            </w:tcMar>
            <w:vAlign w:val="center"/>
          </w:tcPr>
          <w:p w14:paraId="3C0E6ADB" w14:textId="77777777" w:rsidR="00634235" w:rsidRDefault="00000000">
            <w:pPr>
              <w:spacing w:after="0"/>
            </w:pPr>
            <w:r>
              <w:rPr>
                <w:color w:val="141414"/>
                <w:sz w:val="18"/>
              </w:rPr>
              <w:t>Actions, context, observations, delegated log reading</w:t>
            </w:r>
          </w:p>
        </w:tc>
        <w:tc>
          <w:tcPr>
            <w:tcW w:w="2635" w:type="dxa"/>
            <w:shd w:val="clear" w:color="auto" w:fill="FFFFFF"/>
            <w:tcMar>
              <w:top w:w="95" w:type="dxa"/>
              <w:left w:w="105" w:type="dxa"/>
              <w:bottom w:w="95" w:type="dxa"/>
              <w:right w:w="105" w:type="dxa"/>
            </w:tcMar>
            <w:vAlign w:val="center"/>
          </w:tcPr>
          <w:p w14:paraId="102618F2" w14:textId="77777777" w:rsidR="00634235" w:rsidRDefault="00000000">
            <w:pPr>
              <w:spacing w:after="0"/>
            </w:pPr>
            <w:r>
              <w:rPr>
                <w:color w:val="141414"/>
                <w:sz w:val="18"/>
              </w:rPr>
              <w:t>State change, event significance, report content and timing</w:t>
            </w:r>
          </w:p>
        </w:tc>
      </w:tr>
      <w:tr w:rsidR="00634235" w14:paraId="4F93D6EE" w14:textId="77777777">
        <w:trPr>
          <w:jc w:val="center"/>
        </w:trPr>
        <w:tc>
          <w:tcPr>
            <w:tcW w:w="1757" w:type="dxa"/>
            <w:shd w:val="clear" w:color="auto" w:fill="FFFFFF"/>
            <w:tcMar>
              <w:top w:w="95" w:type="dxa"/>
              <w:left w:w="105" w:type="dxa"/>
              <w:bottom w:w="95" w:type="dxa"/>
              <w:right w:w="105" w:type="dxa"/>
            </w:tcMar>
            <w:vAlign w:val="center"/>
          </w:tcPr>
          <w:p w14:paraId="775593CE" w14:textId="77777777" w:rsidR="00634235" w:rsidRDefault="00000000">
            <w:pPr>
              <w:spacing w:after="0"/>
            </w:pPr>
            <w:r>
              <w:rPr>
                <w:color w:val="141414"/>
                <w:sz w:val="18"/>
              </w:rPr>
              <w:t>Typical waste reduced</w:t>
            </w:r>
          </w:p>
        </w:tc>
        <w:tc>
          <w:tcPr>
            <w:tcW w:w="2592" w:type="dxa"/>
            <w:shd w:val="clear" w:color="auto" w:fill="FFFFFF"/>
            <w:tcMar>
              <w:top w:w="95" w:type="dxa"/>
              <w:left w:w="105" w:type="dxa"/>
              <w:bottom w:w="95" w:type="dxa"/>
              <w:right w:w="105" w:type="dxa"/>
            </w:tcMar>
            <w:vAlign w:val="center"/>
          </w:tcPr>
          <w:p w14:paraId="2914473D" w14:textId="77777777" w:rsidR="00634235" w:rsidRDefault="00000000">
            <w:pPr>
              <w:spacing w:after="0"/>
            </w:pPr>
            <w:r>
              <w:rPr>
                <w:color w:val="141414"/>
                <w:sz w:val="18"/>
              </w:rPr>
              <w:t>Repeated prefix processing; over-thinking; prompt-induced redundancy</w:t>
            </w:r>
          </w:p>
        </w:tc>
        <w:tc>
          <w:tcPr>
            <w:tcW w:w="2592" w:type="dxa"/>
            <w:shd w:val="clear" w:color="auto" w:fill="FFFFFF"/>
            <w:tcMar>
              <w:top w:w="95" w:type="dxa"/>
              <w:left w:w="105" w:type="dxa"/>
              <w:bottom w:w="95" w:type="dxa"/>
              <w:right w:w="105" w:type="dxa"/>
            </w:tcMar>
            <w:vAlign w:val="center"/>
          </w:tcPr>
          <w:p w14:paraId="09FDBD50" w14:textId="77777777" w:rsidR="00634235" w:rsidRDefault="00000000">
            <w:pPr>
              <w:spacing w:after="0"/>
            </w:pPr>
            <w:r>
              <w:rPr>
                <w:color w:val="141414"/>
                <w:sz w:val="18"/>
              </w:rPr>
              <w:t>Extra model turns; context replay; oversized observations; repeated log reading</w:t>
            </w:r>
          </w:p>
        </w:tc>
        <w:tc>
          <w:tcPr>
            <w:tcW w:w="2635" w:type="dxa"/>
            <w:shd w:val="clear" w:color="auto" w:fill="FFFFFF"/>
            <w:tcMar>
              <w:top w:w="95" w:type="dxa"/>
              <w:left w:w="105" w:type="dxa"/>
              <w:bottom w:w="95" w:type="dxa"/>
              <w:right w:w="105" w:type="dxa"/>
            </w:tcMar>
            <w:vAlign w:val="center"/>
          </w:tcPr>
          <w:p w14:paraId="66546AD8" w14:textId="77777777" w:rsidR="00634235" w:rsidRDefault="00000000">
            <w:pPr>
              <w:spacing w:after="0"/>
            </w:pPr>
            <w:r>
              <w:rPr>
                <w:color w:val="141414"/>
                <w:sz w:val="18"/>
              </w:rPr>
              <w:t>Polling and repeated judgment on unchanged or irrelevant state</w:t>
            </w:r>
          </w:p>
        </w:tc>
      </w:tr>
      <w:tr w:rsidR="00634235" w14:paraId="2D84943D" w14:textId="77777777">
        <w:trPr>
          <w:jc w:val="center"/>
        </w:trPr>
        <w:tc>
          <w:tcPr>
            <w:tcW w:w="1757" w:type="dxa"/>
            <w:shd w:val="clear" w:color="auto" w:fill="FFFFFF"/>
            <w:tcMar>
              <w:top w:w="95" w:type="dxa"/>
              <w:left w:w="105" w:type="dxa"/>
              <w:bottom w:w="95" w:type="dxa"/>
              <w:right w:w="105" w:type="dxa"/>
            </w:tcMar>
            <w:vAlign w:val="center"/>
          </w:tcPr>
          <w:p w14:paraId="75A948F7" w14:textId="77777777" w:rsidR="00634235" w:rsidRDefault="00000000">
            <w:pPr>
              <w:spacing w:after="0"/>
            </w:pPr>
            <w:r>
              <w:rPr>
                <w:color w:val="141414"/>
                <w:sz w:val="18"/>
              </w:rPr>
              <w:t>Primary trigger</w:t>
            </w:r>
          </w:p>
        </w:tc>
        <w:tc>
          <w:tcPr>
            <w:tcW w:w="2592" w:type="dxa"/>
            <w:shd w:val="clear" w:color="auto" w:fill="FFFFFF"/>
            <w:tcMar>
              <w:top w:w="95" w:type="dxa"/>
              <w:left w:w="105" w:type="dxa"/>
              <w:bottom w:w="95" w:type="dxa"/>
              <w:right w:w="105" w:type="dxa"/>
            </w:tcMar>
            <w:vAlign w:val="center"/>
          </w:tcPr>
          <w:p w14:paraId="7A612A22" w14:textId="77777777" w:rsidR="00634235" w:rsidRDefault="00000000">
            <w:pPr>
              <w:spacing w:after="0"/>
            </w:pPr>
            <w:r>
              <w:rPr>
                <w:color w:val="141414"/>
                <w:sz w:val="18"/>
              </w:rPr>
              <w:t>Request-driven; cache/effort configured per workload</w:t>
            </w:r>
          </w:p>
        </w:tc>
        <w:tc>
          <w:tcPr>
            <w:tcW w:w="2592" w:type="dxa"/>
            <w:shd w:val="clear" w:color="auto" w:fill="FFFFFF"/>
            <w:tcMar>
              <w:top w:w="95" w:type="dxa"/>
              <w:left w:w="105" w:type="dxa"/>
              <w:bottom w:w="95" w:type="dxa"/>
              <w:right w:w="105" w:type="dxa"/>
            </w:tcMar>
            <w:vAlign w:val="center"/>
          </w:tcPr>
          <w:p w14:paraId="7C9A44AC" w14:textId="77777777" w:rsidR="00634235" w:rsidRDefault="00000000">
            <w:pPr>
              <w:spacing w:after="0"/>
            </w:pPr>
            <w:r>
              <w:rPr>
                <w:color w:val="141414"/>
                <w:sz w:val="18"/>
              </w:rPr>
              <w:t>Tool, subtask and harness events</w:t>
            </w:r>
          </w:p>
        </w:tc>
        <w:tc>
          <w:tcPr>
            <w:tcW w:w="2635" w:type="dxa"/>
            <w:shd w:val="clear" w:color="auto" w:fill="FFFFFF"/>
            <w:tcMar>
              <w:top w:w="95" w:type="dxa"/>
              <w:left w:w="105" w:type="dxa"/>
              <w:bottom w:w="95" w:type="dxa"/>
              <w:right w:w="105" w:type="dxa"/>
            </w:tcMar>
            <w:vAlign w:val="center"/>
          </w:tcPr>
          <w:p w14:paraId="45497119" w14:textId="77777777" w:rsidR="00634235" w:rsidRDefault="00000000">
            <w:pPr>
              <w:spacing w:after="0"/>
            </w:pPr>
            <w:r>
              <w:rPr>
                <w:color w:val="141414"/>
                <w:sz w:val="18"/>
              </w:rPr>
              <w:t>Meaningful state change / required event</w:t>
            </w:r>
          </w:p>
        </w:tc>
      </w:tr>
      <w:tr w:rsidR="00634235" w14:paraId="5F253291" w14:textId="77777777">
        <w:trPr>
          <w:jc w:val="center"/>
        </w:trPr>
        <w:tc>
          <w:tcPr>
            <w:tcW w:w="1757" w:type="dxa"/>
            <w:shd w:val="clear" w:color="auto" w:fill="FFFFFF"/>
            <w:tcMar>
              <w:top w:w="95" w:type="dxa"/>
              <w:left w:w="105" w:type="dxa"/>
              <w:bottom w:w="95" w:type="dxa"/>
              <w:right w:w="105" w:type="dxa"/>
            </w:tcMar>
            <w:vAlign w:val="center"/>
          </w:tcPr>
          <w:p w14:paraId="5237BEED" w14:textId="77777777" w:rsidR="00634235" w:rsidRDefault="00000000">
            <w:pPr>
              <w:spacing w:after="0"/>
            </w:pPr>
            <w:r>
              <w:rPr>
                <w:color w:val="141414"/>
                <w:sz w:val="18"/>
              </w:rPr>
              <w:t>Observation handling</w:t>
            </w:r>
          </w:p>
        </w:tc>
        <w:tc>
          <w:tcPr>
            <w:tcW w:w="2592" w:type="dxa"/>
            <w:shd w:val="clear" w:color="auto" w:fill="FFFFFF"/>
            <w:tcMar>
              <w:top w:w="95" w:type="dxa"/>
              <w:left w:w="105" w:type="dxa"/>
              <w:bottom w:w="95" w:type="dxa"/>
              <w:right w:w="105" w:type="dxa"/>
            </w:tcMar>
            <w:vAlign w:val="center"/>
          </w:tcPr>
          <w:p w14:paraId="3FA470F9" w14:textId="77777777" w:rsidR="00634235" w:rsidRDefault="00000000">
            <w:pPr>
              <w:spacing w:after="0"/>
            </w:pPr>
            <w:r>
              <w:rPr>
                <w:color w:val="141414"/>
                <w:sz w:val="18"/>
              </w:rPr>
              <w:t>Reuses repeated prompt-prefix processing after a request occurs.</w:t>
            </w:r>
          </w:p>
        </w:tc>
        <w:tc>
          <w:tcPr>
            <w:tcW w:w="2592" w:type="dxa"/>
            <w:shd w:val="clear" w:color="auto" w:fill="FFFFFF"/>
            <w:tcMar>
              <w:top w:w="95" w:type="dxa"/>
              <w:left w:w="105" w:type="dxa"/>
              <w:bottom w:w="95" w:type="dxa"/>
              <w:right w:w="105" w:type="dxa"/>
            </w:tcMar>
            <w:vAlign w:val="center"/>
          </w:tcPr>
          <w:p w14:paraId="228EE95C" w14:textId="77777777" w:rsidR="00634235" w:rsidRDefault="00000000">
            <w:pPr>
              <w:spacing w:after="0"/>
            </w:pPr>
            <w:r>
              <w:rPr>
                <w:color w:val="141414"/>
                <w:sz w:val="18"/>
              </w:rPr>
              <w:t>ObservationPack/reducer explicitly reduce observation payload</w:t>
            </w:r>
          </w:p>
        </w:tc>
        <w:tc>
          <w:tcPr>
            <w:tcW w:w="2635" w:type="dxa"/>
            <w:shd w:val="clear" w:color="auto" w:fill="FFFFFF"/>
            <w:tcMar>
              <w:top w:w="95" w:type="dxa"/>
              <w:left w:w="105" w:type="dxa"/>
              <w:bottom w:w="95" w:type="dxa"/>
              <w:right w:w="105" w:type="dxa"/>
            </w:tcMar>
            <w:vAlign w:val="center"/>
          </w:tcPr>
          <w:p w14:paraId="5F9B2D49" w14:textId="77777777" w:rsidR="00634235" w:rsidRDefault="00000000">
            <w:pPr>
              <w:spacing w:after="0"/>
            </w:pPr>
            <w:r>
              <w:rPr>
                <w:color w:val="141414"/>
                <w:sz w:val="18"/>
              </w:rPr>
              <w:t>Selects decision-relevant information for reporting</w:t>
            </w:r>
          </w:p>
        </w:tc>
      </w:tr>
    </w:tbl>
    <w:p w14:paraId="3111D7D8" w14:textId="77777777" w:rsidR="00634235" w:rsidRDefault="00000000">
      <w:pPr>
        <w:pStyle w:val="21"/>
      </w:pPr>
      <w:r>
        <w:t>4.2 Quality, fit and evidence</w:t>
      </w:r>
    </w:p>
    <w:tbl>
      <w:tblPr>
        <w:tblW w:w="0" w:type="auto"/>
        <w:jc w:val="center"/>
        <w:tblLayout w:type="fixed"/>
        <w:tblLook w:val="04A0" w:firstRow="1" w:lastRow="0" w:firstColumn="1" w:lastColumn="0" w:noHBand="0" w:noVBand="1"/>
      </w:tblPr>
      <w:tblGrid>
        <w:gridCol w:w="1757"/>
        <w:gridCol w:w="2592"/>
        <w:gridCol w:w="2592"/>
        <w:gridCol w:w="2635"/>
      </w:tblGrid>
      <w:tr w:rsidR="00634235" w14:paraId="6B6E9B95" w14:textId="77777777">
        <w:trPr>
          <w:tblHeader/>
          <w:jc w:val="center"/>
        </w:trPr>
        <w:tc>
          <w:tcPr>
            <w:tcW w:w="1757" w:type="dxa"/>
            <w:shd w:val="clear" w:color="auto" w:fill="141414"/>
            <w:tcMar>
              <w:top w:w="95" w:type="dxa"/>
              <w:left w:w="105" w:type="dxa"/>
              <w:bottom w:w="95" w:type="dxa"/>
              <w:right w:w="105" w:type="dxa"/>
            </w:tcMar>
            <w:vAlign w:val="center"/>
          </w:tcPr>
          <w:p w14:paraId="149233EA" w14:textId="77777777" w:rsidR="00634235" w:rsidRDefault="00000000">
            <w:pPr>
              <w:spacing w:after="0"/>
            </w:pPr>
            <w:r>
              <w:rPr>
                <w:b/>
                <w:color w:val="FFFFFF"/>
                <w:sz w:val="18"/>
              </w:rPr>
              <w:t>Dimension</w:t>
            </w:r>
          </w:p>
        </w:tc>
        <w:tc>
          <w:tcPr>
            <w:tcW w:w="2592" w:type="dxa"/>
            <w:shd w:val="clear" w:color="auto" w:fill="141414"/>
            <w:tcMar>
              <w:top w:w="95" w:type="dxa"/>
              <w:left w:w="105" w:type="dxa"/>
              <w:bottom w:w="95" w:type="dxa"/>
              <w:right w:w="105" w:type="dxa"/>
            </w:tcMar>
            <w:vAlign w:val="center"/>
          </w:tcPr>
          <w:p w14:paraId="47DE658F" w14:textId="77777777" w:rsidR="00634235" w:rsidRDefault="00000000">
            <w:pPr>
              <w:spacing w:after="0"/>
            </w:pPr>
            <w:r>
              <w:rPr>
                <w:b/>
                <w:color w:val="FFFFFF"/>
                <w:sz w:val="18"/>
              </w:rPr>
              <w:t>Anthropic method</w:t>
            </w:r>
          </w:p>
        </w:tc>
        <w:tc>
          <w:tcPr>
            <w:tcW w:w="2592" w:type="dxa"/>
            <w:shd w:val="clear" w:color="auto" w:fill="141414"/>
            <w:tcMar>
              <w:top w:w="95" w:type="dxa"/>
              <w:left w:w="105" w:type="dxa"/>
              <w:bottom w:w="95" w:type="dxa"/>
              <w:right w:w="105" w:type="dxa"/>
            </w:tcMar>
            <w:vAlign w:val="center"/>
          </w:tcPr>
          <w:p w14:paraId="39EAF8B7" w14:textId="77777777" w:rsidR="00634235" w:rsidRDefault="00000000">
            <w:pPr>
              <w:spacing w:after="0"/>
            </w:pPr>
            <w:r>
              <w:rPr>
                <w:b/>
                <w:color w:val="FFFFFF"/>
                <w:sz w:val="18"/>
              </w:rPr>
              <w:t>NVIDIA SoL-Pi</w:t>
            </w:r>
          </w:p>
        </w:tc>
        <w:tc>
          <w:tcPr>
            <w:tcW w:w="2635" w:type="dxa"/>
            <w:shd w:val="clear" w:color="auto" w:fill="141414"/>
            <w:tcMar>
              <w:top w:w="95" w:type="dxa"/>
              <w:left w:w="105" w:type="dxa"/>
              <w:bottom w:w="95" w:type="dxa"/>
              <w:right w:w="105" w:type="dxa"/>
            </w:tcMar>
            <w:vAlign w:val="center"/>
          </w:tcPr>
          <w:p w14:paraId="06544F30" w14:textId="77777777" w:rsidR="00634235" w:rsidRDefault="00000000">
            <w:pPr>
              <w:spacing w:after="0"/>
            </w:pPr>
            <w:r>
              <w:rPr>
                <w:b/>
                <w:color w:val="FFFFFF"/>
                <w:sz w:val="18"/>
              </w:rPr>
              <w:t>ASTOP</w:t>
            </w:r>
          </w:p>
        </w:tc>
      </w:tr>
      <w:tr w:rsidR="00634235" w14:paraId="14398F42" w14:textId="77777777">
        <w:trPr>
          <w:jc w:val="center"/>
        </w:trPr>
        <w:tc>
          <w:tcPr>
            <w:tcW w:w="1757" w:type="dxa"/>
            <w:shd w:val="clear" w:color="auto" w:fill="FFFFFF"/>
            <w:tcMar>
              <w:top w:w="95" w:type="dxa"/>
              <w:left w:w="105" w:type="dxa"/>
              <w:bottom w:w="95" w:type="dxa"/>
              <w:right w:w="105" w:type="dxa"/>
            </w:tcMar>
            <w:vAlign w:val="center"/>
          </w:tcPr>
          <w:p w14:paraId="0D539759" w14:textId="77777777" w:rsidR="00634235" w:rsidRDefault="00000000">
            <w:pPr>
              <w:spacing w:after="0"/>
            </w:pPr>
            <w:r>
              <w:rPr>
                <w:color w:val="141414"/>
                <w:sz w:val="18"/>
              </w:rPr>
              <w:t>Can reduce model-call count?</w:t>
            </w:r>
          </w:p>
        </w:tc>
        <w:tc>
          <w:tcPr>
            <w:tcW w:w="2592" w:type="dxa"/>
            <w:shd w:val="clear" w:color="auto" w:fill="FFFFFF"/>
            <w:tcMar>
              <w:top w:w="95" w:type="dxa"/>
              <w:left w:w="105" w:type="dxa"/>
              <w:bottom w:w="95" w:type="dxa"/>
              <w:right w:w="105" w:type="dxa"/>
            </w:tcMar>
            <w:vAlign w:val="center"/>
          </w:tcPr>
          <w:p w14:paraId="5AE1DA51" w14:textId="77777777" w:rsidR="00634235" w:rsidRDefault="00000000">
            <w:pPr>
              <w:spacing w:after="0"/>
            </w:pPr>
            <w:r>
              <w:rPr>
                <w:color w:val="141414"/>
                <w:sz w:val="18"/>
              </w:rPr>
              <w:t>Sometimes via prompt cleanup or effort behavior</w:t>
            </w:r>
          </w:p>
        </w:tc>
        <w:tc>
          <w:tcPr>
            <w:tcW w:w="2592" w:type="dxa"/>
            <w:shd w:val="clear" w:color="auto" w:fill="FFFFFF"/>
            <w:tcMar>
              <w:top w:w="95" w:type="dxa"/>
              <w:left w:w="105" w:type="dxa"/>
              <w:bottom w:w="95" w:type="dxa"/>
              <w:right w:w="105" w:type="dxa"/>
            </w:tcMar>
            <w:vAlign w:val="center"/>
          </w:tcPr>
          <w:p w14:paraId="25813CFB" w14:textId="77777777" w:rsidR="00634235" w:rsidRDefault="00000000">
            <w:pPr>
              <w:spacing w:after="0"/>
            </w:pPr>
            <w:r>
              <w:rPr>
                <w:color w:val="141414"/>
                <w:sz w:val="18"/>
              </w:rPr>
              <w:t>Yes, e.g. Action Fusion removes intermediate model decisions</w:t>
            </w:r>
          </w:p>
        </w:tc>
        <w:tc>
          <w:tcPr>
            <w:tcW w:w="2635" w:type="dxa"/>
            <w:shd w:val="clear" w:color="auto" w:fill="FFFFFF"/>
            <w:tcMar>
              <w:top w:w="95" w:type="dxa"/>
              <w:left w:w="105" w:type="dxa"/>
              <w:bottom w:w="95" w:type="dxa"/>
              <w:right w:w="105" w:type="dxa"/>
            </w:tcMar>
            <w:vAlign w:val="center"/>
          </w:tcPr>
          <w:p w14:paraId="6A0D1DB5" w14:textId="77777777" w:rsidR="00634235" w:rsidRDefault="00000000">
            <w:pPr>
              <w:spacing w:after="0"/>
            </w:pPr>
            <w:r>
              <w:rPr>
                <w:color w:val="141414"/>
                <w:sz w:val="18"/>
              </w:rPr>
              <w:t>Yes when redundant polling would otherwise trigger supervision calls</w:t>
            </w:r>
          </w:p>
        </w:tc>
      </w:tr>
      <w:tr w:rsidR="00634235" w14:paraId="55E07AB1" w14:textId="77777777">
        <w:trPr>
          <w:jc w:val="center"/>
        </w:trPr>
        <w:tc>
          <w:tcPr>
            <w:tcW w:w="1757" w:type="dxa"/>
            <w:shd w:val="clear" w:color="auto" w:fill="FFFFFF"/>
            <w:tcMar>
              <w:top w:w="95" w:type="dxa"/>
              <w:left w:w="105" w:type="dxa"/>
              <w:bottom w:w="95" w:type="dxa"/>
              <w:right w:w="105" w:type="dxa"/>
            </w:tcMar>
            <w:vAlign w:val="center"/>
          </w:tcPr>
          <w:p w14:paraId="7F399D08" w14:textId="77777777" w:rsidR="00634235" w:rsidRDefault="00000000">
            <w:pPr>
              <w:spacing w:after="0"/>
            </w:pPr>
            <w:r>
              <w:rPr>
                <w:color w:val="141414"/>
                <w:sz w:val="18"/>
              </w:rPr>
              <w:t>Quality protection</w:t>
            </w:r>
          </w:p>
        </w:tc>
        <w:tc>
          <w:tcPr>
            <w:tcW w:w="2592" w:type="dxa"/>
            <w:shd w:val="clear" w:color="auto" w:fill="FFFFFF"/>
            <w:tcMar>
              <w:top w:w="95" w:type="dxa"/>
              <w:left w:w="105" w:type="dxa"/>
              <w:bottom w:w="95" w:type="dxa"/>
              <w:right w:w="105" w:type="dxa"/>
            </w:tcMar>
            <w:vAlign w:val="center"/>
          </w:tcPr>
          <w:p w14:paraId="604A35BD" w14:textId="77777777" w:rsidR="00634235" w:rsidRDefault="00000000">
            <w:pPr>
              <w:spacing w:after="0"/>
            </w:pPr>
            <w:r>
              <w:rPr>
                <w:color w:val="141414"/>
                <w:sz w:val="18"/>
              </w:rPr>
              <w:t>Application evals across prompt/model/effort choices</w:t>
            </w:r>
          </w:p>
        </w:tc>
        <w:tc>
          <w:tcPr>
            <w:tcW w:w="2592" w:type="dxa"/>
            <w:shd w:val="clear" w:color="auto" w:fill="FFFFFF"/>
            <w:tcMar>
              <w:top w:w="95" w:type="dxa"/>
              <w:left w:w="105" w:type="dxa"/>
              <w:bottom w:w="95" w:type="dxa"/>
              <w:right w:w="105" w:type="dxa"/>
            </w:tcMar>
            <w:vAlign w:val="center"/>
          </w:tcPr>
          <w:p w14:paraId="19FC7AFD" w14:textId="77777777" w:rsidR="00634235" w:rsidRDefault="00000000">
            <w:pPr>
              <w:spacing w:after="0"/>
            </w:pPr>
            <w:r>
              <w:rPr>
                <w:color w:val="141414"/>
                <w:sz w:val="18"/>
              </w:rPr>
              <w:t>Capability floors, held-out validation, evidence verification</w:t>
            </w:r>
          </w:p>
        </w:tc>
        <w:tc>
          <w:tcPr>
            <w:tcW w:w="2635" w:type="dxa"/>
            <w:shd w:val="clear" w:color="auto" w:fill="FFFFFF"/>
            <w:tcMar>
              <w:top w:w="95" w:type="dxa"/>
              <w:left w:w="105" w:type="dxa"/>
              <w:bottom w:w="95" w:type="dxa"/>
              <w:right w:w="105" w:type="dxa"/>
            </w:tcMar>
            <w:vAlign w:val="center"/>
          </w:tcPr>
          <w:p w14:paraId="060701E6" w14:textId="77777777" w:rsidR="00634235" w:rsidRDefault="00000000">
            <w:pPr>
              <w:spacing w:after="0"/>
            </w:pPr>
            <w:r>
              <w:rPr>
                <w:color w:val="141414"/>
                <w:sz w:val="18"/>
              </w:rPr>
              <w:t>Required-event/information preservation and judgment fidelity [I1]</w:t>
            </w:r>
          </w:p>
        </w:tc>
      </w:tr>
      <w:tr w:rsidR="00634235" w14:paraId="68754A90" w14:textId="77777777">
        <w:trPr>
          <w:jc w:val="center"/>
        </w:trPr>
        <w:tc>
          <w:tcPr>
            <w:tcW w:w="1757" w:type="dxa"/>
            <w:shd w:val="clear" w:color="auto" w:fill="FFFFFF"/>
            <w:tcMar>
              <w:top w:w="95" w:type="dxa"/>
              <w:left w:w="105" w:type="dxa"/>
              <w:bottom w:w="95" w:type="dxa"/>
              <w:right w:w="105" w:type="dxa"/>
            </w:tcMar>
            <w:vAlign w:val="center"/>
          </w:tcPr>
          <w:p w14:paraId="1FCFC39A" w14:textId="77777777" w:rsidR="00634235" w:rsidRDefault="00000000">
            <w:pPr>
              <w:spacing w:after="0"/>
            </w:pPr>
            <w:r>
              <w:rPr>
                <w:color w:val="141414"/>
                <w:sz w:val="18"/>
              </w:rPr>
              <w:t>Best fit</w:t>
            </w:r>
          </w:p>
        </w:tc>
        <w:tc>
          <w:tcPr>
            <w:tcW w:w="2592" w:type="dxa"/>
            <w:shd w:val="clear" w:color="auto" w:fill="FFFFFF"/>
            <w:tcMar>
              <w:top w:w="95" w:type="dxa"/>
              <w:left w:w="105" w:type="dxa"/>
              <w:bottom w:w="95" w:type="dxa"/>
              <w:right w:w="105" w:type="dxa"/>
            </w:tcMar>
            <w:vAlign w:val="center"/>
          </w:tcPr>
          <w:p w14:paraId="008FA29F" w14:textId="77777777" w:rsidR="00634235" w:rsidRDefault="00000000">
            <w:pPr>
              <w:spacing w:after="0"/>
            </w:pPr>
            <w:r>
              <w:rPr>
                <w:color w:val="141414"/>
                <w:sz w:val="18"/>
              </w:rPr>
              <w:t>Claude applications with repeated context or tunable reasoning cost</w:t>
            </w:r>
          </w:p>
        </w:tc>
        <w:tc>
          <w:tcPr>
            <w:tcW w:w="2592" w:type="dxa"/>
            <w:shd w:val="clear" w:color="auto" w:fill="FFFFFF"/>
            <w:tcMar>
              <w:top w:w="95" w:type="dxa"/>
              <w:left w:w="105" w:type="dxa"/>
              <w:bottom w:w="95" w:type="dxa"/>
              <w:right w:w="105" w:type="dxa"/>
            </w:tcMar>
            <w:vAlign w:val="center"/>
          </w:tcPr>
          <w:p w14:paraId="215E5FAB" w14:textId="77777777" w:rsidR="00634235" w:rsidRDefault="00000000">
            <w:pPr>
              <w:spacing w:after="0"/>
            </w:pPr>
            <w:r>
              <w:rPr>
                <w:color w:val="141414"/>
                <w:sz w:val="18"/>
              </w:rPr>
              <w:t>Long-horizon Pi coding-agent workflows</w:t>
            </w:r>
          </w:p>
        </w:tc>
        <w:tc>
          <w:tcPr>
            <w:tcW w:w="2635" w:type="dxa"/>
            <w:shd w:val="clear" w:color="auto" w:fill="FFFFFF"/>
            <w:tcMar>
              <w:top w:w="95" w:type="dxa"/>
              <w:left w:w="105" w:type="dxa"/>
              <w:bottom w:w="95" w:type="dxa"/>
              <w:right w:w="105" w:type="dxa"/>
            </w:tcMar>
            <w:vAlign w:val="center"/>
          </w:tcPr>
          <w:p w14:paraId="3C88D58D" w14:textId="77777777" w:rsidR="00634235" w:rsidRDefault="00000000">
            <w:pPr>
              <w:spacing w:after="0"/>
            </w:pPr>
            <w:r>
              <w:rPr>
                <w:color w:val="141414"/>
                <w:sz w:val="18"/>
              </w:rPr>
              <w:t>Long-running supervised workflows with sparse meaningful change</w:t>
            </w:r>
          </w:p>
        </w:tc>
      </w:tr>
      <w:tr w:rsidR="00634235" w14:paraId="462DE75F" w14:textId="77777777">
        <w:trPr>
          <w:jc w:val="center"/>
        </w:trPr>
        <w:tc>
          <w:tcPr>
            <w:tcW w:w="1757" w:type="dxa"/>
            <w:shd w:val="clear" w:color="auto" w:fill="FFFFFF"/>
            <w:tcMar>
              <w:top w:w="95" w:type="dxa"/>
              <w:left w:w="105" w:type="dxa"/>
              <w:bottom w:w="95" w:type="dxa"/>
              <w:right w:w="105" w:type="dxa"/>
            </w:tcMar>
            <w:vAlign w:val="center"/>
          </w:tcPr>
          <w:p w14:paraId="76BA71A4" w14:textId="77777777" w:rsidR="00634235" w:rsidRDefault="00000000">
            <w:pPr>
              <w:spacing w:after="0"/>
            </w:pPr>
            <w:r>
              <w:rPr>
                <w:color w:val="141414"/>
                <w:sz w:val="18"/>
              </w:rPr>
              <w:t>Public evidence</w:t>
            </w:r>
          </w:p>
        </w:tc>
        <w:tc>
          <w:tcPr>
            <w:tcW w:w="2592" w:type="dxa"/>
            <w:shd w:val="clear" w:color="auto" w:fill="FFFFFF"/>
            <w:tcMar>
              <w:top w:w="95" w:type="dxa"/>
              <w:left w:w="105" w:type="dxa"/>
              <w:bottom w:w="95" w:type="dxa"/>
              <w:right w:w="105" w:type="dxa"/>
            </w:tcMar>
            <w:vAlign w:val="center"/>
          </w:tcPr>
          <w:p w14:paraId="69A6A007" w14:textId="77777777" w:rsidR="00634235" w:rsidRDefault="00000000">
            <w:pPr>
              <w:spacing w:after="0"/>
            </w:pPr>
            <w:r>
              <w:rPr>
                <w:color w:val="141414"/>
                <w:sz w:val="18"/>
              </w:rPr>
              <w:t>Official Anthropic benchmark examples [A1]</w:t>
            </w:r>
          </w:p>
        </w:tc>
        <w:tc>
          <w:tcPr>
            <w:tcW w:w="2592" w:type="dxa"/>
            <w:shd w:val="clear" w:color="auto" w:fill="FFFFFF"/>
            <w:tcMar>
              <w:top w:w="95" w:type="dxa"/>
              <w:left w:w="105" w:type="dxa"/>
              <w:bottom w:w="95" w:type="dxa"/>
              <w:right w:w="105" w:type="dxa"/>
            </w:tcMar>
            <w:vAlign w:val="center"/>
          </w:tcPr>
          <w:p w14:paraId="38562BB2" w14:textId="77777777" w:rsidR="00634235" w:rsidRDefault="00000000">
            <w:pPr>
              <w:spacing w:after="0"/>
            </w:pPr>
            <w:r>
              <w:rPr>
                <w:color w:val="141414"/>
                <w:sz w:val="18"/>
              </w:rPr>
              <w:t>EdgeBench, Terminal-Bench and project experiments [N1]</w:t>
            </w:r>
          </w:p>
        </w:tc>
        <w:tc>
          <w:tcPr>
            <w:tcW w:w="2635" w:type="dxa"/>
            <w:shd w:val="clear" w:color="auto" w:fill="FFFFFF"/>
            <w:tcMar>
              <w:top w:w="95" w:type="dxa"/>
              <w:left w:w="105" w:type="dxa"/>
              <w:bottom w:w="95" w:type="dxa"/>
              <w:right w:w="105" w:type="dxa"/>
            </w:tcMar>
            <w:vAlign w:val="center"/>
          </w:tcPr>
          <w:p w14:paraId="5CD72EDE" w14:textId="77777777" w:rsidR="00634235" w:rsidRDefault="00000000">
            <w:pPr>
              <w:spacing w:after="0"/>
            </w:pPr>
            <w:r>
              <w:rPr>
                <w:color w:val="141414"/>
                <w:sz w:val="18"/>
              </w:rPr>
              <w:t>No public ASTOP benchmark in the supplied source set; use internal evidence with attribution. [I1]</w:t>
            </w:r>
          </w:p>
        </w:tc>
      </w:tr>
      <w:tr w:rsidR="00634235" w14:paraId="6C755526" w14:textId="77777777">
        <w:trPr>
          <w:jc w:val="center"/>
        </w:trPr>
        <w:tc>
          <w:tcPr>
            <w:tcW w:w="1757" w:type="dxa"/>
            <w:shd w:val="clear" w:color="auto" w:fill="FFFFFF"/>
            <w:tcMar>
              <w:top w:w="95" w:type="dxa"/>
              <w:left w:w="105" w:type="dxa"/>
              <w:bottom w:w="95" w:type="dxa"/>
              <w:right w:w="105" w:type="dxa"/>
            </w:tcMar>
            <w:vAlign w:val="center"/>
          </w:tcPr>
          <w:p w14:paraId="6A11F07D" w14:textId="77777777" w:rsidR="00634235" w:rsidRDefault="00000000">
            <w:pPr>
              <w:spacing w:after="0"/>
            </w:pPr>
            <w:r>
              <w:rPr>
                <w:color w:val="141414"/>
                <w:sz w:val="18"/>
              </w:rPr>
              <w:t>Evidence status</w:t>
            </w:r>
          </w:p>
        </w:tc>
        <w:tc>
          <w:tcPr>
            <w:tcW w:w="2592" w:type="dxa"/>
            <w:shd w:val="clear" w:color="auto" w:fill="FFFFFF"/>
            <w:tcMar>
              <w:top w:w="95" w:type="dxa"/>
              <w:left w:w="105" w:type="dxa"/>
              <w:bottom w:w="95" w:type="dxa"/>
              <w:right w:w="105" w:type="dxa"/>
            </w:tcMar>
            <w:vAlign w:val="center"/>
          </w:tcPr>
          <w:p w14:paraId="4D43E877" w14:textId="77777777" w:rsidR="00634235" w:rsidRDefault="00000000">
            <w:pPr>
              <w:spacing w:after="0"/>
            </w:pPr>
            <w:r>
              <w:rPr>
                <w:color w:val="141414"/>
                <w:sz w:val="18"/>
              </w:rPr>
              <w:t>Official vendor sources</w:t>
            </w:r>
          </w:p>
        </w:tc>
        <w:tc>
          <w:tcPr>
            <w:tcW w:w="2592" w:type="dxa"/>
            <w:shd w:val="clear" w:color="auto" w:fill="FFFFFF"/>
            <w:tcMar>
              <w:top w:w="95" w:type="dxa"/>
              <w:left w:w="105" w:type="dxa"/>
              <w:bottom w:w="95" w:type="dxa"/>
              <w:right w:w="105" w:type="dxa"/>
            </w:tcMar>
            <w:vAlign w:val="center"/>
          </w:tcPr>
          <w:p w14:paraId="4139FD24" w14:textId="77777777" w:rsidR="00634235" w:rsidRDefault="00000000">
            <w:pPr>
              <w:spacing w:after="0"/>
            </w:pPr>
            <w:r>
              <w:rPr>
                <w:color w:val="141414"/>
                <w:sz w:val="18"/>
              </w:rPr>
              <w:t>Official NVIDIA research/project sources</w:t>
            </w:r>
          </w:p>
        </w:tc>
        <w:tc>
          <w:tcPr>
            <w:tcW w:w="2635" w:type="dxa"/>
            <w:shd w:val="clear" w:color="auto" w:fill="FFFFFF"/>
            <w:tcMar>
              <w:top w:w="95" w:type="dxa"/>
              <w:left w:w="105" w:type="dxa"/>
              <w:bottom w:w="95" w:type="dxa"/>
              <w:right w:w="105" w:type="dxa"/>
            </w:tcMar>
            <w:vAlign w:val="center"/>
          </w:tcPr>
          <w:p w14:paraId="68B114BC" w14:textId="77777777" w:rsidR="00634235" w:rsidRDefault="00000000">
            <w:pPr>
              <w:spacing w:after="0"/>
            </w:pPr>
            <w:r>
              <w:rPr>
                <w:color w:val="141414"/>
                <w:sz w:val="18"/>
              </w:rPr>
              <w:t>Internal itriX/PRISM evidence in supplied briefing [I1]</w:t>
            </w:r>
          </w:p>
        </w:tc>
      </w:tr>
      <w:tr w:rsidR="00634235" w14:paraId="337870C0" w14:textId="77777777">
        <w:trPr>
          <w:jc w:val="center"/>
        </w:trPr>
        <w:tc>
          <w:tcPr>
            <w:tcW w:w="1757" w:type="dxa"/>
            <w:shd w:val="clear" w:color="auto" w:fill="FFFFFF"/>
            <w:tcMar>
              <w:top w:w="95" w:type="dxa"/>
              <w:left w:w="105" w:type="dxa"/>
              <w:bottom w:w="95" w:type="dxa"/>
              <w:right w:w="105" w:type="dxa"/>
            </w:tcMar>
            <w:vAlign w:val="center"/>
          </w:tcPr>
          <w:p w14:paraId="6C507F60" w14:textId="77777777" w:rsidR="00634235" w:rsidRDefault="00000000">
            <w:pPr>
              <w:spacing w:after="0"/>
            </w:pPr>
            <w:r>
              <w:rPr>
                <w:color w:val="141414"/>
                <w:sz w:val="18"/>
              </w:rPr>
              <w:t>Relationship</w:t>
            </w:r>
          </w:p>
        </w:tc>
        <w:tc>
          <w:tcPr>
            <w:tcW w:w="2592" w:type="dxa"/>
            <w:shd w:val="clear" w:color="auto" w:fill="FFFFFF"/>
            <w:tcMar>
              <w:top w:w="95" w:type="dxa"/>
              <w:left w:w="105" w:type="dxa"/>
              <w:bottom w:w="95" w:type="dxa"/>
              <w:right w:w="105" w:type="dxa"/>
            </w:tcMar>
            <w:vAlign w:val="center"/>
          </w:tcPr>
          <w:p w14:paraId="6733675B" w14:textId="77777777" w:rsidR="00634235" w:rsidRDefault="00000000">
            <w:pPr>
              <w:spacing w:after="0"/>
            </w:pPr>
            <w:r>
              <w:rPr>
                <w:color w:val="141414"/>
                <w:sz w:val="18"/>
              </w:rPr>
              <w:t>Can be combined</w:t>
            </w:r>
          </w:p>
        </w:tc>
        <w:tc>
          <w:tcPr>
            <w:tcW w:w="2592" w:type="dxa"/>
            <w:shd w:val="clear" w:color="auto" w:fill="FFFFFF"/>
            <w:tcMar>
              <w:top w:w="95" w:type="dxa"/>
              <w:left w:w="105" w:type="dxa"/>
              <w:bottom w:w="95" w:type="dxa"/>
              <w:right w:w="105" w:type="dxa"/>
            </w:tcMar>
            <w:vAlign w:val="center"/>
          </w:tcPr>
          <w:p w14:paraId="3A10F409" w14:textId="77777777" w:rsidR="00634235" w:rsidRDefault="00000000">
            <w:pPr>
              <w:spacing w:after="0"/>
            </w:pPr>
            <w:r>
              <w:rPr>
                <w:color w:val="141414"/>
                <w:sz w:val="18"/>
              </w:rPr>
              <w:t>Can be combined; overlaps in observation/context management</w:t>
            </w:r>
          </w:p>
        </w:tc>
        <w:tc>
          <w:tcPr>
            <w:tcW w:w="2635" w:type="dxa"/>
            <w:shd w:val="clear" w:color="auto" w:fill="FFFFFF"/>
            <w:tcMar>
              <w:top w:w="95" w:type="dxa"/>
              <w:left w:w="105" w:type="dxa"/>
              <w:bottom w:w="95" w:type="dxa"/>
              <w:right w:w="105" w:type="dxa"/>
            </w:tcMar>
            <w:vAlign w:val="center"/>
          </w:tcPr>
          <w:p w14:paraId="376EDF47" w14:textId="77777777" w:rsidR="00634235" w:rsidRDefault="00000000">
            <w:pPr>
              <w:spacing w:after="0"/>
            </w:pPr>
            <w:r>
              <w:rPr>
                <w:color w:val="141414"/>
                <w:sz w:val="18"/>
              </w:rPr>
              <w:t>Can be combined; incremental savings must be measured</w:t>
            </w:r>
          </w:p>
        </w:tc>
      </w:tr>
    </w:tbl>
    <w:p w14:paraId="2E8A33F1" w14:textId="77777777" w:rsidR="00634235" w:rsidRDefault="00000000">
      <w:pPr>
        <w:spacing w:after="0"/>
      </w:pPr>
      <w:r>
        <w:rPr>
          <w:color w:val="5B6168"/>
          <w:sz w:val="18"/>
        </w:rPr>
        <w:t>Do not present this taxonomy as an absolute partition. The technologies overlap in secondary effects. It is a sales and architecture model for identifying the primary source of avoidable cost.</w:t>
      </w:r>
    </w:p>
    <w:p w14:paraId="06F77541" w14:textId="77777777" w:rsidR="00634235" w:rsidRDefault="00000000">
      <w:pPr>
        <w:pStyle w:val="1"/>
      </w:pPr>
      <w:r>
        <w:lastRenderedPageBreak/>
        <w:t>5. Overlap, Differentiation and Combined Architecture</w:t>
      </w:r>
    </w:p>
    <w:p w14:paraId="5E59E3C7" w14:textId="77777777" w:rsidR="00634235" w:rsidRDefault="00000000">
      <w:pPr>
        <w:pStyle w:val="21"/>
      </w:pPr>
      <w:r>
        <w:t>5.1 ASTOP vs. prompt caching</w:t>
      </w:r>
    </w:p>
    <w:p w14:paraId="398426BB" w14:textId="77777777" w:rsidR="00634235" w:rsidRDefault="00000000">
      <w:r>
        <w:t>The cleanest distinction is “make a repeated request cheaper” versus “avoid an unnecessary decision request.” Prompt caching reuses a stable prefix after a request is made. ASTOP’s value proposition is strongest when the observation layer can determine that no new decision call is needed because the state has not changed meaningfully.</w:t>
      </w:r>
    </w:p>
    <w:p w14:paraId="1DCE9AD1" w14:textId="77777777" w:rsidR="00634235" w:rsidRDefault="00000000">
      <w:pPr>
        <w:pStyle w:val="21"/>
      </w:pPr>
      <w:r>
        <w:t>5.2 ASTOP vs. SoL-Pi ObservationPack</w:t>
      </w:r>
    </w:p>
    <w:p w14:paraId="1A161753" w14:textId="77777777" w:rsidR="00634235" w:rsidRDefault="00000000">
      <w:r>
        <w:t>ObservationPack is the closest visible overlap. It changes the lifecycle of large tool results after they enter an agent trajectory: archive the payload, keep a compact handle, and recall exact pages later. ASTOP, by contrast, is positioned one boundary earlier: continuously observe state and decide whether/when the decision layer should receive an update. Both reduce observation-related waste, but they act on different questions. [I1][N1]</w:t>
      </w:r>
    </w:p>
    <w:p w14:paraId="5C8984FF" w14:textId="77777777" w:rsidR="00634235" w:rsidRDefault="00000000">
      <w:pPr>
        <w:pStyle w:val="21"/>
      </w:pPr>
      <w:r>
        <w:t>5.3 ASTOP vs. Online Context Compact</w:t>
      </w:r>
    </w:p>
    <w:p w14:paraId="22C00D2B" w14:textId="77777777" w:rsidR="00634235" w:rsidRDefault="00000000">
      <w:r>
        <w:t>Online Context Compact uses semantic subtask completion plus an economic payback test to decide when to compact completed context. ASTOP uses meaningful change in monitored state to decide when to report. Both are event-sensitive, but one optimizes retained trajectory context while the other optimizes supervision delivery. [N1][I1]</w:t>
      </w:r>
    </w:p>
    <w:p w14:paraId="3CC5FEFE" w14:textId="77777777" w:rsidR="00634235" w:rsidRDefault="00000000">
      <w:pPr>
        <w:pStyle w:val="21"/>
      </w:pPr>
      <w:r>
        <w:t>5.4 Reference combined stack</w:t>
      </w:r>
    </w:p>
    <w:tbl>
      <w:tblPr>
        <w:tblW w:w="0" w:type="auto"/>
        <w:jc w:val="center"/>
        <w:tblLayout w:type="fixed"/>
        <w:tblLook w:val="04A0" w:firstRow="1" w:lastRow="0" w:firstColumn="1" w:lastColumn="0" w:noHBand="0" w:noVBand="1"/>
      </w:tblPr>
      <w:tblGrid>
        <w:gridCol w:w="3168"/>
        <w:gridCol w:w="6826"/>
        <w:gridCol w:w="607"/>
      </w:tblGrid>
      <w:tr w:rsidR="00634235" w14:paraId="7E06A319" w14:textId="77777777">
        <w:trPr>
          <w:tblHeader/>
          <w:jc w:val="center"/>
        </w:trPr>
        <w:tc>
          <w:tcPr>
            <w:tcW w:w="3168" w:type="dxa"/>
            <w:shd w:val="clear" w:color="auto" w:fill="141414"/>
            <w:tcMar>
              <w:top w:w="95" w:type="dxa"/>
              <w:left w:w="105" w:type="dxa"/>
              <w:bottom w:w="95" w:type="dxa"/>
              <w:right w:w="105" w:type="dxa"/>
            </w:tcMar>
            <w:vAlign w:val="center"/>
          </w:tcPr>
          <w:p w14:paraId="12D41DFC" w14:textId="77777777" w:rsidR="00634235" w:rsidRDefault="00000000">
            <w:pPr>
              <w:spacing w:after="0"/>
            </w:pPr>
            <w:r>
              <w:rPr>
                <w:b/>
                <w:color w:val="FFFFFF"/>
                <w:sz w:val="18"/>
              </w:rPr>
              <w:t>Layer</w:t>
            </w:r>
          </w:p>
        </w:tc>
        <w:tc>
          <w:tcPr>
            <w:tcW w:w="6408" w:type="dxa"/>
            <w:gridSpan w:val="2"/>
            <w:shd w:val="clear" w:color="auto" w:fill="141414"/>
            <w:tcMar>
              <w:top w:w="95" w:type="dxa"/>
              <w:left w:w="105" w:type="dxa"/>
              <w:bottom w:w="95" w:type="dxa"/>
              <w:right w:w="105" w:type="dxa"/>
            </w:tcMar>
            <w:vAlign w:val="center"/>
          </w:tcPr>
          <w:p w14:paraId="6E8EF980" w14:textId="77777777" w:rsidR="00634235" w:rsidRDefault="00000000">
            <w:pPr>
              <w:spacing w:after="0"/>
            </w:pPr>
            <w:r>
              <w:rPr>
                <w:b/>
                <w:color w:val="FFFFFF"/>
                <w:sz w:val="18"/>
              </w:rPr>
              <w:t>Role</w:t>
            </w:r>
          </w:p>
        </w:tc>
      </w:tr>
      <w:tr w:rsidR="00634235" w14:paraId="2D75D642" w14:textId="77777777">
        <w:trPr>
          <w:jc w:val="center"/>
        </w:trPr>
        <w:tc>
          <w:tcPr>
            <w:tcW w:w="3168" w:type="dxa"/>
            <w:shd w:val="clear" w:color="auto" w:fill="FFFFFF"/>
            <w:tcMar>
              <w:top w:w="95" w:type="dxa"/>
              <w:left w:w="105" w:type="dxa"/>
              <w:bottom w:w="95" w:type="dxa"/>
              <w:right w:w="105" w:type="dxa"/>
            </w:tcMar>
            <w:vAlign w:val="center"/>
          </w:tcPr>
          <w:p w14:paraId="5FAC032C" w14:textId="77777777" w:rsidR="00634235" w:rsidRDefault="00000000">
            <w:pPr>
              <w:spacing w:after="0"/>
            </w:pPr>
            <w:r>
              <w:rPr>
                <w:color w:val="141414"/>
                <w:sz w:val="18"/>
              </w:rPr>
              <w:t>External systems / tools / jobs</w:t>
            </w:r>
          </w:p>
        </w:tc>
        <w:tc>
          <w:tcPr>
            <w:tcW w:w="6408" w:type="dxa"/>
            <w:gridSpan w:val="2"/>
            <w:shd w:val="clear" w:color="auto" w:fill="FFFFFF"/>
            <w:tcMar>
              <w:top w:w="95" w:type="dxa"/>
              <w:left w:w="105" w:type="dxa"/>
              <w:bottom w:w="95" w:type="dxa"/>
              <w:right w:w="105" w:type="dxa"/>
            </w:tcMar>
            <w:vAlign w:val="center"/>
          </w:tcPr>
          <w:p w14:paraId="65028A05" w14:textId="77777777" w:rsidR="00634235" w:rsidRDefault="00000000">
            <w:pPr>
              <w:spacing w:after="0"/>
            </w:pPr>
            <w:r>
              <w:rPr>
                <w:color w:val="141414"/>
                <w:sz w:val="18"/>
              </w:rPr>
              <w:t>Generate raw state, logs, progress, exceptions and completion events.</w:t>
            </w:r>
          </w:p>
        </w:tc>
      </w:tr>
      <w:tr w:rsidR="00634235" w14:paraId="52605DDD" w14:textId="77777777">
        <w:trPr>
          <w:jc w:val="center"/>
        </w:trPr>
        <w:tc>
          <w:tcPr>
            <w:tcW w:w="3168" w:type="dxa"/>
            <w:shd w:val="clear" w:color="auto" w:fill="FFFFFF"/>
            <w:tcMar>
              <w:top w:w="95" w:type="dxa"/>
              <w:left w:w="105" w:type="dxa"/>
              <w:bottom w:w="95" w:type="dxa"/>
              <w:right w:w="105" w:type="dxa"/>
            </w:tcMar>
            <w:vAlign w:val="center"/>
          </w:tcPr>
          <w:p w14:paraId="1CA95FCB" w14:textId="77777777" w:rsidR="00634235" w:rsidRDefault="00000000">
            <w:pPr>
              <w:spacing w:after="0"/>
            </w:pPr>
            <w:r>
              <w:rPr>
                <w:color w:val="141414"/>
                <w:sz w:val="18"/>
              </w:rPr>
              <w:t>ASTOP supervision layer</w:t>
            </w:r>
          </w:p>
        </w:tc>
        <w:tc>
          <w:tcPr>
            <w:tcW w:w="6408" w:type="dxa"/>
            <w:gridSpan w:val="2"/>
            <w:shd w:val="clear" w:color="auto" w:fill="FFFFFF"/>
            <w:tcMar>
              <w:top w:w="95" w:type="dxa"/>
              <w:left w:w="105" w:type="dxa"/>
              <w:bottom w:w="95" w:type="dxa"/>
              <w:right w:w="105" w:type="dxa"/>
            </w:tcMar>
            <w:vAlign w:val="center"/>
          </w:tcPr>
          <w:p w14:paraId="28CCC2F8" w14:textId="77777777" w:rsidR="00634235" w:rsidRDefault="00000000">
            <w:pPr>
              <w:spacing w:after="0"/>
            </w:pPr>
            <w:r>
              <w:rPr>
                <w:color w:val="141414"/>
                <w:sz w:val="18"/>
              </w:rPr>
              <w:t>Maintain state; preserve required events; emit only decision-relevant changes at meaningful times.</w:t>
            </w:r>
          </w:p>
        </w:tc>
      </w:tr>
      <w:tr w:rsidR="00634235" w14:paraId="50D9527C" w14:textId="77777777">
        <w:trPr>
          <w:jc w:val="center"/>
        </w:trPr>
        <w:tc>
          <w:tcPr>
            <w:tcW w:w="3168" w:type="dxa"/>
            <w:shd w:val="clear" w:color="auto" w:fill="FFFFFF"/>
            <w:tcMar>
              <w:top w:w="95" w:type="dxa"/>
              <w:left w:w="105" w:type="dxa"/>
              <w:bottom w:w="95" w:type="dxa"/>
              <w:right w:w="105" w:type="dxa"/>
            </w:tcMar>
            <w:vAlign w:val="center"/>
          </w:tcPr>
          <w:p w14:paraId="55FDC2D9" w14:textId="77777777" w:rsidR="00634235" w:rsidRDefault="00000000">
            <w:pPr>
              <w:spacing w:after="0"/>
            </w:pPr>
            <w:r>
              <w:rPr>
                <w:color w:val="141414"/>
                <w:sz w:val="18"/>
              </w:rPr>
              <w:t>Agent harness (SoL-Pi where applicable)</w:t>
            </w:r>
          </w:p>
        </w:tc>
        <w:tc>
          <w:tcPr>
            <w:tcW w:w="6408" w:type="dxa"/>
            <w:gridSpan w:val="2"/>
            <w:shd w:val="clear" w:color="auto" w:fill="FFFFFF"/>
            <w:tcMar>
              <w:top w:w="95" w:type="dxa"/>
              <w:left w:w="105" w:type="dxa"/>
              <w:bottom w:w="95" w:type="dxa"/>
              <w:right w:w="105" w:type="dxa"/>
            </w:tcMar>
            <w:vAlign w:val="center"/>
          </w:tcPr>
          <w:p w14:paraId="0328D754" w14:textId="77777777" w:rsidR="00634235" w:rsidRDefault="00000000">
            <w:pPr>
              <w:spacing w:after="0"/>
            </w:pPr>
            <w:r>
              <w:rPr>
                <w:color w:val="141414"/>
                <w:sz w:val="18"/>
              </w:rPr>
              <w:t>Execute actions; reduce model round trips, repeated observations, long-log reading and stale context.</w:t>
            </w:r>
          </w:p>
        </w:tc>
      </w:tr>
      <w:tr w:rsidR="00634235" w14:paraId="3B7DBAC6" w14:textId="77777777">
        <w:trPr>
          <w:jc w:val="center"/>
        </w:trPr>
        <w:tc>
          <w:tcPr>
            <w:tcW w:w="3168" w:type="dxa"/>
            <w:shd w:val="clear" w:color="auto" w:fill="FFFFFF"/>
            <w:tcMar>
              <w:top w:w="95" w:type="dxa"/>
              <w:left w:w="105" w:type="dxa"/>
              <w:bottom w:w="95" w:type="dxa"/>
              <w:right w:w="105" w:type="dxa"/>
            </w:tcMar>
            <w:vAlign w:val="center"/>
          </w:tcPr>
          <w:p w14:paraId="3C3E35E4" w14:textId="77777777" w:rsidR="00634235" w:rsidRDefault="00000000">
            <w:pPr>
              <w:spacing w:after="0"/>
            </w:pPr>
            <w:r>
              <w:rPr>
                <w:color w:val="141414"/>
                <w:sz w:val="18"/>
              </w:rPr>
              <w:t>Model/API optimization (Anthropic where Claude is used)</w:t>
            </w:r>
          </w:p>
        </w:tc>
        <w:tc>
          <w:tcPr>
            <w:tcW w:w="6408" w:type="dxa"/>
            <w:gridSpan w:val="2"/>
            <w:shd w:val="clear" w:color="auto" w:fill="FFFFFF"/>
            <w:tcMar>
              <w:top w:w="95" w:type="dxa"/>
              <w:left w:w="105" w:type="dxa"/>
              <w:bottom w:w="95" w:type="dxa"/>
              <w:right w:w="105" w:type="dxa"/>
            </w:tcMar>
            <w:vAlign w:val="center"/>
          </w:tcPr>
          <w:p w14:paraId="39A64A50" w14:textId="77777777" w:rsidR="00634235" w:rsidRDefault="00000000">
            <w:pPr>
              <w:spacing w:after="0"/>
            </w:pPr>
            <w:r>
              <w:rPr>
                <w:color w:val="141414"/>
                <w:sz w:val="18"/>
              </w:rPr>
              <w:t>Cache stable prefixes; audit instructions; calibrate effort/model/output to the workload.</w:t>
            </w:r>
          </w:p>
        </w:tc>
      </w:tr>
      <w:tr w:rsidR="00634235" w14:paraId="44EF252E" w14:textId="77777777">
        <w:trPr>
          <w:gridAfter w:val="1"/>
          <w:wAfter w:w="607" w:type="dxa"/>
          <w:tblHeader/>
          <w:jc w:val="center"/>
        </w:trPr>
        <w:tc>
          <w:tcPr>
            <w:tcW w:w="9994" w:type="dxa"/>
            <w:gridSpan w:val="2"/>
            <w:tcBorders>
              <w:left w:val="single" w:sz="16" w:space="0" w:color="9A6A00"/>
            </w:tcBorders>
            <w:shd w:val="clear" w:color="auto" w:fill="FFF7E6"/>
            <w:tcMar>
              <w:top w:w="140" w:type="dxa"/>
              <w:left w:w="150" w:type="dxa"/>
              <w:bottom w:w="140" w:type="dxa"/>
              <w:right w:w="150" w:type="dxa"/>
            </w:tcMar>
          </w:tcPr>
          <w:p w14:paraId="6173245B" w14:textId="77777777" w:rsidR="00634235" w:rsidRDefault="00000000">
            <w:pPr>
              <w:spacing w:after="60"/>
            </w:pPr>
            <w:r>
              <w:rPr>
                <w:b/>
                <w:color w:val="141414"/>
                <w:sz w:val="20"/>
              </w:rPr>
              <w:t>COMBINATION RULE</w:t>
            </w:r>
          </w:p>
          <w:p w14:paraId="19469C84" w14:textId="77777777" w:rsidR="00634235" w:rsidRDefault="00000000">
            <w:pPr>
              <w:spacing w:after="0"/>
            </w:pPr>
            <w:r>
              <w:rPr>
                <w:color w:val="141414"/>
                <w:sz w:val="20"/>
              </w:rPr>
              <w:t>Architectural compatibility does not prove additive savings. Never add ASTOP’s internal token-reduction percentage to SoL-Pi’s published token-reduction percentage or to Anthropic benchmark savings. Measure the combined stack on the customer’s workload.</w:t>
            </w:r>
          </w:p>
        </w:tc>
      </w:tr>
    </w:tbl>
    <w:p w14:paraId="25723C84" w14:textId="77777777" w:rsidR="00634235" w:rsidRDefault="00634235">
      <w:pPr>
        <w:spacing w:after="20"/>
      </w:pPr>
    </w:p>
    <w:p w14:paraId="2A884F86" w14:textId="77777777" w:rsidR="00634235" w:rsidRDefault="00000000">
      <w:pPr>
        <w:pStyle w:val="21"/>
      </w:pPr>
      <w:r>
        <w:t>5.5 Illustrative scenario — not a benchmark</w:t>
      </w:r>
    </w:p>
    <w:p w14:paraId="4A5F8AAA" w14:textId="77777777" w:rsidR="00634235" w:rsidRDefault="00000000">
      <w:r>
        <w:t>A long-running job is polled every 30 seconds for two hours, creating 240 polling intervals. Suppose the only decision-relevant events are start, one exception, recovery, and completion. Anthropic caching can make repeated stable context cheaper. SoL-Pi can reduce redundant work inside a Pi agent handling the job. ASTOP’s distinct opportunity is to keep observing the job without re-invoking the expensive judgment path for each unchanged poll, and to surface the meaningful events instead. The actual report frequency and savings depend on the observer policy and the workload.</w:t>
      </w:r>
    </w:p>
    <w:p w14:paraId="4E57846F" w14:textId="77777777" w:rsidR="00634235" w:rsidRDefault="00000000">
      <w:pPr>
        <w:pStyle w:val="1"/>
      </w:pPr>
      <w:r>
        <w:lastRenderedPageBreak/>
        <w:t>6. Sales Qualification and Messaging Policy</w:t>
      </w:r>
    </w:p>
    <w:p w14:paraId="0E8066A7" w14:textId="77777777" w:rsidR="00634235" w:rsidRDefault="00000000">
      <w:pPr>
        <w:pStyle w:val="21"/>
      </w:pPr>
      <w:r>
        <w:t>6.1 Qualification questions</w:t>
      </w:r>
    </w:p>
    <w:p w14:paraId="6EEEBD5A" w14:textId="77777777" w:rsidR="00634235" w:rsidRDefault="00000000">
      <w:pPr>
        <w:pStyle w:val="a0"/>
        <w:spacing w:after="40"/>
      </w:pPr>
      <w:r>
        <w:t>How often does your agent or workflow check whether an external task has changed?</w:t>
      </w:r>
    </w:p>
    <w:p w14:paraId="57E317BC" w14:textId="77777777" w:rsidR="00634235" w:rsidRDefault="00000000">
      <w:pPr>
        <w:pStyle w:val="a0"/>
        <w:spacing w:after="40"/>
      </w:pPr>
      <w:r>
        <w:t>What percentage of those checks return “still running,” “no change,” or information that does not alter the next decision?</w:t>
      </w:r>
    </w:p>
    <w:p w14:paraId="3E1272D2" w14:textId="77777777" w:rsidR="00634235" w:rsidRDefault="00000000">
      <w:pPr>
        <w:pStyle w:val="a0"/>
        <w:spacing w:after="40"/>
      </w:pPr>
      <w:r>
        <w:t>How long do monitored tasks typically run?</w:t>
      </w:r>
    </w:p>
    <w:p w14:paraId="64CBAEDD" w14:textId="77777777" w:rsidR="00634235" w:rsidRDefault="00000000">
      <w:pPr>
        <w:pStyle w:val="a0"/>
        <w:spacing w:after="40"/>
      </w:pPr>
      <w:r>
        <w:t>Which events must never be suppressed: failure, completion, threshold breach, security exception, human escalation, or other milestones?</w:t>
      </w:r>
    </w:p>
    <w:p w14:paraId="7500468C" w14:textId="77777777" w:rsidR="00634235" w:rsidRDefault="00000000">
      <w:pPr>
        <w:pStyle w:val="a0"/>
        <w:spacing w:after="40"/>
      </w:pPr>
      <w:r>
        <w:t>Does the system already expose high-quality webhooks or domain events, or does it rely on polling?</w:t>
      </w:r>
    </w:p>
    <w:p w14:paraId="269F6923" w14:textId="77777777" w:rsidR="00634235" w:rsidRDefault="00000000">
      <w:pPr>
        <w:pStyle w:val="a0"/>
        <w:spacing w:after="40"/>
      </w:pPr>
      <w:r>
        <w:t>What is the current model/harness stack, and where are the expensive model turns occurring?</w:t>
      </w:r>
    </w:p>
    <w:p w14:paraId="4C913C5B" w14:textId="77777777" w:rsidR="00634235" w:rsidRDefault="00000000">
      <w:pPr>
        <w:pStyle w:val="a0"/>
        <w:spacing w:after="40"/>
      </w:pPr>
      <w:r>
        <w:t>What matters more in the workload: provider token cost, latency, throughput, infrastructure cost, or human supervision burden?</w:t>
      </w:r>
    </w:p>
    <w:p w14:paraId="7AC54453" w14:textId="77777777" w:rsidR="00634235" w:rsidRDefault="00000000">
      <w:pPr>
        <w:pStyle w:val="a0"/>
        <w:spacing w:after="40"/>
      </w:pPr>
      <w:r>
        <w:t>Can the customer provide traces so model requests, observations, state changes and outcomes can be measured?</w:t>
      </w:r>
    </w:p>
    <w:p w14:paraId="7CDB191D" w14:textId="77777777" w:rsidR="00634235" w:rsidRDefault="00000000">
      <w:pPr>
        <w:pStyle w:val="21"/>
      </w:pPr>
      <w:r>
        <w:t>6.2 Safe customer-facing statements</w:t>
      </w:r>
    </w:p>
    <w:p w14:paraId="7C5F5C33" w14:textId="77777777" w:rsidR="00634235" w:rsidRDefault="00000000">
      <w:pPr>
        <w:pStyle w:val="a0"/>
        <w:spacing w:after="40"/>
      </w:pPr>
      <w:r>
        <w:t>“ASTOP targets repeated supervision, especially when agents repeatedly ask whether anything important has changed.”</w:t>
      </w:r>
    </w:p>
    <w:p w14:paraId="71611BAB" w14:textId="77777777" w:rsidR="00634235" w:rsidRDefault="00000000">
      <w:pPr>
        <w:pStyle w:val="a0"/>
        <w:spacing w:after="40"/>
      </w:pPr>
      <w:r>
        <w:t>“Anthropic’s optimization guidance and ASTOP solve different parts of the cost problem: one improves request economics; the other can reduce unnecessary supervision requests.”</w:t>
      </w:r>
    </w:p>
    <w:p w14:paraId="356F54CD" w14:textId="77777777" w:rsidR="00634235" w:rsidRDefault="00000000">
      <w:pPr>
        <w:pStyle w:val="a0"/>
        <w:spacing w:after="40"/>
      </w:pPr>
      <w:r>
        <w:t>“SoL-Pi reduces repeated work inside a long-horizon agent harness. ASTOP focuses on the observation-to-judgment boundary.”</w:t>
      </w:r>
    </w:p>
    <w:p w14:paraId="0B1502AF" w14:textId="77777777" w:rsidR="00634235" w:rsidRDefault="00000000">
      <w:pPr>
        <w:pStyle w:val="a0"/>
        <w:spacing w:after="40"/>
      </w:pPr>
      <w:r>
        <w:t>“The approaches can be combined, but we should benchmark the incremental benefit rather than assume the published savings add together.”</w:t>
      </w:r>
    </w:p>
    <w:p w14:paraId="4014AE9E" w14:textId="77777777" w:rsidR="00634235" w:rsidRDefault="00000000">
      <w:pPr>
        <w:pStyle w:val="a0"/>
        <w:spacing w:after="40"/>
      </w:pPr>
      <w:r>
        <w:t>“ASTOP is most attractive when observation is frequent but meaningful change is relatively sparse.”</w:t>
      </w:r>
    </w:p>
    <w:p w14:paraId="747BC254" w14:textId="77777777" w:rsidR="00634235" w:rsidRDefault="00000000">
      <w:pPr>
        <w:pStyle w:val="21"/>
      </w:pPr>
      <w:r>
        <w:t>6.3 Conditional statements — only with qualification</w:t>
      </w:r>
    </w:p>
    <w:p w14:paraId="4ADB160A" w14:textId="77777777" w:rsidR="00634235" w:rsidRDefault="00000000">
      <w:pPr>
        <w:pStyle w:val="a0"/>
        <w:spacing w:after="40"/>
      </w:pPr>
      <w:r>
        <w:t>“ASTOP can reduce model calls” — only when current calls are triggered by redundant polling or repeated supervision.</w:t>
      </w:r>
    </w:p>
    <w:p w14:paraId="51E94B7C" w14:textId="77777777" w:rsidR="00634235" w:rsidRDefault="00000000">
      <w:pPr>
        <w:pStyle w:val="a0"/>
        <w:spacing w:after="40"/>
      </w:pPr>
      <w:r>
        <w:t>“ASTOP can reduce token cost” — only after accounting for observer overhead and preserving task quality.</w:t>
      </w:r>
    </w:p>
    <w:p w14:paraId="7E01A351" w14:textId="77777777" w:rsidR="00634235" w:rsidRDefault="00000000">
      <w:pPr>
        <w:pStyle w:val="a0"/>
        <w:spacing w:after="40"/>
      </w:pPr>
      <w:r>
        <w:t>“ASTOP is model-agnostic” — describe this only as a model-independent architectural intent, not as a blanket compatibility guarantee; integration must be validated for the customer’s stack.</w:t>
      </w:r>
    </w:p>
    <w:p w14:paraId="1FE36160" w14:textId="77777777" w:rsidR="00634235" w:rsidRDefault="00000000">
      <w:pPr>
        <w:pStyle w:val="a0"/>
        <w:spacing w:after="40"/>
      </w:pPr>
      <w:r>
        <w:t>“ASTOP works with SoL-Pi/Claude” — say “architecturally compatible in principle”; do not imply an already validated commercial integration unless it exists.</w:t>
      </w:r>
    </w:p>
    <w:p w14:paraId="711B5898" w14:textId="77777777" w:rsidR="00634235" w:rsidRDefault="00000000">
      <w:pPr>
        <w:pStyle w:val="21"/>
      </w:pPr>
      <w:r>
        <w:t>6.4 Claims the sales AI must not make</w:t>
      </w:r>
    </w:p>
    <w:tbl>
      <w:tblPr>
        <w:tblW w:w="0" w:type="auto"/>
        <w:jc w:val="center"/>
        <w:tblLayout w:type="fixed"/>
        <w:tblLook w:val="04A0" w:firstRow="1" w:lastRow="0" w:firstColumn="1" w:lastColumn="0" w:noHBand="0" w:noVBand="1"/>
      </w:tblPr>
      <w:tblGrid>
        <w:gridCol w:w="3816"/>
        <w:gridCol w:w="5760"/>
      </w:tblGrid>
      <w:tr w:rsidR="00634235" w14:paraId="36E01A8D" w14:textId="77777777">
        <w:trPr>
          <w:tblHeader/>
          <w:jc w:val="center"/>
        </w:trPr>
        <w:tc>
          <w:tcPr>
            <w:tcW w:w="3816" w:type="dxa"/>
            <w:shd w:val="clear" w:color="auto" w:fill="141414"/>
            <w:tcMar>
              <w:top w:w="95" w:type="dxa"/>
              <w:left w:w="105" w:type="dxa"/>
              <w:bottom w:w="95" w:type="dxa"/>
              <w:right w:w="105" w:type="dxa"/>
            </w:tcMar>
            <w:vAlign w:val="center"/>
          </w:tcPr>
          <w:p w14:paraId="4122AC51" w14:textId="77777777" w:rsidR="00634235" w:rsidRDefault="00000000">
            <w:pPr>
              <w:spacing w:after="0"/>
            </w:pPr>
            <w:r>
              <w:rPr>
                <w:b/>
                <w:color w:val="FFFFFF"/>
                <w:sz w:val="18"/>
              </w:rPr>
              <w:t>Do not say</w:t>
            </w:r>
          </w:p>
        </w:tc>
        <w:tc>
          <w:tcPr>
            <w:tcW w:w="5760" w:type="dxa"/>
            <w:shd w:val="clear" w:color="auto" w:fill="141414"/>
            <w:tcMar>
              <w:top w:w="95" w:type="dxa"/>
              <w:left w:w="105" w:type="dxa"/>
              <w:bottom w:w="95" w:type="dxa"/>
              <w:right w:w="105" w:type="dxa"/>
            </w:tcMar>
            <w:vAlign w:val="center"/>
          </w:tcPr>
          <w:p w14:paraId="6A3964E2" w14:textId="77777777" w:rsidR="00634235" w:rsidRDefault="00000000">
            <w:pPr>
              <w:spacing w:after="0"/>
            </w:pPr>
            <w:r>
              <w:rPr>
                <w:b/>
                <w:color w:val="FFFFFF"/>
                <w:sz w:val="18"/>
              </w:rPr>
              <w:t>Reason</w:t>
            </w:r>
          </w:p>
        </w:tc>
      </w:tr>
      <w:tr w:rsidR="00634235" w14:paraId="18A5D6D9" w14:textId="77777777">
        <w:trPr>
          <w:jc w:val="center"/>
        </w:trPr>
        <w:tc>
          <w:tcPr>
            <w:tcW w:w="3816" w:type="dxa"/>
            <w:shd w:val="clear" w:color="auto" w:fill="FFFFFF"/>
            <w:tcMar>
              <w:top w:w="95" w:type="dxa"/>
              <w:left w:w="105" w:type="dxa"/>
              <w:bottom w:w="95" w:type="dxa"/>
              <w:right w:w="105" w:type="dxa"/>
            </w:tcMar>
            <w:vAlign w:val="center"/>
          </w:tcPr>
          <w:p w14:paraId="4E677501" w14:textId="77777777" w:rsidR="00634235" w:rsidRDefault="00000000">
            <w:pPr>
              <w:spacing w:after="0"/>
            </w:pPr>
            <w:r>
              <w:rPr>
                <w:color w:val="141414"/>
                <w:sz w:val="18"/>
              </w:rPr>
              <w:t>“ASTOP is 51.9–84.5% cheaper than SoL-Pi.”</w:t>
            </w:r>
          </w:p>
        </w:tc>
        <w:tc>
          <w:tcPr>
            <w:tcW w:w="5760" w:type="dxa"/>
            <w:shd w:val="clear" w:color="auto" w:fill="FFFFFF"/>
            <w:tcMar>
              <w:top w:w="95" w:type="dxa"/>
              <w:left w:w="105" w:type="dxa"/>
              <w:bottom w:w="95" w:type="dxa"/>
              <w:right w:w="105" w:type="dxa"/>
            </w:tcMar>
            <w:vAlign w:val="center"/>
          </w:tcPr>
          <w:p w14:paraId="720082C6" w14:textId="77777777" w:rsidR="00634235" w:rsidRDefault="00000000">
            <w:pPr>
              <w:spacing w:after="0"/>
            </w:pPr>
            <w:r>
              <w:rPr>
                <w:color w:val="141414"/>
                <w:sz w:val="18"/>
              </w:rPr>
              <w:t>The ASTOP/PRISM and SoL-Pi figures use different tasks, models and baselines.</w:t>
            </w:r>
          </w:p>
        </w:tc>
      </w:tr>
      <w:tr w:rsidR="00634235" w14:paraId="00B1CACB" w14:textId="77777777">
        <w:trPr>
          <w:jc w:val="center"/>
        </w:trPr>
        <w:tc>
          <w:tcPr>
            <w:tcW w:w="3816" w:type="dxa"/>
            <w:shd w:val="clear" w:color="auto" w:fill="FFFFFF"/>
            <w:tcMar>
              <w:top w:w="95" w:type="dxa"/>
              <w:left w:w="105" w:type="dxa"/>
              <w:bottom w:w="95" w:type="dxa"/>
              <w:right w:w="105" w:type="dxa"/>
            </w:tcMar>
            <w:vAlign w:val="center"/>
          </w:tcPr>
          <w:p w14:paraId="2D30127B" w14:textId="77777777" w:rsidR="00634235" w:rsidRDefault="00000000">
            <w:pPr>
              <w:spacing w:after="0"/>
            </w:pPr>
            <w:r>
              <w:rPr>
                <w:color w:val="141414"/>
                <w:sz w:val="18"/>
              </w:rPr>
              <w:t>“ASTOP always saves 51.9–84.5%.”</w:t>
            </w:r>
          </w:p>
        </w:tc>
        <w:tc>
          <w:tcPr>
            <w:tcW w:w="5760" w:type="dxa"/>
            <w:shd w:val="clear" w:color="auto" w:fill="FFFFFF"/>
            <w:tcMar>
              <w:top w:w="95" w:type="dxa"/>
              <w:left w:w="105" w:type="dxa"/>
              <w:bottom w:w="95" w:type="dxa"/>
              <w:right w:w="105" w:type="dxa"/>
            </w:tcMar>
            <w:vAlign w:val="center"/>
          </w:tcPr>
          <w:p w14:paraId="2841D5BF" w14:textId="77777777" w:rsidR="00634235" w:rsidRDefault="00000000">
            <w:pPr>
              <w:spacing w:after="0"/>
            </w:pPr>
            <w:r>
              <w:rPr>
                <w:color w:val="141414"/>
                <w:sz w:val="18"/>
              </w:rPr>
              <w:t>The figure is internal evidence from specific supervision experiments, not a deployment guarantee.</w:t>
            </w:r>
          </w:p>
        </w:tc>
      </w:tr>
      <w:tr w:rsidR="00634235" w14:paraId="3A89506E" w14:textId="77777777">
        <w:trPr>
          <w:jc w:val="center"/>
        </w:trPr>
        <w:tc>
          <w:tcPr>
            <w:tcW w:w="3816" w:type="dxa"/>
            <w:shd w:val="clear" w:color="auto" w:fill="FFFFFF"/>
            <w:tcMar>
              <w:top w:w="95" w:type="dxa"/>
              <w:left w:w="105" w:type="dxa"/>
              <w:bottom w:w="95" w:type="dxa"/>
              <w:right w:w="105" w:type="dxa"/>
            </w:tcMar>
            <w:vAlign w:val="center"/>
          </w:tcPr>
          <w:p w14:paraId="3FBD8F62" w14:textId="77777777" w:rsidR="00634235" w:rsidRDefault="00000000">
            <w:pPr>
              <w:spacing w:after="0"/>
            </w:pPr>
            <w:r>
              <w:rPr>
                <w:color w:val="141414"/>
                <w:sz w:val="18"/>
              </w:rPr>
              <w:t>“SoL-Pi preserves full quality.”</w:t>
            </w:r>
          </w:p>
        </w:tc>
        <w:tc>
          <w:tcPr>
            <w:tcW w:w="5760" w:type="dxa"/>
            <w:shd w:val="clear" w:color="auto" w:fill="FFFFFF"/>
            <w:tcMar>
              <w:top w:w="95" w:type="dxa"/>
              <w:left w:w="105" w:type="dxa"/>
              <w:bottom w:w="95" w:type="dxa"/>
              <w:right w:w="105" w:type="dxa"/>
            </w:tcMar>
            <w:vAlign w:val="center"/>
          </w:tcPr>
          <w:p w14:paraId="663280EF" w14:textId="77777777" w:rsidR="00634235" w:rsidRDefault="00000000">
            <w:pPr>
              <w:spacing w:after="0"/>
            </w:pPr>
            <w:r>
              <w:rPr>
                <w:color w:val="141414"/>
                <w:sz w:val="18"/>
              </w:rPr>
              <w:t>NVIDIA reports roughly 94% of Pi’s average EdgeBench score and 15/63 vs. Pi 18/63 on Terminal-Bench 4.</w:t>
            </w:r>
          </w:p>
        </w:tc>
      </w:tr>
      <w:tr w:rsidR="00634235" w14:paraId="448BC71D" w14:textId="77777777">
        <w:trPr>
          <w:jc w:val="center"/>
        </w:trPr>
        <w:tc>
          <w:tcPr>
            <w:tcW w:w="3816" w:type="dxa"/>
            <w:shd w:val="clear" w:color="auto" w:fill="FFFFFF"/>
            <w:tcMar>
              <w:top w:w="95" w:type="dxa"/>
              <w:left w:w="105" w:type="dxa"/>
              <w:bottom w:w="95" w:type="dxa"/>
              <w:right w:w="105" w:type="dxa"/>
            </w:tcMar>
            <w:vAlign w:val="center"/>
          </w:tcPr>
          <w:p w14:paraId="40DF4C40" w14:textId="77777777" w:rsidR="00634235" w:rsidRDefault="00000000">
            <w:pPr>
              <w:spacing w:after="0"/>
            </w:pPr>
            <w:r>
              <w:rPr>
                <w:color w:val="141414"/>
                <w:sz w:val="18"/>
              </w:rPr>
              <w:t>“Caching cannot reduce agent work.”</w:t>
            </w:r>
          </w:p>
        </w:tc>
        <w:tc>
          <w:tcPr>
            <w:tcW w:w="5760" w:type="dxa"/>
            <w:shd w:val="clear" w:color="auto" w:fill="FFFFFF"/>
            <w:tcMar>
              <w:top w:w="95" w:type="dxa"/>
              <w:left w:w="105" w:type="dxa"/>
              <w:bottom w:w="95" w:type="dxa"/>
              <w:right w:w="105" w:type="dxa"/>
            </w:tcMar>
            <w:vAlign w:val="center"/>
          </w:tcPr>
          <w:p w14:paraId="517D073E" w14:textId="77777777" w:rsidR="00634235" w:rsidRDefault="00000000">
            <w:pPr>
              <w:spacing w:after="0"/>
            </w:pPr>
            <w:r>
              <w:rPr>
                <w:color w:val="141414"/>
                <w:sz w:val="18"/>
              </w:rPr>
              <w:t>Anthropic effort and prompt cleanup can reduce tool calls and duplicated reasoning; caching is only one lever.</w:t>
            </w:r>
          </w:p>
        </w:tc>
      </w:tr>
      <w:tr w:rsidR="00634235" w14:paraId="490EA0B1" w14:textId="77777777">
        <w:trPr>
          <w:jc w:val="center"/>
        </w:trPr>
        <w:tc>
          <w:tcPr>
            <w:tcW w:w="3816" w:type="dxa"/>
            <w:shd w:val="clear" w:color="auto" w:fill="FFFFFF"/>
            <w:tcMar>
              <w:top w:w="95" w:type="dxa"/>
              <w:left w:w="105" w:type="dxa"/>
              <w:bottom w:w="95" w:type="dxa"/>
              <w:right w:w="105" w:type="dxa"/>
            </w:tcMar>
            <w:vAlign w:val="center"/>
          </w:tcPr>
          <w:p w14:paraId="41628B76" w14:textId="77777777" w:rsidR="00634235" w:rsidRDefault="00000000">
            <w:pPr>
              <w:spacing w:after="0"/>
            </w:pPr>
            <w:r>
              <w:rPr>
                <w:color w:val="141414"/>
                <w:sz w:val="18"/>
              </w:rPr>
              <w:t>“ASTOP makes caching or context management unnecessary.”</w:t>
            </w:r>
          </w:p>
        </w:tc>
        <w:tc>
          <w:tcPr>
            <w:tcW w:w="5760" w:type="dxa"/>
            <w:shd w:val="clear" w:color="auto" w:fill="FFFFFF"/>
            <w:tcMar>
              <w:top w:w="95" w:type="dxa"/>
              <w:left w:w="105" w:type="dxa"/>
              <w:bottom w:w="95" w:type="dxa"/>
              <w:right w:w="105" w:type="dxa"/>
            </w:tcMar>
            <w:vAlign w:val="center"/>
          </w:tcPr>
          <w:p w14:paraId="7C8D053B" w14:textId="77777777" w:rsidR="00634235" w:rsidRDefault="00000000">
            <w:pPr>
              <w:spacing w:after="0"/>
            </w:pPr>
            <w:r>
              <w:rPr>
                <w:color w:val="141414"/>
                <w:sz w:val="18"/>
              </w:rPr>
              <w:t>These mechanisms address different waste and can be complementary.</w:t>
            </w:r>
          </w:p>
        </w:tc>
      </w:tr>
      <w:tr w:rsidR="00634235" w14:paraId="6A3C132E" w14:textId="77777777">
        <w:trPr>
          <w:jc w:val="center"/>
        </w:trPr>
        <w:tc>
          <w:tcPr>
            <w:tcW w:w="3816" w:type="dxa"/>
            <w:shd w:val="clear" w:color="auto" w:fill="FFFFFF"/>
            <w:tcMar>
              <w:top w:w="95" w:type="dxa"/>
              <w:left w:w="105" w:type="dxa"/>
              <w:bottom w:w="95" w:type="dxa"/>
              <w:right w:w="105" w:type="dxa"/>
            </w:tcMar>
            <w:vAlign w:val="center"/>
          </w:tcPr>
          <w:p w14:paraId="513794AB" w14:textId="77777777" w:rsidR="00634235" w:rsidRDefault="00000000">
            <w:pPr>
              <w:spacing w:after="0"/>
            </w:pPr>
            <w:r>
              <w:rPr>
                <w:color w:val="141414"/>
                <w:sz w:val="18"/>
              </w:rPr>
              <w:t xml:space="preserve">“Combined savings equal the sum of the </w:t>
            </w:r>
            <w:r>
              <w:rPr>
                <w:color w:val="141414"/>
                <w:sz w:val="18"/>
              </w:rPr>
              <w:lastRenderedPageBreak/>
              <w:t>published percentages.”</w:t>
            </w:r>
          </w:p>
        </w:tc>
        <w:tc>
          <w:tcPr>
            <w:tcW w:w="5760" w:type="dxa"/>
            <w:shd w:val="clear" w:color="auto" w:fill="FFFFFF"/>
            <w:tcMar>
              <w:top w:w="95" w:type="dxa"/>
              <w:left w:w="105" w:type="dxa"/>
              <w:bottom w:w="95" w:type="dxa"/>
              <w:right w:w="105" w:type="dxa"/>
            </w:tcMar>
            <w:vAlign w:val="center"/>
          </w:tcPr>
          <w:p w14:paraId="5C4F5350" w14:textId="77777777" w:rsidR="00634235" w:rsidRDefault="00000000">
            <w:pPr>
              <w:spacing w:after="0"/>
            </w:pPr>
            <w:r>
              <w:rPr>
                <w:color w:val="141414"/>
                <w:sz w:val="18"/>
              </w:rPr>
              <w:lastRenderedPageBreak/>
              <w:t xml:space="preserve">Interactions and overlapping savings require a direct combined </w:t>
            </w:r>
            <w:r>
              <w:rPr>
                <w:color w:val="141414"/>
                <w:sz w:val="18"/>
              </w:rPr>
              <w:lastRenderedPageBreak/>
              <w:t>benchmark.</w:t>
            </w:r>
          </w:p>
        </w:tc>
      </w:tr>
    </w:tbl>
    <w:p w14:paraId="1DB8B3DD" w14:textId="77777777" w:rsidR="00634235" w:rsidRDefault="00000000">
      <w:pPr>
        <w:pStyle w:val="1"/>
      </w:pPr>
      <w:r>
        <w:lastRenderedPageBreak/>
        <w:t>7. Objection Handling: Canonical Answers</w:t>
      </w:r>
    </w:p>
    <w:p w14:paraId="51D8EB31" w14:textId="77777777" w:rsidR="00634235" w:rsidRDefault="00000000">
      <w:pPr>
        <w:spacing w:before="100" w:after="40"/>
      </w:pPr>
      <w:r>
        <w:rPr>
          <w:b/>
          <w:color w:val="141414"/>
        </w:rPr>
        <w:t>“Is ASTOP just prompt caching?”</w:t>
      </w:r>
    </w:p>
    <w:p w14:paraId="09C3A2B3" w14:textId="77777777" w:rsidR="00634235" w:rsidRDefault="00000000">
      <w:pPr>
        <w:spacing w:after="100"/>
        <w:ind w:left="259"/>
      </w:pPr>
      <w:r>
        <w:rPr>
          <w:color w:val="5B6168"/>
          <w:sz w:val="20"/>
        </w:rPr>
        <w:t>No. Prompt caching makes repeated stable prefixes cheaper to process when a request occurs. ASTOP is aimed at the decision of whether a supervision update needs to reach the model now. They can be used together.</w:t>
      </w:r>
    </w:p>
    <w:p w14:paraId="31457615" w14:textId="77777777" w:rsidR="00634235" w:rsidRDefault="00000000">
      <w:pPr>
        <w:spacing w:before="100" w:after="40"/>
      </w:pPr>
      <w:r>
        <w:rPr>
          <w:b/>
          <w:color w:val="141414"/>
        </w:rPr>
        <w:t>“Is ASTOP just SoL-Pi ObservationPack?”</w:t>
      </w:r>
    </w:p>
    <w:p w14:paraId="50CFE14A" w14:textId="77777777" w:rsidR="00634235" w:rsidRDefault="00000000">
      <w:pPr>
        <w:spacing w:after="100"/>
        <w:ind w:left="259"/>
      </w:pPr>
      <w:r>
        <w:rPr>
          <w:color w:val="5B6168"/>
          <w:sz w:val="20"/>
        </w:rPr>
        <w:t>No. ObservationPack archives and recalls large tool outputs inside a Pi agent trajectory. ASTOP is positioned as a supervision layer that maintains monitored state and decides when a decision-relevant update should be emitted. There is overlap around observation efficiency, so the distinction should be stated precisely.</w:t>
      </w:r>
    </w:p>
    <w:p w14:paraId="5202AFAB" w14:textId="77777777" w:rsidR="00634235" w:rsidRDefault="00000000">
      <w:pPr>
        <w:spacing w:before="100" w:after="40"/>
      </w:pPr>
      <w:r>
        <w:rPr>
          <w:b/>
          <w:color w:val="141414"/>
        </w:rPr>
        <w:t>“Why not just use webhooks?”</w:t>
      </w:r>
    </w:p>
    <w:p w14:paraId="4C1A2084" w14:textId="77777777" w:rsidR="00634235" w:rsidRDefault="00000000">
      <w:pPr>
        <w:spacing w:after="100"/>
        <w:ind w:left="259"/>
      </w:pPr>
      <w:r>
        <w:rPr>
          <w:color w:val="5B6168"/>
          <w:sz w:val="20"/>
        </w:rPr>
        <w:t>If the source system already emits exactly the domain events needed for decisions, ASTOP’s incremental value may be smaller. ASTOP is more relevant when raw events or polling results still need stateful filtering, aggregation, or decision-relevance selection. A customer assessment should determine which case applies.</w:t>
      </w:r>
    </w:p>
    <w:p w14:paraId="215E494A" w14:textId="77777777" w:rsidR="00634235" w:rsidRDefault="00000000">
      <w:pPr>
        <w:spacing w:before="100" w:after="40"/>
      </w:pPr>
      <w:r>
        <w:rPr>
          <w:b/>
          <w:color w:val="141414"/>
        </w:rPr>
        <w:t>“Does the observer itself cost compute?”</w:t>
      </w:r>
    </w:p>
    <w:p w14:paraId="392E4D7C" w14:textId="77777777" w:rsidR="00634235" w:rsidRDefault="00000000">
      <w:pPr>
        <w:spacing w:after="100"/>
        <w:ind w:left="259"/>
      </w:pPr>
      <w:r>
        <w:rPr>
          <w:color w:val="5B6168"/>
          <w:sz w:val="20"/>
        </w:rPr>
        <w:t>Yes. The correct economic test is net savings after observer compute, storage, integration and failure-handling overhead. Token reduction alone is not sufficient.</w:t>
      </w:r>
    </w:p>
    <w:p w14:paraId="405F7154" w14:textId="77777777" w:rsidR="00634235" w:rsidRDefault="00000000">
      <w:pPr>
        <w:spacing w:before="100" w:after="40"/>
      </w:pPr>
      <w:r>
        <w:rPr>
          <w:b/>
          <w:color w:val="141414"/>
        </w:rPr>
        <w:t>“Will ASTOP improve accuracy?”</w:t>
      </w:r>
    </w:p>
    <w:p w14:paraId="288B70D8" w14:textId="77777777" w:rsidR="00634235" w:rsidRDefault="00000000">
      <w:pPr>
        <w:spacing w:after="100"/>
        <w:ind w:left="259"/>
      </w:pPr>
      <w:r>
        <w:rPr>
          <w:color w:val="5B6168"/>
          <w:sz w:val="20"/>
        </w:rPr>
        <w:t>Its core goal is not to make the underlying model smarter. The goal is to preserve decision-relevant information while eliminating redundant supervision. Accuracy or decision fidelity must be tested as a guardrail.</w:t>
      </w:r>
    </w:p>
    <w:p w14:paraId="0874D355" w14:textId="77777777" w:rsidR="00634235" w:rsidRDefault="00000000">
      <w:pPr>
        <w:spacing w:before="100" w:after="40"/>
      </w:pPr>
      <w:r>
        <w:rPr>
          <w:b/>
          <w:color w:val="141414"/>
        </w:rPr>
        <w:t>“What if the state changes continuously?”</w:t>
      </w:r>
    </w:p>
    <w:p w14:paraId="04DC1496" w14:textId="77777777" w:rsidR="00634235" w:rsidRDefault="00000000">
      <w:pPr>
        <w:spacing w:after="100"/>
        <w:ind w:left="259"/>
      </w:pPr>
      <w:r>
        <w:rPr>
          <w:color w:val="5B6168"/>
          <w:sz w:val="20"/>
        </w:rPr>
        <w:t>Then ASTOP may have less opportunity to suppress reports. Its strongest economics occur when observation frequency is materially higher than the frequency of meaningful decision changes.</w:t>
      </w:r>
    </w:p>
    <w:p w14:paraId="0A0E7485" w14:textId="77777777" w:rsidR="00634235" w:rsidRDefault="00000000">
      <w:pPr>
        <w:spacing w:before="100" w:after="40"/>
      </w:pPr>
      <w:r>
        <w:rPr>
          <w:b/>
          <w:color w:val="141414"/>
        </w:rPr>
        <w:t>“Which should I deploy: Anthropic optimization, SoL-Pi, or ASTOP?”</w:t>
      </w:r>
    </w:p>
    <w:p w14:paraId="6798C45E" w14:textId="77777777" w:rsidR="00634235" w:rsidRDefault="00000000">
      <w:pPr>
        <w:spacing w:after="100"/>
        <w:ind w:left="259"/>
      </w:pPr>
      <w:r>
        <w:rPr>
          <w:color w:val="5B6168"/>
          <w:sz w:val="20"/>
        </w:rPr>
        <w:t>Choose based on the dominant waste. If request payload and reasoning settings dominate, start with model/API optimization. If a Pi coding agent repeats actions, context or observations, SoL-Pi is directly relevant. If repeated supervision of external state dominates, ASTOP is the relevant layer. In many systems the answer can be more than one.</w:t>
      </w:r>
    </w:p>
    <w:p w14:paraId="6AB230DF" w14:textId="77777777" w:rsidR="00634235" w:rsidRDefault="00000000">
      <w:r>
        <w:br w:type="page"/>
      </w:r>
    </w:p>
    <w:p w14:paraId="5109DC56" w14:textId="77777777" w:rsidR="00634235" w:rsidRDefault="00000000">
      <w:pPr>
        <w:pStyle w:val="1"/>
      </w:pPr>
      <w:r>
        <w:lastRenderedPageBreak/>
        <w:t>8. Customer Evaluation Framework</w:t>
      </w:r>
    </w:p>
    <w:p w14:paraId="0256BCB7" w14:textId="77777777" w:rsidR="00634235" w:rsidRDefault="00000000">
      <w:r>
        <w:t>The sales platform should move from comparison to measurement when a customer asks “How much can we save?” The appropriate answer is a workload-specific evaluation, not a benchmark extrapolation.</w:t>
      </w:r>
    </w:p>
    <w:p w14:paraId="54927A6B" w14:textId="77777777" w:rsidR="00634235" w:rsidRDefault="00000000">
      <w:pPr>
        <w:pStyle w:val="21"/>
      </w:pPr>
      <w:r>
        <w:t>8.1 Minimum baseline metrics</w:t>
      </w:r>
    </w:p>
    <w:p w14:paraId="126F2EB9" w14:textId="77777777" w:rsidR="00634235" w:rsidRDefault="00000000">
      <w:pPr>
        <w:pStyle w:val="a0"/>
        <w:spacing w:after="40"/>
      </w:pPr>
      <w:r>
        <w:t>Number of model requests and model turns</w:t>
      </w:r>
    </w:p>
    <w:p w14:paraId="4E601D23" w14:textId="77777777" w:rsidR="00634235" w:rsidRDefault="00000000">
      <w:pPr>
        <w:pStyle w:val="a0"/>
        <w:spacing w:after="40"/>
      </w:pPr>
      <w:r>
        <w:t>Input, cached-input, output and reasoning tokens where exposed</w:t>
      </w:r>
    </w:p>
    <w:p w14:paraId="584AAED1" w14:textId="77777777" w:rsidR="00634235" w:rsidRDefault="00000000">
      <w:pPr>
        <w:pStyle w:val="a0"/>
        <w:spacing w:after="40"/>
      </w:pPr>
      <w:r>
        <w:t>Provider-equivalent model cost</w:t>
      </w:r>
    </w:p>
    <w:p w14:paraId="44215F5E" w14:textId="77777777" w:rsidR="00634235" w:rsidRDefault="00000000">
      <w:pPr>
        <w:pStyle w:val="a0"/>
        <w:spacing w:after="40"/>
      </w:pPr>
      <w:r>
        <w:t>End-to-end latency and time-to-detection of critical events</w:t>
      </w:r>
    </w:p>
    <w:p w14:paraId="4F547203" w14:textId="77777777" w:rsidR="00634235" w:rsidRDefault="00000000">
      <w:pPr>
        <w:pStyle w:val="a0"/>
        <w:spacing w:after="40"/>
      </w:pPr>
      <w:r>
        <w:t>Task success / decision correctness</w:t>
      </w:r>
    </w:p>
    <w:p w14:paraId="75A6C743" w14:textId="77777777" w:rsidR="00634235" w:rsidRDefault="00000000">
      <w:pPr>
        <w:pStyle w:val="a0"/>
        <w:spacing w:after="40"/>
      </w:pPr>
      <w:r>
        <w:t>Critical-event recall and false-suppression rate</w:t>
      </w:r>
    </w:p>
    <w:p w14:paraId="1A373DF1" w14:textId="77777777" w:rsidR="00634235" w:rsidRDefault="00000000">
      <w:pPr>
        <w:pStyle w:val="a0"/>
        <w:spacing w:after="40"/>
      </w:pPr>
      <w:r>
        <w:t>Observation payload volume</w:t>
      </w:r>
    </w:p>
    <w:p w14:paraId="54500FE8" w14:textId="77777777" w:rsidR="00634235" w:rsidRDefault="00000000">
      <w:pPr>
        <w:pStyle w:val="a0"/>
        <w:spacing w:after="40"/>
      </w:pPr>
      <w:r>
        <w:t>Observer compute, storage and integration overhead</w:t>
      </w:r>
    </w:p>
    <w:p w14:paraId="1E7F0A74" w14:textId="77777777" w:rsidR="00634235" w:rsidRDefault="00000000">
      <w:pPr>
        <w:pStyle w:val="21"/>
      </w:pPr>
      <w:r>
        <w:t>8.2 Recommended test arms</w:t>
      </w:r>
    </w:p>
    <w:p w14:paraId="0AC0CF72" w14:textId="77777777" w:rsidR="00634235" w:rsidRDefault="00000000">
      <w:pPr>
        <w:pStyle w:val="a"/>
        <w:spacing w:after="40"/>
      </w:pPr>
      <w:r>
        <w:t>Current customer baseline.</w:t>
      </w:r>
    </w:p>
    <w:p w14:paraId="21E310F2" w14:textId="77777777" w:rsidR="00634235" w:rsidRDefault="00000000">
      <w:pPr>
        <w:pStyle w:val="a"/>
        <w:spacing w:after="40"/>
      </w:pPr>
      <w:r>
        <w:t>Baseline + current provider-level cost optimizations (for Claude: caching/prompt/effort configuration as applicable).</w:t>
      </w:r>
    </w:p>
    <w:p w14:paraId="1F0DE729" w14:textId="77777777" w:rsidR="00634235" w:rsidRDefault="00000000">
      <w:pPr>
        <w:pStyle w:val="a"/>
        <w:spacing w:after="40"/>
      </w:pPr>
      <w:r>
        <w:t>Baseline + SoL-Pi where the customer actually uses a supported Pi workflow.</w:t>
      </w:r>
    </w:p>
    <w:p w14:paraId="7369E22A" w14:textId="77777777" w:rsidR="00634235" w:rsidRDefault="00000000">
      <w:pPr>
        <w:pStyle w:val="a"/>
        <w:spacing w:after="40"/>
      </w:pPr>
      <w:r>
        <w:t>Baseline + ASTOP supervision layer.</w:t>
      </w:r>
    </w:p>
    <w:p w14:paraId="40165008" w14:textId="77777777" w:rsidR="00634235" w:rsidRDefault="00000000">
      <w:pPr>
        <w:pStyle w:val="a"/>
        <w:spacing w:after="40"/>
      </w:pPr>
      <w:r>
        <w:t>Combined configuration where technically applicable.</w:t>
      </w:r>
    </w:p>
    <w:p w14:paraId="3309169A" w14:textId="77777777" w:rsidR="00634235" w:rsidRDefault="00000000">
      <w:pPr>
        <w:pStyle w:val="21"/>
      </w:pPr>
      <w:r>
        <w:t>8.3 Decision rule</w:t>
      </w:r>
    </w:p>
    <w:tbl>
      <w:tblPr>
        <w:tblW w:w="0" w:type="auto"/>
        <w:jc w:val="center"/>
        <w:tblLayout w:type="fixed"/>
        <w:tblLook w:val="04A0" w:firstRow="1" w:lastRow="0" w:firstColumn="1" w:lastColumn="0" w:noHBand="0" w:noVBand="1"/>
      </w:tblPr>
      <w:tblGrid>
        <w:gridCol w:w="9994"/>
      </w:tblGrid>
      <w:tr w:rsidR="00634235" w14:paraId="0ACB52C8" w14:textId="77777777">
        <w:trPr>
          <w:tblHeader/>
          <w:jc w:val="center"/>
        </w:trPr>
        <w:tc>
          <w:tcPr>
            <w:tcW w:w="9994" w:type="dxa"/>
            <w:tcBorders>
              <w:left w:val="single" w:sz="16" w:space="0" w:color="77B900"/>
            </w:tcBorders>
            <w:shd w:val="clear" w:color="auto" w:fill="F3F5F3"/>
            <w:tcMar>
              <w:top w:w="140" w:type="dxa"/>
              <w:left w:w="150" w:type="dxa"/>
              <w:bottom w:w="140" w:type="dxa"/>
              <w:right w:w="150" w:type="dxa"/>
            </w:tcMar>
          </w:tcPr>
          <w:p w14:paraId="7EB4E7A9" w14:textId="77777777" w:rsidR="00634235" w:rsidRDefault="00000000">
            <w:pPr>
              <w:spacing w:after="60"/>
            </w:pPr>
            <w:r>
              <w:rPr>
                <w:b/>
                <w:color w:val="141414"/>
                <w:sz w:val="20"/>
              </w:rPr>
              <w:t>VALIDATION PRINCIPLE</w:t>
            </w:r>
          </w:p>
          <w:p w14:paraId="7D2836CD" w14:textId="77777777" w:rsidR="00634235" w:rsidRDefault="00000000">
            <w:pPr>
              <w:spacing w:after="0"/>
            </w:pPr>
            <w:r>
              <w:rPr>
                <w:color w:val="141414"/>
                <w:sz w:val="20"/>
              </w:rPr>
              <w:t>Accept efficiency gains only if the customer’s capability and safety guardrails remain satisfied. At minimum, measure critical-event preservation, decision fidelity/task success, latency, and net cost after observer overhead. This aligns with the logic used by both ASTOP/PRISM framing and SoL-Pi’s capability-floor approach. [I1][N1]</w:t>
            </w:r>
          </w:p>
        </w:tc>
      </w:tr>
    </w:tbl>
    <w:p w14:paraId="35338352" w14:textId="77777777" w:rsidR="00634235" w:rsidRDefault="00634235">
      <w:pPr>
        <w:spacing w:after="20"/>
      </w:pPr>
    </w:p>
    <w:p w14:paraId="1441B144" w14:textId="77777777" w:rsidR="00634235" w:rsidRDefault="00000000">
      <w:pPr>
        <w:pStyle w:val="1"/>
      </w:pPr>
      <w:r>
        <w:t>9. Retrieval Keys for the AI-Powered Sales Platform</w:t>
      </w:r>
    </w:p>
    <w:tbl>
      <w:tblPr>
        <w:tblW w:w="0" w:type="auto"/>
        <w:jc w:val="center"/>
        <w:tblLayout w:type="fixed"/>
        <w:tblLook w:val="04A0" w:firstRow="1" w:lastRow="0" w:firstColumn="1" w:lastColumn="0" w:noHBand="0" w:noVBand="1"/>
      </w:tblPr>
      <w:tblGrid>
        <w:gridCol w:w="2880"/>
        <w:gridCol w:w="6696"/>
      </w:tblGrid>
      <w:tr w:rsidR="00634235" w14:paraId="57B37F66" w14:textId="77777777">
        <w:trPr>
          <w:tblHeader/>
          <w:jc w:val="center"/>
        </w:trPr>
        <w:tc>
          <w:tcPr>
            <w:tcW w:w="2880" w:type="dxa"/>
            <w:shd w:val="clear" w:color="auto" w:fill="141414"/>
            <w:tcMar>
              <w:top w:w="95" w:type="dxa"/>
              <w:left w:w="105" w:type="dxa"/>
              <w:bottom w:w="95" w:type="dxa"/>
              <w:right w:w="105" w:type="dxa"/>
            </w:tcMar>
            <w:vAlign w:val="center"/>
          </w:tcPr>
          <w:p w14:paraId="373A3454" w14:textId="77777777" w:rsidR="00634235" w:rsidRDefault="00000000">
            <w:pPr>
              <w:spacing w:after="0"/>
            </w:pPr>
            <w:r>
              <w:rPr>
                <w:b/>
                <w:color w:val="FFFFFF"/>
                <w:sz w:val="18"/>
              </w:rPr>
              <w:t>User intent / trigger</w:t>
            </w:r>
          </w:p>
        </w:tc>
        <w:tc>
          <w:tcPr>
            <w:tcW w:w="6696" w:type="dxa"/>
            <w:shd w:val="clear" w:color="auto" w:fill="141414"/>
            <w:tcMar>
              <w:top w:w="95" w:type="dxa"/>
              <w:left w:w="105" w:type="dxa"/>
              <w:bottom w:w="95" w:type="dxa"/>
              <w:right w:w="105" w:type="dxa"/>
            </w:tcMar>
            <w:vAlign w:val="center"/>
          </w:tcPr>
          <w:p w14:paraId="4EF63DF3" w14:textId="77777777" w:rsidR="00634235" w:rsidRDefault="00000000">
            <w:pPr>
              <w:spacing w:after="0"/>
            </w:pPr>
            <w:r>
              <w:rPr>
                <w:b/>
                <w:color w:val="FFFFFF"/>
                <w:sz w:val="18"/>
              </w:rPr>
              <w:t>Preferred answer frame</w:t>
            </w:r>
          </w:p>
        </w:tc>
      </w:tr>
      <w:tr w:rsidR="00634235" w14:paraId="36643EA9" w14:textId="77777777">
        <w:trPr>
          <w:jc w:val="center"/>
        </w:trPr>
        <w:tc>
          <w:tcPr>
            <w:tcW w:w="2880" w:type="dxa"/>
            <w:shd w:val="clear" w:color="auto" w:fill="FFFFFF"/>
            <w:tcMar>
              <w:top w:w="95" w:type="dxa"/>
              <w:left w:w="105" w:type="dxa"/>
              <w:bottom w:w="95" w:type="dxa"/>
              <w:right w:w="105" w:type="dxa"/>
            </w:tcMar>
            <w:vAlign w:val="center"/>
          </w:tcPr>
          <w:p w14:paraId="1C2B4A04" w14:textId="77777777" w:rsidR="00634235" w:rsidRDefault="00000000">
            <w:pPr>
              <w:spacing w:after="0"/>
            </w:pPr>
            <w:r>
              <w:rPr>
                <w:color w:val="141414"/>
                <w:sz w:val="18"/>
              </w:rPr>
              <w:t>“What is ASTOP?”</w:t>
            </w:r>
          </w:p>
        </w:tc>
        <w:tc>
          <w:tcPr>
            <w:tcW w:w="6696" w:type="dxa"/>
            <w:shd w:val="clear" w:color="auto" w:fill="FFFFFF"/>
            <w:tcMar>
              <w:top w:w="95" w:type="dxa"/>
              <w:left w:w="105" w:type="dxa"/>
              <w:bottom w:w="95" w:type="dxa"/>
              <w:right w:w="105" w:type="dxa"/>
            </w:tcMar>
            <w:vAlign w:val="center"/>
          </w:tcPr>
          <w:p w14:paraId="43C34CC0" w14:textId="77777777" w:rsidR="00634235" w:rsidRDefault="00000000">
            <w:pPr>
              <w:spacing w:after="0"/>
            </w:pPr>
            <w:r>
              <w:rPr>
                <w:color w:val="141414"/>
                <w:sz w:val="18"/>
              </w:rPr>
              <w:t>Independent supervision/observation layer: maintain state, report decision-relevant changes at meaningful times, preserve required events.</w:t>
            </w:r>
          </w:p>
        </w:tc>
      </w:tr>
      <w:tr w:rsidR="00634235" w14:paraId="6D5E35DC" w14:textId="77777777">
        <w:trPr>
          <w:jc w:val="center"/>
        </w:trPr>
        <w:tc>
          <w:tcPr>
            <w:tcW w:w="2880" w:type="dxa"/>
            <w:shd w:val="clear" w:color="auto" w:fill="FFFFFF"/>
            <w:tcMar>
              <w:top w:w="95" w:type="dxa"/>
              <w:left w:w="105" w:type="dxa"/>
              <w:bottom w:w="95" w:type="dxa"/>
              <w:right w:w="105" w:type="dxa"/>
            </w:tcMar>
            <w:vAlign w:val="center"/>
          </w:tcPr>
          <w:p w14:paraId="3EC4BC3A" w14:textId="77777777" w:rsidR="00634235" w:rsidRDefault="00000000">
            <w:pPr>
              <w:spacing w:after="0"/>
            </w:pPr>
            <w:r>
              <w:rPr>
                <w:color w:val="141414"/>
                <w:sz w:val="18"/>
              </w:rPr>
              <w:t>“ASTOP vs Anthropic”</w:t>
            </w:r>
          </w:p>
        </w:tc>
        <w:tc>
          <w:tcPr>
            <w:tcW w:w="6696" w:type="dxa"/>
            <w:shd w:val="clear" w:color="auto" w:fill="FFFFFF"/>
            <w:tcMar>
              <w:top w:w="95" w:type="dxa"/>
              <w:left w:w="105" w:type="dxa"/>
              <w:bottom w:w="95" w:type="dxa"/>
              <w:right w:w="105" w:type="dxa"/>
            </w:tcMar>
            <w:vAlign w:val="center"/>
          </w:tcPr>
          <w:p w14:paraId="1C75C6F4" w14:textId="77777777" w:rsidR="00634235" w:rsidRDefault="00000000">
            <w:pPr>
              <w:spacing w:after="0"/>
            </w:pPr>
            <w:r>
              <w:rPr>
                <w:color w:val="141414"/>
                <w:sz w:val="18"/>
              </w:rPr>
              <w:t>Request optimization vs. supervision gating. Anthropic makes necessary requests cheaper/better configured; ASTOP may prevent some redundant supervision calls from occurring.</w:t>
            </w:r>
          </w:p>
        </w:tc>
      </w:tr>
      <w:tr w:rsidR="00634235" w14:paraId="6BCD5052" w14:textId="77777777">
        <w:trPr>
          <w:jc w:val="center"/>
        </w:trPr>
        <w:tc>
          <w:tcPr>
            <w:tcW w:w="2880" w:type="dxa"/>
            <w:shd w:val="clear" w:color="auto" w:fill="FFFFFF"/>
            <w:tcMar>
              <w:top w:w="95" w:type="dxa"/>
              <w:left w:w="105" w:type="dxa"/>
              <w:bottom w:w="95" w:type="dxa"/>
              <w:right w:w="105" w:type="dxa"/>
            </w:tcMar>
            <w:vAlign w:val="center"/>
          </w:tcPr>
          <w:p w14:paraId="5245341A" w14:textId="77777777" w:rsidR="00634235" w:rsidRDefault="00000000">
            <w:pPr>
              <w:spacing w:after="0"/>
            </w:pPr>
            <w:r>
              <w:rPr>
                <w:color w:val="141414"/>
                <w:sz w:val="18"/>
              </w:rPr>
              <w:t>“ASTOP vs SoL-Pi”</w:t>
            </w:r>
          </w:p>
        </w:tc>
        <w:tc>
          <w:tcPr>
            <w:tcW w:w="6696" w:type="dxa"/>
            <w:shd w:val="clear" w:color="auto" w:fill="FFFFFF"/>
            <w:tcMar>
              <w:top w:w="95" w:type="dxa"/>
              <w:left w:w="105" w:type="dxa"/>
              <w:bottom w:w="95" w:type="dxa"/>
              <w:right w:w="105" w:type="dxa"/>
            </w:tcMar>
            <w:vAlign w:val="center"/>
          </w:tcPr>
          <w:p w14:paraId="43ECBAF6" w14:textId="77777777" w:rsidR="00634235" w:rsidRDefault="00000000">
            <w:pPr>
              <w:spacing w:after="0"/>
            </w:pPr>
            <w:r>
              <w:rPr>
                <w:color w:val="141414"/>
                <w:sz w:val="18"/>
              </w:rPr>
              <w:t>Agent-trajectory efficiency vs. supervision-boundary efficiency. Highlight ObservationPack overlap and timing difference.</w:t>
            </w:r>
          </w:p>
        </w:tc>
      </w:tr>
      <w:tr w:rsidR="00634235" w14:paraId="5E64B4C4" w14:textId="77777777">
        <w:trPr>
          <w:jc w:val="center"/>
        </w:trPr>
        <w:tc>
          <w:tcPr>
            <w:tcW w:w="2880" w:type="dxa"/>
            <w:shd w:val="clear" w:color="auto" w:fill="FFFFFF"/>
            <w:tcMar>
              <w:top w:w="95" w:type="dxa"/>
              <w:left w:w="105" w:type="dxa"/>
              <w:bottom w:w="95" w:type="dxa"/>
              <w:right w:w="105" w:type="dxa"/>
            </w:tcMar>
            <w:vAlign w:val="center"/>
          </w:tcPr>
          <w:p w14:paraId="3E8F5BA4" w14:textId="77777777" w:rsidR="00634235" w:rsidRDefault="00000000">
            <w:pPr>
              <w:spacing w:after="0"/>
            </w:pPr>
            <w:r>
              <w:rPr>
                <w:color w:val="141414"/>
                <w:sz w:val="18"/>
              </w:rPr>
              <w:t>“Can they work together?”</w:t>
            </w:r>
          </w:p>
        </w:tc>
        <w:tc>
          <w:tcPr>
            <w:tcW w:w="6696" w:type="dxa"/>
            <w:shd w:val="clear" w:color="auto" w:fill="FFFFFF"/>
            <w:tcMar>
              <w:top w:w="95" w:type="dxa"/>
              <w:left w:w="105" w:type="dxa"/>
              <w:bottom w:w="95" w:type="dxa"/>
              <w:right w:w="105" w:type="dxa"/>
            </w:tcMar>
            <w:vAlign w:val="center"/>
          </w:tcPr>
          <w:p w14:paraId="1CBB742D" w14:textId="77777777" w:rsidR="00634235" w:rsidRDefault="00000000">
            <w:pPr>
              <w:spacing w:after="0"/>
            </w:pPr>
            <w:r>
              <w:rPr>
                <w:color w:val="141414"/>
                <w:sz w:val="18"/>
              </w:rPr>
              <w:t>Yes in principle; show combined stack; state that incremental savings require direct validation.</w:t>
            </w:r>
          </w:p>
        </w:tc>
      </w:tr>
      <w:tr w:rsidR="00634235" w14:paraId="76376476" w14:textId="77777777">
        <w:trPr>
          <w:jc w:val="center"/>
        </w:trPr>
        <w:tc>
          <w:tcPr>
            <w:tcW w:w="2880" w:type="dxa"/>
            <w:shd w:val="clear" w:color="auto" w:fill="FFFFFF"/>
            <w:tcMar>
              <w:top w:w="95" w:type="dxa"/>
              <w:left w:w="105" w:type="dxa"/>
              <w:bottom w:w="95" w:type="dxa"/>
              <w:right w:w="105" w:type="dxa"/>
            </w:tcMar>
            <w:vAlign w:val="center"/>
          </w:tcPr>
          <w:p w14:paraId="5877BBE9" w14:textId="77777777" w:rsidR="00634235" w:rsidRDefault="00000000">
            <w:pPr>
              <w:spacing w:after="0"/>
            </w:pPr>
            <w:r>
              <w:rPr>
                <w:color w:val="141414"/>
                <w:sz w:val="18"/>
              </w:rPr>
              <w:t>“How much will ASTOP save?”</w:t>
            </w:r>
          </w:p>
        </w:tc>
        <w:tc>
          <w:tcPr>
            <w:tcW w:w="6696" w:type="dxa"/>
            <w:shd w:val="clear" w:color="auto" w:fill="FFFFFF"/>
            <w:tcMar>
              <w:top w:w="95" w:type="dxa"/>
              <w:left w:w="105" w:type="dxa"/>
              <w:bottom w:w="95" w:type="dxa"/>
              <w:right w:w="105" w:type="dxa"/>
            </w:tcMar>
            <w:vAlign w:val="center"/>
          </w:tcPr>
          <w:p w14:paraId="0470CB64" w14:textId="77777777" w:rsidR="00634235" w:rsidRDefault="00000000">
            <w:pPr>
              <w:spacing w:after="0"/>
            </w:pPr>
            <w:r>
              <w:rPr>
                <w:color w:val="141414"/>
                <w:sz w:val="18"/>
              </w:rPr>
              <w:t>Do not extrapolate. Cite internal 51.9–84.5% supervision-token result only as source-specific evidence and propose workload measurement.</w:t>
            </w:r>
          </w:p>
        </w:tc>
      </w:tr>
      <w:tr w:rsidR="00634235" w14:paraId="287A19A5" w14:textId="77777777">
        <w:trPr>
          <w:jc w:val="center"/>
        </w:trPr>
        <w:tc>
          <w:tcPr>
            <w:tcW w:w="2880" w:type="dxa"/>
            <w:shd w:val="clear" w:color="auto" w:fill="FFFFFF"/>
            <w:tcMar>
              <w:top w:w="95" w:type="dxa"/>
              <w:left w:w="105" w:type="dxa"/>
              <w:bottom w:w="95" w:type="dxa"/>
              <w:right w:w="105" w:type="dxa"/>
            </w:tcMar>
            <w:vAlign w:val="center"/>
          </w:tcPr>
          <w:p w14:paraId="4615F85B" w14:textId="77777777" w:rsidR="00634235" w:rsidRDefault="00000000">
            <w:pPr>
              <w:spacing w:after="0"/>
            </w:pPr>
            <w:r>
              <w:rPr>
                <w:color w:val="141414"/>
                <w:sz w:val="18"/>
              </w:rPr>
              <w:t>“Is ASTOP better?”</w:t>
            </w:r>
          </w:p>
        </w:tc>
        <w:tc>
          <w:tcPr>
            <w:tcW w:w="6696" w:type="dxa"/>
            <w:shd w:val="clear" w:color="auto" w:fill="FFFFFF"/>
            <w:tcMar>
              <w:top w:w="95" w:type="dxa"/>
              <w:left w:w="105" w:type="dxa"/>
              <w:bottom w:w="95" w:type="dxa"/>
              <w:right w:w="105" w:type="dxa"/>
            </w:tcMar>
            <w:vAlign w:val="center"/>
          </w:tcPr>
          <w:p w14:paraId="53E58DB4" w14:textId="77777777" w:rsidR="00634235" w:rsidRDefault="00000000">
            <w:pPr>
              <w:spacing w:after="0"/>
            </w:pPr>
            <w:r>
              <w:rPr>
                <w:color w:val="141414"/>
                <w:sz w:val="18"/>
              </w:rPr>
              <w:t>Reject winner framing. Identify dominant source of waste and fit.</w:t>
            </w:r>
          </w:p>
        </w:tc>
      </w:tr>
      <w:tr w:rsidR="00634235" w14:paraId="211AA50D" w14:textId="77777777">
        <w:trPr>
          <w:jc w:val="center"/>
        </w:trPr>
        <w:tc>
          <w:tcPr>
            <w:tcW w:w="2880" w:type="dxa"/>
            <w:shd w:val="clear" w:color="auto" w:fill="FFFFFF"/>
            <w:tcMar>
              <w:top w:w="95" w:type="dxa"/>
              <w:left w:w="105" w:type="dxa"/>
              <w:bottom w:w="95" w:type="dxa"/>
              <w:right w:w="105" w:type="dxa"/>
            </w:tcMar>
            <w:vAlign w:val="center"/>
          </w:tcPr>
          <w:p w14:paraId="6F368DF4" w14:textId="77777777" w:rsidR="00634235" w:rsidRDefault="00000000">
            <w:pPr>
              <w:spacing w:after="0"/>
            </w:pPr>
            <w:r>
              <w:rPr>
                <w:color w:val="141414"/>
                <w:sz w:val="18"/>
              </w:rPr>
              <w:t>“What is the proof?”</w:t>
            </w:r>
          </w:p>
        </w:tc>
        <w:tc>
          <w:tcPr>
            <w:tcW w:w="6696" w:type="dxa"/>
            <w:shd w:val="clear" w:color="auto" w:fill="FFFFFF"/>
            <w:tcMar>
              <w:top w:w="95" w:type="dxa"/>
              <w:left w:w="105" w:type="dxa"/>
              <w:bottom w:w="95" w:type="dxa"/>
              <w:right w:w="105" w:type="dxa"/>
            </w:tcMar>
            <w:vAlign w:val="center"/>
          </w:tcPr>
          <w:p w14:paraId="1AF0C0A1" w14:textId="77777777" w:rsidR="00634235" w:rsidRDefault="00000000">
            <w:pPr>
              <w:spacing w:after="0"/>
            </w:pPr>
            <w:r>
              <w:rPr>
                <w:color w:val="141414"/>
                <w:sz w:val="18"/>
              </w:rPr>
              <w:t>Separate internal ASTOP/PRISM evidence from official Anthropic/NVIDIA public evidence; never compare percentages as head-to-head results.</w:t>
            </w:r>
          </w:p>
        </w:tc>
      </w:tr>
    </w:tbl>
    <w:p w14:paraId="163A9EEB" w14:textId="77777777" w:rsidR="00634235" w:rsidRDefault="00000000">
      <w:pPr>
        <w:pStyle w:val="1"/>
      </w:pPr>
      <w:r>
        <w:lastRenderedPageBreak/>
        <w:t>10. Source Register and Evidence Status</w:t>
      </w:r>
    </w:p>
    <w:p w14:paraId="61EF63E0" w14:textId="77777777" w:rsidR="00634235" w:rsidRDefault="00000000">
      <w:r>
        <w:t>Source codes used throughout this Knowledge Core are designed to make provenance easy for the sales AI to retain. Numerical claims should always remain attached to their source and benchmark context.</w:t>
      </w:r>
    </w:p>
    <w:p w14:paraId="37D785A8" w14:textId="77777777" w:rsidR="00634235" w:rsidRDefault="00000000">
      <w:pPr>
        <w:spacing w:before="100" w:after="20"/>
      </w:pPr>
      <w:r>
        <w:rPr>
          <w:b/>
          <w:color w:val="9A6A00"/>
          <w:sz w:val="18"/>
        </w:rPr>
        <w:t>[I1]  INTERNAL SUPPLIED SOURCE</w:t>
      </w:r>
    </w:p>
    <w:p w14:paraId="622F4C7B" w14:textId="77777777" w:rsidR="00634235" w:rsidRDefault="00000000">
      <w:pPr>
        <w:spacing w:after="20"/>
      </w:pPr>
      <w:r>
        <w:rPr>
          <w:b/>
          <w:color w:val="141414"/>
          <w:sz w:val="18"/>
        </w:rPr>
        <w:t xml:space="preserve">itriX, “AI </w:t>
      </w:r>
      <w:r>
        <w:rPr>
          <w:b/>
          <w:color w:val="141414"/>
          <w:sz w:val="18"/>
        </w:rPr>
        <w:t>비용을</w:t>
      </w:r>
      <w:r>
        <w:rPr>
          <w:b/>
          <w:color w:val="141414"/>
          <w:sz w:val="18"/>
        </w:rPr>
        <w:t xml:space="preserve"> </w:t>
      </w:r>
      <w:r>
        <w:rPr>
          <w:b/>
          <w:color w:val="141414"/>
          <w:sz w:val="18"/>
        </w:rPr>
        <w:t>줄이는</w:t>
      </w:r>
      <w:r>
        <w:rPr>
          <w:b/>
          <w:color w:val="141414"/>
          <w:sz w:val="18"/>
        </w:rPr>
        <w:t xml:space="preserve"> </w:t>
      </w:r>
      <w:r>
        <w:rPr>
          <w:b/>
          <w:color w:val="141414"/>
          <w:sz w:val="18"/>
        </w:rPr>
        <w:t>세</w:t>
      </w:r>
      <w:r>
        <w:rPr>
          <w:b/>
          <w:color w:val="141414"/>
          <w:sz w:val="18"/>
        </w:rPr>
        <w:t xml:space="preserve"> </w:t>
      </w:r>
      <w:r>
        <w:rPr>
          <w:b/>
          <w:color w:val="141414"/>
          <w:sz w:val="18"/>
        </w:rPr>
        <w:t>가지</w:t>
      </w:r>
      <w:r>
        <w:rPr>
          <w:b/>
          <w:color w:val="141414"/>
          <w:sz w:val="18"/>
        </w:rPr>
        <w:t xml:space="preserve"> </w:t>
      </w:r>
      <w:r>
        <w:rPr>
          <w:b/>
          <w:color w:val="141414"/>
          <w:sz w:val="18"/>
        </w:rPr>
        <w:t>개입</w:t>
      </w:r>
      <w:r>
        <w:rPr>
          <w:b/>
          <w:color w:val="141414"/>
          <w:sz w:val="18"/>
        </w:rPr>
        <w:t xml:space="preserve"> </w:t>
      </w:r>
      <w:r>
        <w:rPr>
          <w:b/>
          <w:color w:val="141414"/>
          <w:sz w:val="18"/>
        </w:rPr>
        <w:t>지점</w:t>
      </w:r>
      <w:r>
        <w:rPr>
          <w:b/>
          <w:color w:val="141414"/>
          <w:sz w:val="18"/>
        </w:rPr>
        <w:t>,” Technical Briefing, 2026-09-15.</w:t>
      </w:r>
    </w:p>
    <w:p w14:paraId="4B95EB57" w14:textId="77777777" w:rsidR="00634235" w:rsidRDefault="00000000">
      <w:r>
        <w:rPr>
          <w:color w:val="5B6168"/>
          <w:sz w:val="18"/>
        </w:rPr>
        <w:t>Use: ASTOP/PRISM mechanism, internal token/fidelity evidence, and combined-layer framing.</w:t>
      </w:r>
    </w:p>
    <w:p w14:paraId="51724E95" w14:textId="77777777" w:rsidR="00634235" w:rsidRDefault="00000000">
      <w:pPr>
        <w:spacing w:before="100" w:after="20"/>
      </w:pPr>
      <w:r>
        <w:rPr>
          <w:b/>
          <w:color w:val="77B900"/>
          <w:sz w:val="18"/>
        </w:rPr>
        <w:t>[A1]  OFFICIAL ANTHROPIC</w:t>
      </w:r>
    </w:p>
    <w:p w14:paraId="293D8C23" w14:textId="77777777" w:rsidR="00634235" w:rsidRDefault="00000000">
      <w:pPr>
        <w:spacing w:after="20"/>
      </w:pPr>
      <w:r>
        <w:rPr>
          <w:b/>
          <w:color w:val="141414"/>
          <w:sz w:val="18"/>
        </w:rPr>
        <w:t>Anthropic, “Reducing cost and improving performance with Claude Platform,” 2026-09-08.</w:t>
      </w:r>
    </w:p>
    <w:p w14:paraId="3935E4AB" w14:textId="77777777" w:rsidR="00634235" w:rsidRDefault="00000000">
      <w:r>
        <w:rPr>
          <w:color w:val="5B6168"/>
          <w:sz w:val="18"/>
        </w:rPr>
        <w:t>https://claude.com/blog/reducing-cost-and-improving-performance-with-claude-platform  |  Use: prompt audit, caching/effort strategy, cost-optimize/hillclimb and benchmark examples.</w:t>
      </w:r>
    </w:p>
    <w:p w14:paraId="639258AC" w14:textId="77777777" w:rsidR="00634235" w:rsidRDefault="00000000">
      <w:pPr>
        <w:spacing w:before="100" w:after="20"/>
      </w:pPr>
      <w:r>
        <w:rPr>
          <w:b/>
          <w:color w:val="77B900"/>
          <w:sz w:val="18"/>
        </w:rPr>
        <w:t>[A2]  OFFICIAL ANTHROPIC DOCS</w:t>
      </w:r>
    </w:p>
    <w:p w14:paraId="0060B58D" w14:textId="77777777" w:rsidR="00634235" w:rsidRDefault="00000000">
      <w:pPr>
        <w:spacing w:after="20"/>
      </w:pPr>
      <w:r>
        <w:rPr>
          <w:b/>
          <w:color w:val="141414"/>
          <w:sz w:val="18"/>
        </w:rPr>
        <w:t>Claude Platform Docs, “Prompt caching.”</w:t>
      </w:r>
    </w:p>
    <w:p w14:paraId="19218764" w14:textId="77777777" w:rsidR="00634235" w:rsidRDefault="00000000">
      <w:r>
        <w:rPr>
          <w:color w:val="5B6168"/>
          <w:sz w:val="18"/>
        </w:rPr>
        <w:t>https://platform.claude.com/docs/en/build-with-claude/prompt-caching  |  Use: cache behavior, stable-prefix semantics, automatic/explicit caching and cache lifetime.</w:t>
      </w:r>
    </w:p>
    <w:p w14:paraId="3653BE67" w14:textId="77777777" w:rsidR="00634235" w:rsidRDefault="00000000">
      <w:pPr>
        <w:spacing w:before="100" w:after="20"/>
      </w:pPr>
      <w:r>
        <w:rPr>
          <w:b/>
          <w:color w:val="77B900"/>
          <w:sz w:val="18"/>
        </w:rPr>
        <w:t>[A3]  OFFICIAL ANTHROPIC DOCS</w:t>
      </w:r>
    </w:p>
    <w:p w14:paraId="45BC4AAB" w14:textId="77777777" w:rsidR="00634235" w:rsidRDefault="00000000">
      <w:pPr>
        <w:spacing w:after="20"/>
      </w:pPr>
      <w:r>
        <w:rPr>
          <w:b/>
          <w:color w:val="141414"/>
          <w:sz w:val="18"/>
        </w:rPr>
        <w:t>Claude Platform Docs, “Effort.”</w:t>
      </w:r>
    </w:p>
    <w:p w14:paraId="63895896" w14:textId="77777777" w:rsidR="00634235" w:rsidRDefault="00000000">
      <w:r>
        <w:rPr>
          <w:color w:val="5B6168"/>
          <w:sz w:val="18"/>
        </w:rPr>
        <w:t>https://platform.claude.com/docs/en/build-with-claude/effort  |  Use: effort levels, token/tool-call behavior and evaluation guidance.</w:t>
      </w:r>
    </w:p>
    <w:p w14:paraId="271863DC" w14:textId="77777777" w:rsidR="00634235" w:rsidRDefault="00000000">
      <w:pPr>
        <w:spacing w:before="100" w:after="20"/>
      </w:pPr>
      <w:r>
        <w:rPr>
          <w:b/>
          <w:color w:val="77B900"/>
          <w:sz w:val="18"/>
        </w:rPr>
        <w:t>[N1]  OFFICIAL NVIDIA RESEARCH PROJECT PAGE</w:t>
      </w:r>
    </w:p>
    <w:p w14:paraId="6DBBC1F1" w14:textId="77777777" w:rsidR="00634235" w:rsidRDefault="00000000">
      <w:pPr>
        <w:spacing w:after="20"/>
      </w:pPr>
      <w:r>
        <w:rPr>
          <w:b/>
          <w:color w:val="141414"/>
          <w:sz w:val="18"/>
        </w:rPr>
        <w:t>NVIDIA Research, “SoL-Pi: Scaling Auto-Research Loops for Efficient Agent Harnesses.”</w:t>
      </w:r>
    </w:p>
    <w:p w14:paraId="570C1E47" w14:textId="77777777" w:rsidR="00634235" w:rsidRDefault="00000000">
      <w:r>
        <w:rPr>
          <w:color w:val="5B6168"/>
          <w:sz w:val="18"/>
        </w:rPr>
        <w:t>https://nvlabs.github.io/SoL-Pi/  |  Use: research method, four mechanisms, EdgeBench and Terminal-Bench results.</w:t>
      </w:r>
    </w:p>
    <w:p w14:paraId="06F28102" w14:textId="77777777" w:rsidR="00634235" w:rsidRDefault="00000000">
      <w:pPr>
        <w:pStyle w:val="21"/>
      </w:pPr>
      <w:r>
        <w:rPr>
          <w:sz w:val="18"/>
        </w:rPr>
        <w:t>[N2]  OFFICIAL NVIDIA OPEN-SOURCE RELEASE / DOCUMENTATION</w:t>
      </w:r>
    </w:p>
    <w:p w14:paraId="204BDCD4" w14:textId="77777777" w:rsidR="00634235" w:rsidRDefault="00000000">
      <w:r>
        <w:rPr>
          <w:sz w:val="18"/>
        </w:rPr>
        <w:t>NVlabs/SoL-Pi GitHub repository, README, configuration and security documentation.</w:t>
      </w:r>
    </w:p>
    <w:p w14:paraId="19638636" w14:textId="77777777" w:rsidR="00634235" w:rsidRDefault="00000000">
      <w:r>
        <w:rPr>
          <w:sz w:val="18"/>
        </w:rPr>
        <w:t>https://github.com/NVlabs/SoL-Pi  |  Use: standalone Pi-extension status, opt-in defaults, storage, reducer routing, security and compatibility boundaries.</w:t>
      </w:r>
    </w:p>
    <w:p w14:paraId="1A208D40" w14:textId="77777777" w:rsidR="00634235" w:rsidRDefault="00000000">
      <w:pPr>
        <w:pStyle w:val="21"/>
      </w:pPr>
      <w:r>
        <w:t>Evidence hierarchy for sales use</w:t>
      </w:r>
    </w:p>
    <w:p w14:paraId="6DD79C99" w14:textId="77777777" w:rsidR="00634235" w:rsidRDefault="00000000">
      <w:pPr>
        <w:pStyle w:val="a0"/>
        <w:spacing w:after="40"/>
      </w:pPr>
      <w:r>
        <w:t>Level A — official external documentation or vendor research pages: acceptable for attributed public claims, with benchmark context.</w:t>
      </w:r>
    </w:p>
    <w:p w14:paraId="039F9D4F" w14:textId="77777777" w:rsidR="00634235" w:rsidRDefault="00000000">
      <w:pPr>
        <w:pStyle w:val="a0"/>
        <w:spacing w:after="40"/>
      </w:pPr>
      <w:r>
        <w:t>Level B — itriX internal evidence: acceptable as “itriX internal testing/briefing reports …”; do not present as independently replicated or public peer-reviewed evidence unless separately confirmed.</w:t>
      </w:r>
    </w:p>
    <w:p w14:paraId="1D629FC4" w14:textId="77777777" w:rsidR="00634235" w:rsidRDefault="00000000">
      <w:pPr>
        <w:pStyle w:val="a0"/>
        <w:spacing w:after="40"/>
      </w:pPr>
      <w:r>
        <w:t>Level C — architectural inference: use “can,” “in principle,” or “should be evaluated”; do not state as measured fact.</w:t>
      </w:r>
    </w:p>
    <w:tbl>
      <w:tblPr>
        <w:tblW w:w="0" w:type="auto"/>
        <w:jc w:val="center"/>
        <w:tblLayout w:type="fixed"/>
        <w:tblLook w:val="04A0" w:firstRow="1" w:lastRow="0" w:firstColumn="1" w:lastColumn="0" w:noHBand="0" w:noVBand="1"/>
      </w:tblPr>
      <w:tblGrid>
        <w:gridCol w:w="9994"/>
      </w:tblGrid>
      <w:tr w:rsidR="00634235" w14:paraId="0040E59F" w14:textId="77777777">
        <w:trPr>
          <w:tblHeader/>
          <w:jc w:val="center"/>
        </w:trPr>
        <w:tc>
          <w:tcPr>
            <w:tcW w:w="9994" w:type="dxa"/>
            <w:tcBorders>
              <w:left w:val="single" w:sz="16" w:space="0" w:color="77B900"/>
            </w:tcBorders>
            <w:shd w:val="clear" w:color="auto" w:fill="EEF5E8"/>
            <w:tcMar>
              <w:top w:w="140" w:type="dxa"/>
              <w:left w:w="150" w:type="dxa"/>
              <w:bottom w:w="140" w:type="dxa"/>
              <w:right w:w="150" w:type="dxa"/>
            </w:tcMar>
          </w:tcPr>
          <w:p w14:paraId="6B97E14A" w14:textId="77777777" w:rsidR="00634235" w:rsidRDefault="00000000">
            <w:pPr>
              <w:spacing w:after="60"/>
            </w:pPr>
            <w:r>
              <w:rPr>
                <w:b/>
                <w:color w:val="141414"/>
                <w:sz w:val="20"/>
              </w:rPr>
              <w:t>ONE-SENTENCE MEMORY ANCHOR</w:t>
            </w:r>
          </w:p>
          <w:p w14:paraId="3CAAD1D6" w14:textId="77777777" w:rsidR="00634235" w:rsidRDefault="00000000">
            <w:pPr>
              <w:spacing w:after="0"/>
            </w:pPr>
            <w:r>
              <w:rPr>
                <w:color w:val="141414"/>
                <w:sz w:val="20"/>
              </w:rPr>
              <w:t>Anthropic asks: “How do we run this model request efficiently?” SoL-Pi asks: “How do we run this agent trajectory with less repeated work?” ASTOP asks: “Does the decision model need to hear from the observer now, and if so, what exactly does it need to know?”</w:t>
            </w:r>
          </w:p>
        </w:tc>
      </w:tr>
    </w:tbl>
    <w:p w14:paraId="54B5C74C" w14:textId="77777777" w:rsidR="00634235" w:rsidRDefault="00634235">
      <w:pPr>
        <w:spacing w:after="20"/>
      </w:pPr>
    </w:p>
    <w:sectPr w:rsidR="00634235"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9E1A2" w14:textId="77777777" w:rsidR="00A325B0" w:rsidRDefault="00A325B0">
      <w:pPr>
        <w:spacing w:after="0" w:line="240" w:lineRule="auto"/>
      </w:pPr>
      <w:r>
        <w:separator/>
      </w:r>
    </w:p>
  </w:endnote>
  <w:endnote w:type="continuationSeparator" w:id="0">
    <w:p w14:paraId="6F22E770" w14:textId="77777777" w:rsidR="00A325B0" w:rsidRDefault="00A32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0CA9" w14:textId="77777777" w:rsidR="00634235" w:rsidRDefault="00000000">
    <w:pPr>
      <w:pStyle w:val="a6"/>
      <w:jc w:val="center"/>
    </w:pPr>
    <w:proofErr w:type="spellStart"/>
    <w:r>
      <w:rPr>
        <w:color w:val="5B6168"/>
        <w:sz w:val="16"/>
      </w:rPr>
      <w:t>itriX</w:t>
    </w:r>
    <w:proofErr w:type="spellEnd"/>
    <w:r>
      <w:rPr>
        <w:color w:val="5B6168"/>
        <w:sz w:val="16"/>
      </w:rPr>
      <w:t xml:space="preserve"> Knowledge Core  |  ASTOP Comparative Positioning  |  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BBB20" w14:textId="77777777" w:rsidR="00A325B0" w:rsidRDefault="00A325B0">
      <w:pPr>
        <w:spacing w:after="0" w:line="240" w:lineRule="auto"/>
      </w:pPr>
      <w:r>
        <w:separator/>
      </w:r>
    </w:p>
  </w:footnote>
  <w:footnote w:type="continuationSeparator" w:id="0">
    <w:p w14:paraId="47ED5FBA" w14:textId="77777777" w:rsidR="00A325B0" w:rsidRDefault="00A325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020649">
    <w:abstractNumId w:val="8"/>
  </w:num>
  <w:num w:numId="2" w16cid:durableId="989361429">
    <w:abstractNumId w:val="6"/>
  </w:num>
  <w:num w:numId="3" w16cid:durableId="1827473401">
    <w:abstractNumId w:val="5"/>
  </w:num>
  <w:num w:numId="4" w16cid:durableId="439299743">
    <w:abstractNumId w:val="4"/>
  </w:num>
  <w:num w:numId="5" w16cid:durableId="822233321">
    <w:abstractNumId w:val="7"/>
  </w:num>
  <w:num w:numId="6" w16cid:durableId="1974407750">
    <w:abstractNumId w:val="3"/>
  </w:num>
  <w:num w:numId="7" w16cid:durableId="1480883047">
    <w:abstractNumId w:val="2"/>
  </w:num>
  <w:num w:numId="8" w16cid:durableId="923033622">
    <w:abstractNumId w:val="1"/>
  </w:num>
  <w:num w:numId="9" w16cid:durableId="1662811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529B"/>
    <w:rsid w:val="00634235"/>
    <w:rsid w:val="00A325B0"/>
    <w:rsid w:val="00AA1D8D"/>
    <w:rsid w:val="00B47730"/>
    <w:rsid w:val="00C05B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2231C"/>
  <w14:defaultImageDpi w14:val="300"/>
  <w15:docId w15:val="{E05B9891-04DF-443B-82AE-D946D444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Liberation Sans" w:eastAsia="Noto Sans CJK KR" w:hAnsi="Liberation Sans"/>
      <w:sz w:val="21"/>
    </w:rPr>
  </w:style>
  <w:style w:type="paragraph" w:styleId="1">
    <w:name w:val="heading 1"/>
    <w:basedOn w:val="a1"/>
    <w:next w:val="a1"/>
    <w:link w:val="1Char"/>
    <w:uiPriority w:val="9"/>
    <w:qFormat/>
    <w:rsid w:val="00FC693F"/>
    <w:pPr>
      <w:keepNext/>
      <w:keepLines/>
      <w:spacing w:before="180" w:after="100"/>
      <w:outlineLvl w:val="0"/>
    </w:pPr>
    <w:rPr>
      <w:rFonts w:asciiTheme="majorHAnsi" w:eastAsiaTheme="majorEastAsia" w:hAnsiTheme="majorHAnsi" w:cstheme="majorBidi"/>
      <w:b/>
      <w:bCs/>
      <w:color w:val="141414"/>
      <w:sz w:val="34"/>
      <w:szCs w:val="28"/>
    </w:rPr>
  </w:style>
  <w:style w:type="paragraph" w:styleId="21">
    <w:name w:val="heading 2"/>
    <w:basedOn w:val="a1"/>
    <w:next w:val="a1"/>
    <w:link w:val="2Char"/>
    <w:uiPriority w:val="9"/>
    <w:unhideWhenUsed/>
    <w:qFormat/>
    <w:rsid w:val="00FC693F"/>
    <w:pPr>
      <w:keepNext/>
      <w:keepLines/>
      <w:spacing w:before="140" w:after="100"/>
      <w:outlineLvl w:val="1"/>
    </w:pPr>
    <w:rPr>
      <w:rFonts w:asciiTheme="majorHAnsi" w:eastAsiaTheme="majorEastAsia" w:hAnsiTheme="majorHAnsi" w:cstheme="majorBidi"/>
      <w:b/>
      <w:bCs/>
      <w:color w:val="141414"/>
      <w:sz w:val="26"/>
      <w:szCs w:val="26"/>
    </w:rPr>
  </w:style>
  <w:style w:type="paragraph" w:styleId="31">
    <w:name w:val="heading 3"/>
    <w:basedOn w:val="a1"/>
    <w:next w:val="a1"/>
    <w:link w:val="3Char"/>
    <w:uiPriority w:val="9"/>
    <w:unhideWhenUsed/>
    <w:qFormat/>
    <w:rsid w:val="00FC693F"/>
    <w:pPr>
      <w:keepNext/>
      <w:keepLines/>
      <w:spacing w:before="140" w:after="100"/>
      <w:outlineLvl w:val="2"/>
    </w:pPr>
    <w:rPr>
      <w:rFonts w:asciiTheme="majorHAnsi" w:eastAsiaTheme="majorEastAsia" w:hAnsiTheme="majorHAnsi" w:cstheme="majorBidi"/>
      <w:b/>
      <w:bCs/>
      <w:color w:val="77B9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0"/>
    </w:rPr>
  </w:style>
  <w:style w:type="paragraph" w:styleId="20">
    <w:name w:val="List Bullet 2"/>
    <w:basedOn w:val="a1"/>
    <w:uiPriority w:val="99"/>
    <w:unhideWhenUsed/>
    <w:rsid w:val="00326F90"/>
    <w:pPr>
      <w:numPr>
        <w:numId w:val="2"/>
      </w:numPr>
      <w:contextualSpacing/>
    </w:pPr>
    <w:rPr>
      <w:sz w:val="20"/>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20"/>
    </w:rPr>
  </w:style>
  <w:style w:type="paragraph" w:styleId="2">
    <w:name w:val="List Number 2"/>
    <w:basedOn w:val="a1"/>
    <w:uiPriority w:val="99"/>
    <w:unhideWhenUsed/>
    <w:rsid w:val="0029639D"/>
    <w:pPr>
      <w:numPr>
        <w:numId w:val="6"/>
      </w:numPr>
      <w:contextualSpacing/>
    </w:pPr>
    <w:rPr>
      <w:sz w:val="20"/>
    </w:r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3750</Words>
  <Characters>23632</Characters>
  <Application>Microsoft Office Word</Application>
  <DocSecurity>0</DocSecurity>
  <Lines>590</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ASTOP Comparative Knowledge Core</dc:title>
  <dc:subject>ASTOP positioning against Anthropic cost optimization and NVIDIA SoL-Pi</dc:subject>
  <dc:creator>python-docx</dc:creator>
  <cp:keywords>ASTOP, PRISM, Anthropic, SoL-Pi, agent efficiency, supervision efficiency</cp:keywords>
  <dc:description/>
  <cp:lastModifiedBy>DH Park</cp:lastModifiedBy>
  <cp:revision>2</cp:revision>
  <dcterms:created xsi:type="dcterms:W3CDTF">2026-09-15T16:29:00Z</dcterms:created>
  <dcterms:modified xsi:type="dcterms:W3CDTF">2026-09-15T16:29:00Z</dcterms:modified>
  <cp:category/>
</cp:coreProperties>
</file>