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67AD" w14:textId="77777777" w:rsidR="00057EE2" w:rsidRPr="008A7A69" w:rsidRDefault="00000000" w:rsidP="008A7A69">
      <w:pPr>
        <w:pStyle w:val="a4"/>
        <w:rPr>
          <w:sz w:val="48"/>
          <w:szCs w:val="48"/>
        </w:rPr>
      </w:pPr>
      <w:bookmarkStart w:id="0" w:name="alpha-compute-alpha-core"/>
      <w:r w:rsidRPr="008A7A69">
        <w:rPr>
          <w:sz w:val="48"/>
          <w:szCs w:val="48"/>
        </w:rPr>
        <w:t>ALPHA Compute &amp; ALPHA Core</w:t>
      </w:r>
    </w:p>
    <w:p w14:paraId="4D8E010F" w14:textId="77777777" w:rsidR="00057EE2" w:rsidRDefault="00000000" w:rsidP="008A7A69">
      <w:pPr>
        <w:pStyle w:val="a5"/>
      </w:pPr>
      <w:bookmarkStart w:id="1" w:name="X5c706aae3d97e5c5377759a7d7441cebdefed8f"/>
      <w:r>
        <w:t>A New Computation Layer for Energy-Efficient AI Infrastructure</w:t>
      </w:r>
    </w:p>
    <w:p w14:paraId="26F60D06" w14:textId="4933C94A" w:rsidR="00057EE2" w:rsidRDefault="00000000" w:rsidP="00697C92">
      <w:pPr>
        <w:pStyle w:val="FirstParagraph"/>
        <w:jc w:val="right"/>
      </w:pPr>
      <w:r>
        <w:rPr>
          <w:b/>
          <w:bCs/>
        </w:rPr>
        <w:t>Flagship White Paper — Draft v0.1</w:t>
      </w:r>
      <w:r>
        <w:br/>
      </w:r>
      <w:r>
        <w:pict w14:anchorId="5213564B">
          <v:rect id="_x0000_i1025" style="width:0;height:1.5pt" o:hralign="center" o:hrstd="t" o:hr="t"/>
        </w:pict>
      </w:r>
    </w:p>
    <w:p w14:paraId="485E6071" w14:textId="77777777" w:rsidR="00057EE2" w:rsidRDefault="00000000">
      <w:pPr>
        <w:pStyle w:val="2"/>
      </w:pPr>
      <w:bookmarkStart w:id="2" w:name="executive-summary"/>
      <w:bookmarkEnd w:id="1"/>
      <w:r>
        <w:t>Executive Summary</w:t>
      </w:r>
    </w:p>
    <w:p w14:paraId="67A6B0E8" w14:textId="77777777" w:rsidR="00057EE2" w:rsidRDefault="00000000">
      <w:pPr>
        <w:pStyle w:val="FirstParagraph"/>
      </w:pPr>
      <w:r>
        <w:t>Artificial intelligence is entering a new phase. The limiting factor is no longer only model architecture, data availability, or training methodology. The limiting factor is increasingly the shortage in supply of advanced chips and the shortage of energy required to run them.</w:t>
      </w:r>
    </w:p>
    <w:p w14:paraId="00DD96AB" w14:textId="77777777" w:rsidR="00057EE2" w:rsidRDefault="00000000">
      <w:pPr>
        <w:pStyle w:val="a0"/>
      </w:pPr>
      <w:r>
        <w:t>Over the past decade, AI performance has been scaled primarily through brute-force hardware expansion: more GPUs, larger clusters, more memory bandwidth, more cooling infrastructure, and more power. This approach has delivered remarkable progress, but it is becoming economically and physically constrained. As AI systems move from cloud-scale training into enterprise deployment, edge intelligence, robotics, scientific computing, autonomous systems, and national-scale AI infrastructure, the current computation model exposes a fundamental weakness: modern AI is being built on numerical and hardware assumptions inherited from an earlier era of digital computing.</w:t>
      </w:r>
    </w:p>
    <w:p w14:paraId="4FE9BE31" w14:textId="77777777" w:rsidR="00057EE2" w:rsidRDefault="00000000">
      <w:pPr>
        <w:pStyle w:val="a0"/>
      </w:pPr>
      <w:r>
        <w:t>Digital computers were born binary. Their physical logic is discrete, but the dominant numerical abstraction used for scientific computing and AI has been floating-point approximation over real numbers. At the same time, many high-value workloads in AI, simulation, robotics, quantum-inspired computation, signal processing, and semiconductor engineering require richer mathematical structures: complex numbers, tensor-valued operators, high-dimensional algebra, conservation laws, discontinuities, and long-horizon numerical stability. The result is a growing mismatch between mathematical workload structure, software execution, hardware architecture, and energy consumption.</w:t>
      </w:r>
    </w:p>
    <w:p w14:paraId="55322DC0" w14:textId="77777777" w:rsidR="00057EE2" w:rsidRDefault="00000000">
      <w:pPr>
        <w:pStyle w:val="a0"/>
      </w:pPr>
      <w:r>
        <w:rPr>
          <w:b/>
          <w:bCs/>
        </w:rPr>
        <w:t>iTrix addresses this mismatch at the computation substrate layer.</w:t>
      </w:r>
    </w:p>
    <w:p w14:paraId="0111FCCA" w14:textId="77777777" w:rsidR="00057EE2" w:rsidRDefault="00000000">
      <w:pPr>
        <w:pStyle w:val="a0"/>
      </w:pPr>
      <w:r>
        <w:t>iTrix is developing a new computational foundation designed to change how numerical work is represented, transformed, and executed at the deepest layer of the AI infrastructure stack. Its flagship product architecture is organized around two complementary offerings:</w:t>
      </w:r>
    </w:p>
    <w:p w14:paraId="2A1B8349" w14:textId="77777777" w:rsidR="00057EE2" w:rsidRDefault="00000000">
      <w:pPr>
        <w:numPr>
          <w:ilvl w:val="0"/>
          <w:numId w:val="1"/>
        </w:numPr>
      </w:pPr>
      <w:r>
        <w:rPr>
          <w:b/>
          <w:bCs/>
        </w:rPr>
        <w:t>ALPHA Compute</w:t>
      </w:r>
      <w:r>
        <w:t xml:space="preserve"> — a software and runtime layer that restructures eligible AI, scientific, and industrial workloads before execution, enabling more efficient use of existing CPU, GPU, NPU, and accelerator infrastructure.</w:t>
      </w:r>
    </w:p>
    <w:p w14:paraId="7C88604F" w14:textId="77777777" w:rsidR="00057EE2" w:rsidRDefault="00000000">
      <w:pPr>
        <w:numPr>
          <w:ilvl w:val="0"/>
          <w:numId w:val="1"/>
        </w:numPr>
      </w:pPr>
      <w:r>
        <w:rPr>
          <w:b/>
          <w:bCs/>
        </w:rPr>
        <w:lastRenderedPageBreak/>
        <w:t>ALPHA Core</w:t>
      </w:r>
      <w:r>
        <w:t xml:space="preserve"> — a hardware-facing IP and architecture layer intended to embed the same computational advantages into future silicon, accelerator designs, edge devices, and domain-specific compute fabrics.</w:t>
      </w:r>
    </w:p>
    <w:p w14:paraId="16E3A569" w14:textId="77777777" w:rsidR="00057EE2" w:rsidRDefault="00000000">
      <w:pPr>
        <w:pStyle w:val="FirstParagraph"/>
      </w:pPr>
      <w:r>
        <w:t>The technical foundation behind ALPHA Compute and ALPHA Core combines several iTrix technologies:</w:t>
      </w:r>
    </w:p>
    <w:p w14:paraId="364D5BD3" w14:textId="77777777" w:rsidR="00057EE2" w:rsidRDefault="00000000">
      <w:pPr>
        <w:pStyle w:val="Compact"/>
        <w:numPr>
          <w:ilvl w:val="0"/>
          <w:numId w:val="2"/>
        </w:numPr>
      </w:pPr>
      <w:r>
        <w:rPr>
          <w:b/>
          <w:bCs/>
        </w:rPr>
        <w:t>AXIOM</w:t>
      </w:r>
      <w:r>
        <w:t xml:space="preserve"> — a table-free algebraic framework for representing complex, quaternionic, tensor-valued, and higher-dimensional algebraic operations through index-ordered multiplication.</w:t>
      </w:r>
    </w:p>
    <w:p w14:paraId="50C88DB6" w14:textId="77777777" w:rsidR="00057EE2" w:rsidRDefault="00000000">
      <w:pPr>
        <w:pStyle w:val="Compact"/>
        <w:numPr>
          <w:ilvl w:val="0"/>
          <w:numId w:val="2"/>
        </w:numPr>
      </w:pPr>
      <w:r>
        <w:rPr>
          <w:b/>
          <w:bCs/>
        </w:rPr>
        <w:t>CRE</w:t>
      </w:r>
      <w:r>
        <w:t xml:space="preserve"> — Conjugation–Real Embedding, which converts eligible complex and tensor-valued linear algebra into real block operators while preserving critical mathematical invariants.</w:t>
      </w:r>
    </w:p>
    <w:p w14:paraId="38F153B6" w14:textId="77777777" w:rsidR="00057EE2" w:rsidRDefault="00000000">
      <w:pPr>
        <w:pStyle w:val="Compact"/>
        <w:numPr>
          <w:ilvl w:val="0"/>
          <w:numId w:val="2"/>
        </w:numPr>
      </w:pPr>
      <w:r>
        <w:rPr>
          <w:b/>
          <w:bCs/>
        </w:rPr>
        <w:t>FQNM</w:t>
      </w:r>
      <w:r>
        <w:t xml:space="preserve"> — Fast Quantised Numerical Method, which applies structure-preserving integer arithmetic to conservation-sensitive numerical systems, reducing floating-point drift and enabling efficient discrete updates.</w:t>
      </w:r>
    </w:p>
    <w:p w14:paraId="1D2549BB" w14:textId="77777777" w:rsidR="00057EE2" w:rsidRDefault="00000000">
      <w:pPr>
        <w:pStyle w:val="Compact"/>
        <w:numPr>
          <w:ilvl w:val="0"/>
          <w:numId w:val="2"/>
        </w:numPr>
      </w:pPr>
      <w:r>
        <w:rPr>
          <w:b/>
          <w:bCs/>
        </w:rPr>
        <w:t>Boundary-aware execution</w:t>
      </w:r>
      <w:r>
        <w:t xml:space="preserve"> — a computation-planning philosophy that treats data movement, layout transition, memory crossing, and state-boundary crossing as first-class optimization variables.</w:t>
      </w:r>
    </w:p>
    <w:p w14:paraId="3A8A51E4" w14:textId="77777777" w:rsidR="00057EE2" w:rsidRDefault="00000000">
      <w:pPr>
        <w:pStyle w:val="FirstParagraph"/>
      </w:pPr>
      <w:r>
        <w:t>Together, these technologies support a simple strategic thesis:</w:t>
      </w:r>
    </w:p>
    <w:p w14:paraId="67747231" w14:textId="77777777" w:rsidR="00057EE2" w:rsidRDefault="00000000">
      <w:pPr>
        <w:pStyle w:val="a8"/>
      </w:pPr>
      <w:r>
        <w:rPr>
          <w:b/>
          <w:bCs/>
        </w:rPr>
        <w:t>The next generation of AI infrastructure will not be won only by bigger chips or smaller models. It will be won by redesigning the numerical substrate beneath AI computation.</w:t>
      </w:r>
    </w:p>
    <w:p w14:paraId="794D9DE2" w14:textId="77777777" w:rsidR="00057EE2" w:rsidRDefault="00000000">
      <w:pPr>
        <w:pStyle w:val="FirstParagraph"/>
      </w:pPr>
      <w:r>
        <w:t>ALPHA Compute provides the near-term commercial adoption path. Customers can begin with workload diagnosis, compatibility mapping, and PoC benchmarking. If measurable runtime, memory, energy, or accuracy benefits are demonstrated, ALPHA Compute can be deployed as a software layer, library, runtime module, or compiler-adjacent execution system.</w:t>
      </w:r>
    </w:p>
    <w:p w14:paraId="31AEF05F" w14:textId="77777777" w:rsidR="00057EE2" w:rsidRDefault="00000000">
      <w:pPr>
        <w:pStyle w:val="a0"/>
      </w:pPr>
      <w:r>
        <w:t>ALPHA Core provides the strategic hardware path. For semiconductor companies, hyperscalers, device makers, and national AI infrastructure partners, ALPHA Core offers a potential route to silicon-level differentiation: compute architectures that are designed not merely to execute more operations, but to execute operations in a form that is more native to the machine.</w:t>
      </w:r>
    </w:p>
    <w:p w14:paraId="1F483D5D" w14:textId="77777777" w:rsidR="00057EE2" w:rsidRDefault="00000000">
      <w:pPr>
        <w:pStyle w:val="a0"/>
      </w:pPr>
      <w:r>
        <w:t>This white paper presents the problem, the iTrix solution, the technology foundation, the business value, the deployment model, and the strategic partnership path for ALPHA Compute and ALPHA Core.</w:t>
      </w:r>
    </w:p>
    <w:p w14:paraId="3166CBE3" w14:textId="77777777" w:rsidR="00057EE2" w:rsidRDefault="00000000">
      <w:r>
        <w:pict w14:anchorId="4AE25430">
          <v:rect id="_x0000_i1026" style="width:0;height:1.5pt" o:hralign="center" o:hrstd="t" o:hr="t"/>
        </w:pict>
      </w:r>
    </w:p>
    <w:p w14:paraId="4FA898A8" w14:textId="77777777" w:rsidR="00057EE2" w:rsidRDefault="00000000">
      <w:pPr>
        <w:pStyle w:val="2"/>
      </w:pPr>
      <w:bookmarkStart w:id="3" w:name="the-ai-compute-wall"/>
      <w:bookmarkEnd w:id="2"/>
      <w:r>
        <w:lastRenderedPageBreak/>
        <w:t>1. The AI Compute Wall</w:t>
      </w:r>
    </w:p>
    <w:p w14:paraId="11F55307" w14:textId="77777777" w:rsidR="00057EE2" w:rsidRDefault="00000000">
      <w:pPr>
        <w:pStyle w:val="FirstParagraph"/>
      </w:pPr>
      <w:r>
        <w:t>AI has become the defining infrastructure challenge of the next industrial era. Every major economy, cloud provider, semiconductor company, enterprise software company, and national security organization is racing to secure AI capability. Yet the most visible bottleneck is not intelligence itself. It is the infrastructure required to produce, deploy, and sustain intelligence at scale.</w:t>
      </w:r>
    </w:p>
    <w:p w14:paraId="0B7EFFE6" w14:textId="77777777" w:rsidR="00057EE2" w:rsidRDefault="00000000">
      <w:pPr>
        <w:pStyle w:val="a0"/>
      </w:pPr>
      <w:r>
        <w:t>The current AI compute stack faces four interlocking constraints.</w:t>
      </w:r>
    </w:p>
    <w:p w14:paraId="222BD18E" w14:textId="77777777" w:rsidR="00057EE2" w:rsidRDefault="00000000">
      <w:pPr>
        <w:pStyle w:val="3"/>
      </w:pPr>
      <w:bookmarkStart w:id="4" w:name="power-and-energy-cost"/>
      <w:r>
        <w:t>1.1 Power and Energy Cost</w:t>
      </w:r>
    </w:p>
    <w:p w14:paraId="0612F481" w14:textId="77777777" w:rsidR="00057EE2" w:rsidRDefault="00000000">
      <w:pPr>
        <w:pStyle w:val="FirstParagraph"/>
      </w:pPr>
      <w:r>
        <w:t>AI computation consumes enormous power not only because models are large, but because the computation stack repeatedly moves, transforms, stores, and reloads data across multiple boundaries. In many modern systems, the energy cost of moving data can dominate the energy cost of arithmetic itself. GPU clusters require power delivery, thermal management, physical space, specialized networking, and continuous utilization to justify their capital cost.</w:t>
      </w:r>
    </w:p>
    <w:p w14:paraId="203AAA05" w14:textId="77777777" w:rsidR="00057EE2" w:rsidRDefault="00000000">
      <w:pPr>
        <w:pStyle w:val="a0"/>
      </w:pPr>
      <w:r>
        <w:t>As AI moves into every industry, the question changes from “Can we train the model?” to “Can we afford to run intelligence everywhere?”</w:t>
      </w:r>
    </w:p>
    <w:p w14:paraId="05993B4A" w14:textId="77777777" w:rsidR="00057EE2" w:rsidRDefault="00000000">
      <w:pPr>
        <w:pStyle w:val="a0"/>
      </w:pPr>
      <w:r>
        <w:t>This is especially important for countries and companies with structural energy constraints. The AI era may reward not the country that buys the most GPUs, but the country that learns to run useful AI with the least energy.</w:t>
      </w:r>
    </w:p>
    <w:p w14:paraId="62844592" w14:textId="77777777" w:rsidR="00057EE2" w:rsidRDefault="00000000">
      <w:pPr>
        <w:pStyle w:val="3"/>
      </w:pPr>
      <w:bookmarkStart w:id="5" w:name="hardware-dependency"/>
      <w:bookmarkEnd w:id="4"/>
      <w:r>
        <w:t>1.2 Hardware Dependency</w:t>
      </w:r>
    </w:p>
    <w:p w14:paraId="076DDB04" w14:textId="77777777" w:rsidR="00057EE2" w:rsidRDefault="00000000">
      <w:pPr>
        <w:pStyle w:val="FirstParagraph"/>
      </w:pPr>
      <w:r>
        <w:t>Modern AI has become deeply dependent on specialized accelerator supply chains. GPU scarcity, export restrictions, vendor lock-in, and rapid hardware obsolescence have become strategic risks. Enterprises and governments increasingly recognize that AI infrastructure is not merely an IT procurement issue. It is a sovereignty, security, and industrial competitiveness issue.</w:t>
      </w:r>
    </w:p>
    <w:p w14:paraId="1C77EE4A" w14:textId="77777777" w:rsidR="00057EE2" w:rsidRDefault="00000000">
      <w:pPr>
        <w:pStyle w:val="a0"/>
      </w:pPr>
      <w:r>
        <w:t>Buying more hardware may be necessary, but it is not sufficient. If the same inefficient numerical structure is executed on more hardware, the result is a larger version of the same structural problem.</w:t>
      </w:r>
    </w:p>
    <w:p w14:paraId="3FFD4B73" w14:textId="77777777" w:rsidR="00057EE2" w:rsidRDefault="00000000">
      <w:pPr>
        <w:pStyle w:val="3"/>
      </w:pPr>
      <w:bookmarkStart w:id="6" w:name="memory-and-data-movement"/>
      <w:bookmarkEnd w:id="5"/>
      <w:r>
        <w:t>1.3 Memory and Data Movement</w:t>
      </w:r>
    </w:p>
    <w:p w14:paraId="734447F3" w14:textId="77777777" w:rsidR="00057EE2" w:rsidRDefault="00000000">
      <w:pPr>
        <w:pStyle w:val="FirstParagraph"/>
      </w:pPr>
      <w:r>
        <w:t>AI workloads are not only arithmetic-intensive. They are movement-intensive. Tensor transposes, memory layout changes, cache misses, data format conversions, communication between devices, and unnecessary boundary crossings create hidden energy and time costs.</w:t>
      </w:r>
    </w:p>
    <w:p w14:paraId="1D8938EE" w14:textId="77777777" w:rsidR="00057EE2" w:rsidRDefault="00000000">
      <w:pPr>
        <w:pStyle w:val="a0"/>
      </w:pPr>
      <w:r>
        <w:lastRenderedPageBreak/>
        <w:t>Many compilers and libraries treat these boundaries as side effects. iTrix treats them as design variables.</w:t>
      </w:r>
    </w:p>
    <w:p w14:paraId="3459BB7B" w14:textId="77777777" w:rsidR="00057EE2" w:rsidRDefault="00000000">
      <w:pPr>
        <w:pStyle w:val="a0"/>
      </w:pPr>
      <w:r>
        <w:t>The key question becomes:</w:t>
      </w:r>
    </w:p>
    <w:p w14:paraId="717A4049" w14:textId="77777777" w:rsidR="00057EE2" w:rsidRDefault="00000000">
      <w:pPr>
        <w:pStyle w:val="a8"/>
      </w:pPr>
      <w:r>
        <w:t>How can computation be reorganized so that fewer boundaries are crossed, fewer representations are duplicated, and more work is executed in the most native form supported by the hardware?</w:t>
      </w:r>
    </w:p>
    <w:p w14:paraId="7A013238" w14:textId="77777777" w:rsidR="00057EE2" w:rsidRDefault="00000000">
      <w:pPr>
        <w:pStyle w:val="3"/>
      </w:pPr>
      <w:bookmarkStart w:id="7" w:name="numerical-drift-and-approximation-cost"/>
      <w:bookmarkEnd w:id="6"/>
      <w:r>
        <w:t>1.4 Numerical Drift and Approximation Cost</w:t>
      </w:r>
    </w:p>
    <w:p w14:paraId="1AF0785F" w14:textId="77777777" w:rsidR="00057EE2" w:rsidRDefault="00000000">
      <w:pPr>
        <w:pStyle w:val="FirstParagraph"/>
      </w:pPr>
      <w:r>
        <w:t>Floating-point computation is one of the great achievements of modern computing. It enabled scientific simulation, engineering design, and machine learning at global scale. But floating-point arithmetic is still an approximation system. It can accumulate round-off error, lose conservation properties, smear discontinuities, and require corrective schemes such as artificial diffusion, re-normalization, high-order stabilization, or repeated reconditioning.</w:t>
      </w:r>
    </w:p>
    <w:p w14:paraId="164688E4" w14:textId="77777777" w:rsidR="00057EE2" w:rsidRDefault="00000000">
      <w:pPr>
        <w:pStyle w:val="a0"/>
      </w:pPr>
      <w:r>
        <w:t>For short-lived tasks, these errors may be manageable. For long-horizon physical simulation, real-time control, autonomous systems, robotics, climate modeling, semiconductor process simulation, battery modeling, and conservation-law problems, drift becomes a direct source of cost and risk.</w:t>
      </w:r>
    </w:p>
    <w:p w14:paraId="2AFE4508" w14:textId="77777777" w:rsidR="00057EE2" w:rsidRDefault="00000000">
      <w:pPr>
        <w:pStyle w:val="a0"/>
      </w:pPr>
      <w:r>
        <w:t>The AI compute wall is therefore not one wall, but four walls: power, hardware dependency, memory movement, and numerical structure.</w:t>
      </w:r>
    </w:p>
    <w:p w14:paraId="77AB1234" w14:textId="77777777" w:rsidR="00057EE2" w:rsidRDefault="00000000">
      <w:r>
        <w:pict w14:anchorId="67C48037">
          <v:rect id="_x0000_i1027" style="width:0;height:1.5pt" o:hralign="center" o:hrstd="t" o:hr="t"/>
        </w:pict>
      </w:r>
    </w:p>
    <w:p w14:paraId="78E64DF9" w14:textId="77777777" w:rsidR="00057EE2" w:rsidRDefault="00000000">
      <w:pPr>
        <w:pStyle w:val="2"/>
      </w:pPr>
      <w:bookmarkStart w:id="8" w:name="why-more-gpus-are-not-enough"/>
      <w:bookmarkEnd w:id="3"/>
      <w:bookmarkEnd w:id="7"/>
      <w:r>
        <w:t>2. Why More GPUs Are Not Enough</w:t>
      </w:r>
    </w:p>
    <w:p w14:paraId="364A37AD" w14:textId="77777777" w:rsidR="00057EE2" w:rsidRDefault="00000000">
      <w:pPr>
        <w:pStyle w:val="FirstParagraph"/>
      </w:pPr>
      <w:r>
        <w:t>The standard response to AI scaling has been to increase hardware supply. More GPUs, more networking, more memory bandwidth, and more datacenter capacity have been the dominant answers. These investments will continue to matter. However, they do not solve the root cause.</w:t>
      </w:r>
    </w:p>
    <w:p w14:paraId="5846C92E" w14:textId="77777777" w:rsidR="00057EE2" w:rsidRDefault="00000000">
      <w:pPr>
        <w:pStyle w:val="a0"/>
      </w:pPr>
      <w:r>
        <w:t>A GPU is a powerful execution device. It is not, by itself, a new numerical substrate.</w:t>
      </w:r>
    </w:p>
    <w:p w14:paraId="2EA0C1AE" w14:textId="77777777" w:rsidR="00057EE2" w:rsidRDefault="00000000">
      <w:pPr>
        <w:pStyle w:val="a0"/>
      </w:pPr>
      <w:r>
        <w:t>Advanced chips can only execute the computational form they receive. When software presents data in inefficient layouts or non-native numerical forms, scarce chip capacity and energy are consumed by representation overhead: movement, conversion, duplication, and correction. Complex or high-dimensional workloads may become underutilized when they are forced through duplicated real components, fragmented custom kernels, or inefficient memory layouts. Simulations that do not preserve the required mathematical structure may also consume more hardware without producing proportionally more reliable results. ALPHA Compute addresses this problem by reshaping eligible workloads into more machine-native execution forms before they reach the hardware.</w:t>
      </w:r>
    </w:p>
    <w:p w14:paraId="6832ED20" w14:textId="77777777" w:rsidR="00057EE2" w:rsidRDefault="00000000">
      <w:pPr>
        <w:pStyle w:val="a0"/>
      </w:pPr>
      <w:r>
        <w:lastRenderedPageBreak/>
        <w:t>This is why model compression, quantization, sparsity, and accelerator scaling, while valuable, remain incomplete. They usually optimize within the existing computation paradigm. iTrix aims to optimize beneath it.</w:t>
      </w:r>
    </w:p>
    <w:p w14:paraId="04BFD851" w14:textId="77777777" w:rsidR="00057EE2" w:rsidRDefault="00000000">
      <w:pPr>
        <w:pStyle w:val="3"/>
      </w:pPr>
      <w:bookmarkStart w:id="9" w:name="Xd78d6f24e67a39fdfd6a2bf535d96cd09a71a30"/>
      <w:r>
        <w:t>2.1 The Difference Between Model Efficiency and Computation Efficiency</w:t>
      </w:r>
    </w:p>
    <w:p w14:paraId="4EDA6049" w14:textId="77777777" w:rsidR="00057EE2" w:rsidRDefault="00000000">
      <w:pPr>
        <w:pStyle w:val="FirstParagraph"/>
      </w:pPr>
      <w:r>
        <w:t>Many AI efficiency efforts focus on the model layer:</w:t>
      </w:r>
    </w:p>
    <w:p w14:paraId="2AACA796" w14:textId="77777777" w:rsidR="00057EE2" w:rsidRDefault="00000000">
      <w:pPr>
        <w:pStyle w:val="Compact"/>
        <w:numPr>
          <w:ilvl w:val="0"/>
          <w:numId w:val="3"/>
        </w:numPr>
      </w:pPr>
      <w:r>
        <w:t>smaller models;</w:t>
      </w:r>
    </w:p>
    <w:p w14:paraId="3CA601E1" w14:textId="77777777" w:rsidR="00057EE2" w:rsidRDefault="00000000">
      <w:pPr>
        <w:pStyle w:val="Compact"/>
        <w:numPr>
          <w:ilvl w:val="0"/>
          <w:numId w:val="3"/>
        </w:numPr>
      </w:pPr>
      <w:r>
        <w:t>lower precision weights;</w:t>
      </w:r>
    </w:p>
    <w:p w14:paraId="47A2ED27" w14:textId="77777777" w:rsidR="00057EE2" w:rsidRDefault="00000000">
      <w:pPr>
        <w:pStyle w:val="Compact"/>
        <w:numPr>
          <w:ilvl w:val="0"/>
          <w:numId w:val="3"/>
        </w:numPr>
      </w:pPr>
      <w:r>
        <w:t>pruning;</w:t>
      </w:r>
    </w:p>
    <w:p w14:paraId="5070D7E5" w14:textId="77777777" w:rsidR="00057EE2" w:rsidRDefault="00000000">
      <w:pPr>
        <w:pStyle w:val="Compact"/>
        <w:numPr>
          <w:ilvl w:val="0"/>
          <w:numId w:val="3"/>
        </w:numPr>
      </w:pPr>
      <w:r>
        <w:t>sparsity;</w:t>
      </w:r>
    </w:p>
    <w:p w14:paraId="14174728" w14:textId="77777777" w:rsidR="00057EE2" w:rsidRDefault="00000000">
      <w:pPr>
        <w:pStyle w:val="Compact"/>
        <w:numPr>
          <w:ilvl w:val="0"/>
          <w:numId w:val="3"/>
        </w:numPr>
      </w:pPr>
      <w:r>
        <w:t>distillation;</w:t>
      </w:r>
    </w:p>
    <w:p w14:paraId="5C1190A3" w14:textId="77777777" w:rsidR="00057EE2" w:rsidRDefault="00000000">
      <w:pPr>
        <w:pStyle w:val="Compact"/>
        <w:numPr>
          <w:ilvl w:val="0"/>
          <w:numId w:val="3"/>
        </w:numPr>
      </w:pPr>
      <w:r>
        <w:t>retrieval augmentation;</w:t>
      </w:r>
    </w:p>
    <w:p w14:paraId="28E6A584" w14:textId="77777777" w:rsidR="00057EE2" w:rsidRDefault="00000000">
      <w:pPr>
        <w:pStyle w:val="Compact"/>
        <w:numPr>
          <w:ilvl w:val="0"/>
          <w:numId w:val="3"/>
        </w:numPr>
      </w:pPr>
      <w:r>
        <w:t>better attention mechanisms;</w:t>
      </w:r>
    </w:p>
    <w:p w14:paraId="33688CCD" w14:textId="77777777" w:rsidR="00057EE2" w:rsidRDefault="00000000">
      <w:pPr>
        <w:pStyle w:val="Compact"/>
        <w:numPr>
          <w:ilvl w:val="0"/>
          <w:numId w:val="3"/>
        </w:numPr>
      </w:pPr>
      <w:r>
        <w:t>hardware-aware training.</w:t>
      </w:r>
    </w:p>
    <w:p w14:paraId="4CEE51C3" w14:textId="77777777" w:rsidR="00057EE2" w:rsidRDefault="00000000">
      <w:pPr>
        <w:pStyle w:val="FirstParagraph"/>
      </w:pPr>
      <w:r>
        <w:t>These are important. However, they do not fully address the computation substrate. A model may be smaller but still executed through inefficient numerical pathways. A tensor may be quantized but still moved through unnecessary memory transitions. A simulation may use lower precision but still fail to preserve conservation.</w:t>
      </w:r>
    </w:p>
    <w:p w14:paraId="6DC39601" w14:textId="77777777" w:rsidR="00057EE2" w:rsidRDefault="00000000">
      <w:pPr>
        <w:pStyle w:val="a0"/>
      </w:pPr>
      <w:r>
        <w:rPr>
          <w:b/>
          <w:bCs/>
        </w:rPr>
        <w:t>ALPHA Compute and ALPHA Core are not alternatives to model efficiency. They are complementary to it.</w:t>
      </w:r>
    </w:p>
    <w:p w14:paraId="035EA159" w14:textId="77777777" w:rsidR="00057EE2" w:rsidRDefault="00000000">
      <w:pPr>
        <w:pStyle w:val="a0"/>
      </w:pPr>
      <w:r>
        <w:t>They ask a deeper question:</w:t>
      </w:r>
    </w:p>
    <w:p w14:paraId="606085E8" w14:textId="77777777" w:rsidR="00057EE2" w:rsidRDefault="00000000">
      <w:pPr>
        <w:pStyle w:val="a8"/>
      </w:pPr>
      <w:r>
        <w:t>Before computation is executed, can its mathematical structure be transformed into a more efficient, more hardware-native, and more stable form?</w:t>
      </w:r>
    </w:p>
    <w:p w14:paraId="71FE066C" w14:textId="77777777" w:rsidR="00057EE2" w:rsidRDefault="00000000">
      <w:pPr>
        <w:pStyle w:val="3"/>
      </w:pPr>
      <w:bookmarkStart w:id="10" w:name="X2b1019a5c3660b1eebe60ddae2f72d1b914038c"/>
      <w:bookmarkEnd w:id="9"/>
      <w:r>
        <w:t>2.2 The Cost of Treating Structure as an Afterthought</w:t>
      </w:r>
    </w:p>
    <w:p w14:paraId="394941B7" w14:textId="77777777" w:rsidR="00057EE2" w:rsidRDefault="00000000">
      <w:pPr>
        <w:pStyle w:val="FirstParagraph"/>
      </w:pPr>
      <w:r>
        <w:t>Many high-value workloads contain structure:</w:t>
      </w:r>
    </w:p>
    <w:p w14:paraId="4A6AD349" w14:textId="77777777" w:rsidR="00057EE2" w:rsidRDefault="00000000">
      <w:pPr>
        <w:pStyle w:val="Compact"/>
        <w:numPr>
          <w:ilvl w:val="0"/>
          <w:numId w:val="4"/>
        </w:numPr>
      </w:pPr>
      <w:r>
        <w:t>complex-valued matrices;</w:t>
      </w:r>
    </w:p>
    <w:p w14:paraId="7F386E22" w14:textId="77777777" w:rsidR="00057EE2" w:rsidRDefault="00000000">
      <w:pPr>
        <w:pStyle w:val="Compact"/>
        <w:numPr>
          <w:ilvl w:val="0"/>
          <w:numId w:val="4"/>
        </w:numPr>
      </w:pPr>
      <w:r>
        <w:t>Hermitian and skew-Hermitian decomposition;</w:t>
      </w:r>
    </w:p>
    <w:p w14:paraId="32E60DA8" w14:textId="77777777" w:rsidR="00057EE2" w:rsidRDefault="00000000">
      <w:pPr>
        <w:pStyle w:val="Compact"/>
        <w:numPr>
          <w:ilvl w:val="0"/>
          <w:numId w:val="4"/>
        </w:numPr>
      </w:pPr>
      <w:r>
        <w:t>symmetric positive-definite blocks;</w:t>
      </w:r>
    </w:p>
    <w:p w14:paraId="3EA6B0E3" w14:textId="77777777" w:rsidR="00057EE2" w:rsidRDefault="00000000">
      <w:pPr>
        <w:pStyle w:val="Compact"/>
        <w:numPr>
          <w:ilvl w:val="0"/>
          <w:numId w:val="4"/>
        </w:numPr>
      </w:pPr>
      <w:r>
        <w:t>tensor-valued operators;</w:t>
      </w:r>
    </w:p>
    <w:p w14:paraId="1BDCB98D" w14:textId="77777777" w:rsidR="00057EE2" w:rsidRDefault="00000000">
      <w:pPr>
        <w:pStyle w:val="Compact"/>
        <w:numPr>
          <w:ilvl w:val="0"/>
          <w:numId w:val="4"/>
        </w:numPr>
      </w:pPr>
      <w:r>
        <w:t>conservation laws;</w:t>
      </w:r>
    </w:p>
    <w:p w14:paraId="7DC71BD4" w14:textId="77777777" w:rsidR="00057EE2" w:rsidRDefault="00000000">
      <w:pPr>
        <w:pStyle w:val="Compact"/>
        <w:numPr>
          <w:ilvl w:val="0"/>
          <w:numId w:val="4"/>
        </w:numPr>
      </w:pPr>
      <w:r>
        <w:t>antisymmetric fluxes;</w:t>
      </w:r>
    </w:p>
    <w:p w14:paraId="5A838A67" w14:textId="77777777" w:rsidR="00057EE2" w:rsidRDefault="00000000">
      <w:pPr>
        <w:pStyle w:val="Compact"/>
        <w:numPr>
          <w:ilvl w:val="0"/>
          <w:numId w:val="4"/>
        </w:numPr>
      </w:pPr>
      <w:r>
        <w:t>integer-preserving updates;</w:t>
      </w:r>
    </w:p>
    <w:p w14:paraId="03616AF6" w14:textId="77777777" w:rsidR="00057EE2" w:rsidRDefault="00000000">
      <w:pPr>
        <w:pStyle w:val="Compact"/>
        <w:numPr>
          <w:ilvl w:val="0"/>
          <w:numId w:val="4"/>
        </w:numPr>
      </w:pPr>
      <w:r>
        <w:t>topology-like invariants;</w:t>
      </w:r>
    </w:p>
    <w:p w14:paraId="4B51152A" w14:textId="77777777" w:rsidR="00057EE2" w:rsidRDefault="00000000">
      <w:pPr>
        <w:pStyle w:val="Compact"/>
        <w:numPr>
          <w:ilvl w:val="0"/>
          <w:numId w:val="4"/>
        </w:numPr>
      </w:pPr>
      <w:r>
        <w:t>boundary-state equivalences.</w:t>
      </w:r>
    </w:p>
    <w:p w14:paraId="00A5D623" w14:textId="77777777" w:rsidR="00057EE2" w:rsidRDefault="00000000">
      <w:pPr>
        <w:pStyle w:val="FirstParagraph"/>
      </w:pPr>
      <w:r>
        <w:lastRenderedPageBreak/>
        <w:t>Conventional execution often ignores or partially exploits this structure. The result is unnecessary overhead. iTrix’s approach is to make structure explicit and executable.</w:t>
      </w:r>
    </w:p>
    <w:p w14:paraId="7514A313" w14:textId="77777777" w:rsidR="00057EE2" w:rsidRDefault="00000000">
      <w:pPr>
        <w:pStyle w:val="3"/>
      </w:pPr>
      <w:bookmarkStart w:id="11" w:name="X3cabb027e6edb7cea79824ecd142f9476155985"/>
      <w:bookmarkEnd w:id="10"/>
      <w:r>
        <w:t>2.3 The Coming Shift: From Hardware Scaling to Structural Computation</w:t>
      </w:r>
    </w:p>
    <w:p w14:paraId="33C1101B" w14:textId="77777777" w:rsidR="00057EE2" w:rsidRDefault="00000000">
      <w:pPr>
        <w:pStyle w:val="FirstParagraph"/>
      </w:pPr>
      <w:r>
        <w:t xml:space="preserve">The current generation of AI infrastructure can be described as </w:t>
      </w:r>
      <w:r>
        <w:rPr>
          <w:b/>
          <w:bCs/>
        </w:rPr>
        <w:t>hardware-centric scaling</w:t>
      </w:r>
      <w:r>
        <w:t xml:space="preserve">. The next generation will increasingly require </w:t>
      </w:r>
      <w:r>
        <w:rPr>
          <w:b/>
          <w:bCs/>
        </w:rPr>
        <w:t>structure-centric scaling</w:t>
      </w:r>
      <w:r>
        <w:t>.</w:t>
      </w:r>
    </w:p>
    <w:p w14:paraId="1093B919" w14:textId="77777777" w:rsidR="00057EE2" w:rsidRDefault="00000000">
      <w:pPr>
        <w:pStyle w:val="a0"/>
      </w:pPr>
      <w:r>
        <w:t>Hardware-centric scaling asks:</w:t>
      </w:r>
    </w:p>
    <w:p w14:paraId="0E30AD08" w14:textId="77777777" w:rsidR="00057EE2" w:rsidRDefault="00000000">
      <w:pPr>
        <w:pStyle w:val="a8"/>
      </w:pPr>
      <w:r>
        <w:t>How many more operations can we run per second?</w:t>
      </w:r>
    </w:p>
    <w:p w14:paraId="7C6AC12D" w14:textId="77777777" w:rsidR="00057EE2" w:rsidRDefault="00000000">
      <w:pPr>
        <w:pStyle w:val="FirstParagraph"/>
      </w:pPr>
      <w:r>
        <w:t>Structure-centric scaling asks:</w:t>
      </w:r>
    </w:p>
    <w:p w14:paraId="2681E12C" w14:textId="77777777" w:rsidR="00057EE2" w:rsidRDefault="00000000">
      <w:pPr>
        <w:pStyle w:val="a8"/>
      </w:pPr>
      <w:r>
        <w:t>How many operations, memory movements, format conversions, and boundary crossings can we eliminate before execution begins?</w:t>
      </w:r>
    </w:p>
    <w:p w14:paraId="5FA81858" w14:textId="77777777" w:rsidR="00057EE2" w:rsidRDefault="00000000">
      <w:pPr>
        <w:pStyle w:val="FirstParagraph"/>
      </w:pPr>
      <w:r>
        <w:t>ALPHA Compute and ALPHA Core are built for the second question.</w:t>
      </w:r>
    </w:p>
    <w:p w14:paraId="4EBACD1F" w14:textId="77777777" w:rsidR="00057EE2" w:rsidRDefault="00000000">
      <w:r>
        <w:pict w14:anchorId="7877A275">
          <v:rect id="_x0000_i1028" style="width:0;height:1.5pt" o:hralign="center" o:hrstd="t" o:hr="t"/>
        </w:pict>
      </w:r>
    </w:p>
    <w:p w14:paraId="6F5C0057" w14:textId="77777777" w:rsidR="00057EE2" w:rsidRDefault="00000000">
      <w:pPr>
        <w:pStyle w:val="2"/>
      </w:pPr>
      <w:bookmarkStart w:id="12" w:name="X2884b642ad4b4b25372053dbbf02704dd14101d"/>
      <w:bookmarkEnd w:id="8"/>
      <w:bookmarkEnd w:id="11"/>
      <w:r>
        <w:t>3. iTrix’s Core Insight: Computation Substrate Matters</w:t>
      </w:r>
    </w:p>
    <w:p w14:paraId="378600E4" w14:textId="77777777" w:rsidR="00057EE2" w:rsidRDefault="00000000">
      <w:pPr>
        <w:pStyle w:val="FirstParagraph"/>
      </w:pPr>
      <w:r>
        <w:t>The central insight behind iTrix is that AI efficiency is not determined only by the number of computations. It is also determined by the structure of computation.</w:t>
      </w:r>
    </w:p>
    <w:p w14:paraId="2ADD0B43" w14:textId="77777777" w:rsidR="00057EE2" w:rsidRDefault="00000000">
      <w:pPr>
        <w:pStyle w:val="a0"/>
      </w:pPr>
      <w:r>
        <w:t>In conventional software, computation is typically represented in a form dictated by programming abstractions, library interfaces, and hardware kernels. But the mathematical object itself may contain a more efficient representation. If that structure is recognized, transformed, and preserved, the same underlying workload can be executed through a more efficient path.</w:t>
      </w:r>
    </w:p>
    <w:p w14:paraId="7D05DA69" w14:textId="77777777" w:rsidR="00057EE2" w:rsidRDefault="00000000">
      <w:pPr>
        <w:pStyle w:val="a0"/>
      </w:pPr>
      <w:r>
        <w:t>This is the role of the computation substrate.</w:t>
      </w:r>
    </w:p>
    <w:p w14:paraId="6498DC83" w14:textId="77777777" w:rsidR="00057EE2" w:rsidRDefault="00000000">
      <w:pPr>
        <w:pStyle w:val="3"/>
      </w:pPr>
      <w:bookmarkStart w:id="13" w:name="what-is-a-computation-substrate"/>
      <w:r>
        <w:t>3.1 What Is a Computation Substrate?</w:t>
      </w:r>
    </w:p>
    <w:p w14:paraId="57507CDB" w14:textId="77777777" w:rsidR="00057EE2" w:rsidRDefault="00000000">
      <w:pPr>
        <w:pStyle w:val="FirstParagraph"/>
      </w:pPr>
      <w:r>
        <w:t>A computation substrate is the layer that defines how mathematical objects become executable operations. It sits below the model and above the physical hardware.</w:t>
      </w:r>
    </w:p>
    <w:p w14:paraId="45D2D3A5" w14:textId="77777777" w:rsidR="00057EE2" w:rsidRDefault="00000000">
      <w:pPr>
        <w:pStyle w:val="a0"/>
      </w:pPr>
      <w:r>
        <w:t>It determines:</w:t>
      </w:r>
    </w:p>
    <w:p w14:paraId="440E44F9" w14:textId="77777777" w:rsidR="00057EE2" w:rsidRDefault="00000000">
      <w:pPr>
        <w:pStyle w:val="Compact"/>
        <w:numPr>
          <w:ilvl w:val="0"/>
          <w:numId w:val="5"/>
        </w:numPr>
      </w:pPr>
      <w:r>
        <w:t>how numbers are represented;</w:t>
      </w:r>
    </w:p>
    <w:p w14:paraId="7278CABD" w14:textId="77777777" w:rsidR="00057EE2" w:rsidRDefault="00000000">
      <w:pPr>
        <w:pStyle w:val="Compact"/>
        <w:numPr>
          <w:ilvl w:val="0"/>
          <w:numId w:val="5"/>
        </w:numPr>
      </w:pPr>
      <w:r>
        <w:t>how tensors are arranged;</w:t>
      </w:r>
    </w:p>
    <w:p w14:paraId="1F069D0A" w14:textId="77777777" w:rsidR="00057EE2" w:rsidRDefault="00000000">
      <w:pPr>
        <w:pStyle w:val="Compact"/>
        <w:numPr>
          <w:ilvl w:val="0"/>
          <w:numId w:val="5"/>
        </w:numPr>
      </w:pPr>
      <w:r>
        <w:t>how complex and high-dimensional algebra is mapped to real hardware;</w:t>
      </w:r>
    </w:p>
    <w:p w14:paraId="5BC33D28" w14:textId="77777777" w:rsidR="00057EE2" w:rsidRDefault="00000000">
      <w:pPr>
        <w:pStyle w:val="Compact"/>
        <w:numPr>
          <w:ilvl w:val="0"/>
          <w:numId w:val="5"/>
        </w:numPr>
      </w:pPr>
      <w:r>
        <w:t>how conserved quantities are updated;</w:t>
      </w:r>
    </w:p>
    <w:p w14:paraId="6C0E0E08" w14:textId="77777777" w:rsidR="00057EE2" w:rsidRDefault="00000000">
      <w:pPr>
        <w:pStyle w:val="Compact"/>
        <w:numPr>
          <w:ilvl w:val="0"/>
          <w:numId w:val="5"/>
        </w:numPr>
      </w:pPr>
      <w:r>
        <w:t>how memory boundaries are crossed;</w:t>
      </w:r>
    </w:p>
    <w:p w14:paraId="723D3553" w14:textId="77777777" w:rsidR="00057EE2" w:rsidRDefault="00000000">
      <w:pPr>
        <w:pStyle w:val="Compact"/>
        <w:numPr>
          <w:ilvl w:val="0"/>
          <w:numId w:val="5"/>
        </w:numPr>
      </w:pPr>
      <w:r>
        <w:lastRenderedPageBreak/>
        <w:t>how numerical stability is preserved;</w:t>
      </w:r>
    </w:p>
    <w:p w14:paraId="3133AB10" w14:textId="77777777" w:rsidR="00057EE2" w:rsidRDefault="00000000">
      <w:pPr>
        <w:pStyle w:val="Compact"/>
        <w:numPr>
          <w:ilvl w:val="0"/>
          <w:numId w:val="5"/>
        </w:numPr>
      </w:pPr>
      <w:r>
        <w:t>how hardware kernels are selected;</w:t>
      </w:r>
    </w:p>
    <w:p w14:paraId="26364CAC" w14:textId="77777777" w:rsidR="00057EE2" w:rsidRDefault="00000000">
      <w:pPr>
        <w:pStyle w:val="Compact"/>
        <w:numPr>
          <w:ilvl w:val="0"/>
          <w:numId w:val="5"/>
        </w:numPr>
      </w:pPr>
      <w:r>
        <w:t>how results are recovered after transformation.</w:t>
      </w:r>
    </w:p>
    <w:p w14:paraId="0C281D62" w14:textId="77777777" w:rsidR="00057EE2" w:rsidRDefault="00000000">
      <w:pPr>
        <w:pStyle w:val="FirstParagraph"/>
      </w:pPr>
      <w:r>
        <w:t>Today, this substrate is largely inherited from historical choices: binary digital logic, floating-point arithmetic, real-valued linear algebra libraries, and hardware-specific acceleration APIs.</w:t>
      </w:r>
    </w:p>
    <w:p w14:paraId="79FBE33C" w14:textId="77777777" w:rsidR="00057EE2" w:rsidRDefault="00000000">
      <w:pPr>
        <w:pStyle w:val="a0"/>
      </w:pPr>
      <w:r>
        <w:t>The iTrix thesis is that this inherited substrate is no longer sufficient for the AI era.</w:t>
      </w:r>
    </w:p>
    <w:p w14:paraId="4F495C33" w14:textId="77777777" w:rsidR="00057EE2" w:rsidRDefault="00000000">
      <w:pPr>
        <w:pStyle w:val="3"/>
      </w:pPr>
      <w:bookmarkStart w:id="14" w:name="X496e30a5b9e4597579df8c94a577da58b43ebe9"/>
      <w:bookmarkEnd w:id="13"/>
      <w:r>
        <w:t>3.2 From Arithmetic Quantity to Structural Quality</w:t>
      </w:r>
    </w:p>
    <w:p w14:paraId="4C62DD7A" w14:textId="77777777" w:rsidR="00057EE2" w:rsidRDefault="00000000">
      <w:pPr>
        <w:pStyle w:val="FirstParagraph"/>
      </w:pPr>
      <w:r>
        <w:t>Traditional optimization measures how many operations can be executed. iTrix focuses on what kind of operations are executed.</w:t>
      </w:r>
    </w:p>
    <w:p w14:paraId="07D78011" w14:textId="77777777" w:rsidR="00057EE2" w:rsidRDefault="00000000">
      <w:pPr>
        <w:pStyle w:val="a0"/>
      </w:pPr>
      <w:r>
        <w:t>Not all operations are equal. A real symmetric positive-definite operation executed through a mature Cholesky routine may be more efficient and stable than a generic complex operation. An integer flux update that preserves conservation exactly may be more valuable than a floating-point update that must later be corrected. A tensor layout that avoids a boundary crossing may save more energy than a faster arithmetic unit.</w:t>
      </w:r>
    </w:p>
    <w:p w14:paraId="7158D17B" w14:textId="77777777" w:rsidR="00057EE2" w:rsidRDefault="00000000">
      <w:pPr>
        <w:pStyle w:val="a0"/>
      </w:pPr>
      <w:r>
        <w:t>The quality of computation matters.</w:t>
      </w:r>
    </w:p>
    <w:p w14:paraId="77695C8F" w14:textId="77777777" w:rsidR="00057EE2" w:rsidRDefault="00000000">
      <w:pPr>
        <w:pStyle w:val="3"/>
      </w:pPr>
      <w:bookmarkStart w:id="15" w:name="the-alpha-architecture"/>
      <w:bookmarkEnd w:id="14"/>
      <w:r>
        <w:t>3.3 The ALPHA Architecture</w:t>
      </w:r>
    </w:p>
    <w:p w14:paraId="2010C3FA" w14:textId="77777777" w:rsidR="00057EE2" w:rsidRDefault="00000000">
      <w:pPr>
        <w:pStyle w:val="FirstParagraph"/>
      </w:pPr>
      <w:r>
        <w:t>The ALPHA architecture is iTrix’s productization of this insight. It has two commercial expressions:</w:t>
      </w:r>
    </w:p>
    <w:p w14:paraId="3E3B0232" w14:textId="77777777" w:rsidR="00057EE2" w:rsidRDefault="00000000">
      <w:pPr>
        <w:pStyle w:val="Compact"/>
        <w:numPr>
          <w:ilvl w:val="0"/>
          <w:numId w:val="6"/>
        </w:numPr>
      </w:pPr>
      <w:r>
        <w:rPr>
          <w:b/>
          <w:bCs/>
        </w:rPr>
        <w:t>ALPHA Compute</w:t>
      </w:r>
      <w:r>
        <w:t>: software-first, runtime-oriented, deployable through PoC and customer workload integration;</w:t>
      </w:r>
    </w:p>
    <w:p w14:paraId="78D010BA" w14:textId="77777777" w:rsidR="00057EE2" w:rsidRDefault="00000000">
      <w:pPr>
        <w:pStyle w:val="Compact"/>
        <w:numPr>
          <w:ilvl w:val="0"/>
          <w:numId w:val="6"/>
        </w:numPr>
      </w:pPr>
      <w:r>
        <w:rPr>
          <w:b/>
          <w:bCs/>
        </w:rPr>
        <w:t>ALPHA Core</w:t>
      </w:r>
      <w:r>
        <w:t>: hardware-facing, IP-oriented, suitable for semiconductor, edge, and accelerator partnerships.</w:t>
      </w:r>
    </w:p>
    <w:p w14:paraId="611EA43B" w14:textId="77777777" w:rsidR="00057EE2" w:rsidRDefault="00000000">
      <w:pPr>
        <w:pStyle w:val="FirstParagraph"/>
      </w:pPr>
      <w:r>
        <w:t>They share the same strategic purpose:</w:t>
      </w:r>
    </w:p>
    <w:p w14:paraId="6F8F6497" w14:textId="77777777" w:rsidR="00057EE2" w:rsidRDefault="00000000">
      <w:pPr>
        <w:pStyle w:val="a8"/>
      </w:pPr>
      <w:r>
        <w:rPr>
          <w:b/>
          <w:bCs/>
        </w:rPr>
        <w:t>Turn mathematical structure into computational advantage.</w:t>
      </w:r>
    </w:p>
    <w:p w14:paraId="6B12EA0A" w14:textId="77777777" w:rsidR="00057EE2" w:rsidRDefault="00000000">
      <w:r>
        <w:pict w14:anchorId="20A05299">
          <v:rect id="_x0000_i1029" style="width:0;height:1.5pt" o:hralign="center" o:hrstd="t" o:hr="t"/>
        </w:pict>
      </w:r>
    </w:p>
    <w:p w14:paraId="4FA98522" w14:textId="77777777" w:rsidR="00057EE2" w:rsidRDefault="00000000">
      <w:pPr>
        <w:pStyle w:val="2"/>
      </w:pPr>
      <w:bookmarkStart w:id="16" w:name="X9abdf905f267b82faab57294c4674310f9327f2"/>
      <w:bookmarkEnd w:id="12"/>
      <w:bookmarkEnd w:id="15"/>
      <w:r>
        <w:t>4. ALPHA Compute: Software Layer for Efficient AI Execution</w:t>
      </w:r>
    </w:p>
    <w:p w14:paraId="35653ACD" w14:textId="77777777" w:rsidR="00057EE2" w:rsidRDefault="00000000">
      <w:pPr>
        <w:pStyle w:val="FirstParagraph"/>
      </w:pPr>
      <w:r>
        <w:t>ALPHA Compute is the near-term commercial product path for iTrix. It is designed as a software, runtime, and library layer that identifies eligible numerical workloads, transforms them into more efficient execution forms, routes them through optimized hardware-native kernels, and recovers the mathematically equivalent result.</w:t>
      </w:r>
    </w:p>
    <w:p w14:paraId="078D8EF6" w14:textId="77777777" w:rsidR="00057EE2" w:rsidRDefault="00000000">
      <w:pPr>
        <w:pStyle w:val="a0"/>
      </w:pPr>
      <w:r>
        <w:lastRenderedPageBreak/>
        <w:t>It is not a replacement for existing AI frameworks. It is a structural optimization layer that can be integrated with them.</w:t>
      </w:r>
    </w:p>
    <w:p w14:paraId="5CB22797" w14:textId="77777777" w:rsidR="00057EE2" w:rsidRDefault="00000000">
      <w:pPr>
        <w:pStyle w:val="3"/>
      </w:pPr>
      <w:bookmarkStart w:id="17" w:name="product-definition"/>
      <w:r>
        <w:t>4.1 Product Definition</w:t>
      </w:r>
    </w:p>
    <w:p w14:paraId="39A5BCD9" w14:textId="77777777" w:rsidR="00057EE2" w:rsidRDefault="00000000">
      <w:pPr>
        <w:pStyle w:val="FirstParagraph"/>
      </w:pPr>
      <w:r>
        <w:rPr>
          <w:b/>
          <w:bCs/>
        </w:rPr>
        <w:t>ALPHA Compute is a computation acceleration and stability layer for AI, scientific computing, and industrial simulation workloads.</w:t>
      </w:r>
    </w:p>
    <w:p w14:paraId="264AA760" w14:textId="77777777" w:rsidR="00057EE2" w:rsidRDefault="00000000">
      <w:pPr>
        <w:pStyle w:val="a0"/>
      </w:pPr>
      <w:r>
        <w:t>It aims to improve execution by:</w:t>
      </w:r>
    </w:p>
    <w:p w14:paraId="1903DFD9" w14:textId="77777777" w:rsidR="00057EE2" w:rsidRDefault="00000000">
      <w:pPr>
        <w:pStyle w:val="Compact"/>
        <w:numPr>
          <w:ilvl w:val="0"/>
          <w:numId w:val="7"/>
        </w:numPr>
      </w:pPr>
      <w:r>
        <w:t>converting eligible complex and tensor-valued operations into real-kernel-compatible structures;</w:t>
      </w:r>
    </w:p>
    <w:p w14:paraId="44AF56BB" w14:textId="77777777" w:rsidR="00057EE2" w:rsidRDefault="00000000">
      <w:pPr>
        <w:pStyle w:val="Compact"/>
        <w:numPr>
          <w:ilvl w:val="0"/>
          <w:numId w:val="7"/>
        </w:numPr>
      </w:pPr>
      <w:r>
        <w:t>reducing unnecessary memory duplication and data movement;</w:t>
      </w:r>
    </w:p>
    <w:p w14:paraId="159F280A" w14:textId="77777777" w:rsidR="00057EE2" w:rsidRDefault="00000000">
      <w:pPr>
        <w:pStyle w:val="Compact"/>
        <w:numPr>
          <w:ilvl w:val="0"/>
          <w:numId w:val="7"/>
        </w:numPr>
      </w:pPr>
      <w:r>
        <w:t>applying structure-preserving integer updates to conservation-sensitive systems;</w:t>
      </w:r>
    </w:p>
    <w:p w14:paraId="15CFD4E3" w14:textId="77777777" w:rsidR="00057EE2" w:rsidRDefault="00000000">
      <w:pPr>
        <w:pStyle w:val="Compact"/>
        <w:numPr>
          <w:ilvl w:val="0"/>
          <w:numId w:val="7"/>
        </w:numPr>
      </w:pPr>
      <w:r>
        <w:t>identifying boundary crossings that can be eliminated or reduced;</w:t>
      </w:r>
    </w:p>
    <w:p w14:paraId="6126C65B" w14:textId="77777777" w:rsidR="00057EE2" w:rsidRDefault="00000000">
      <w:pPr>
        <w:pStyle w:val="Compact"/>
        <w:numPr>
          <w:ilvl w:val="0"/>
          <w:numId w:val="7"/>
        </w:numPr>
      </w:pPr>
      <w:r>
        <w:t>using existing CPU, GPU, NPU, and accelerator infrastructure more efficiently;</w:t>
      </w:r>
    </w:p>
    <w:p w14:paraId="27946C40" w14:textId="77777777" w:rsidR="00057EE2" w:rsidRDefault="00000000">
      <w:pPr>
        <w:pStyle w:val="Compact"/>
        <w:numPr>
          <w:ilvl w:val="0"/>
          <w:numId w:val="7"/>
        </w:numPr>
      </w:pPr>
      <w:r>
        <w:t>preserving mathematical invariants where the transformation is applicable.</w:t>
      </w:r>
    </w:p>
    <w:p w14:paraId="040988E7" w14:textId="77777777" w:rsidR="00057EE2" w:rsidRDefault="00000000">
      <w:pPr>
        <w:pStyle w:val="3"/>
      </w:pPr>
      <w:bookmarkStart w:id="18" w:name="where-alpha-compute-fits"/>
      <w:bookmarkEnd w:id="17"/>
      <w:r>
        <w:t>4.2 Where ALPHA Compute Fits</w:t>
      </w:r>
    </w:p>
    <w:p w14:paraId="7CD5BB7D" w14:textId="77777777" w:rsidR="00057EE2" w:rsidRDefault="00000000">
      <w:pPr>
        <w:pStyle w:val="FirstParagraph"/>
      </w:pPr>
      <w:r>
        <w:t>ALPHA Compute can be positioned between high-level frameworks and low-level execution kernels.</w:t>
      </w:r>
    </w:p>
    <w:p w14:paraId="2E86A5BE" w14:textId="77777777" w:rsidR="00057EE2" w:rsidRDefault="00000000">
      <w:pPr>
        <w:pStyle w:val="a0"/>
      </w:pPr>
      <w:r>
        <w:t>Typical stack:</w:t>
      </w:r>
    </w:p>
    <w:p w14:paraId="7E914342" w14:textId="77777777" w:rsidR="00057EE2" w:rsidRDefault="00000000">
      <w:pPr>
        <w:pStyle w:val="Compact"/>
        <w:numPr>
          <w:ilvl w:val="0"/>
          <w:numId w:val="8"/>
        </w:numPr>
      </w:pPr>
      <w:r>
        <w:t>AI model, simulation model, or industrial workload;</w:t>
      </w:r>
    </w:p>
    <w:p w14:paraId="25CE47FE" w14:textId="77777777" w:rsidR="00057EE2" w:rsidRDefault="00000000">
      <w:pPr>
        <w:pStyle w:val="Compact"/>
        <w:numPr>
          <w:ilvl w:val="0"/>
          <w:numId w:val="8"/>
        </w:numPr>
      </w:pPr>
      <w:r>
        <w:t>framework or application layer;</w:t>
      </w:r>
    </w:p>
    <w:p w14:paraId="75ACAF6A" w14:textId="77777777" w:rsidR="00057EE2" w:rsidRDefault="00000000">
      <w:pPr>
        <w:pStyle w:val="Compact"/>
        <w:numPr>
          <w:ilvl w:val="0"/>
          <w:numId w:val="8"/>
        </w:numPr>
      </w:pPr>
      <w:r>
        <w:t>ALPHA Compute structural transformation layer;</w:t>
      </w:r>
    </w:p>
    <w:p w14:paraId="7CD27508" w14:textId="77777777" w:rsidR="00057EE2" w:rsidRDefault="00000000">
      <w:pPr>
        <w:pStyle w:val="Compact"/>
        <w:numPr>
          <w:ilvl w:val="0"/>
          <w:numId w:val="8"/>
        </w:numPr>
      </w:pPr>
      <w:r>
        <w:t>BLAS/LAPACK/cuBLAS/cuSPARSE, compiler, runtime, or accelerator interface;</w:t>
      </w:r>
    </w:p>
    <w:p w14:paraId="30E0BA1B" w14:textId="77777777" w:rsidR="00057EE2" w:rsidRDefault="00000000">
      <w:pPr>
        <w:pStyle w:val="Compact"/>
        <w:numPr>
          <w:ilvl w:val="0"/>
          <w:numId w:val="8"/>
        </w:numPr>
      </w:pPr>
      <w:r>
        <w:t>CPU, GPU, NPU, FPGA, ASIC, or edge hardware.</w:t>
      </w:r>
    </w:p>
    <w:p w14:paraId="38505D93" w14:textId="77777777" w:rsidR="00057EE2" w:rsidRDefault="00000000">
      <w:pPr>
        <w:pStyle w:val="FirstParagraph"/>
      </w:pPr>
      <w:r>
        <w:t>ALPHA Compute does not need to replace the customer’s entire infrastructure. It begins by targeting compatible kernels, operators, subroutines, or solver components.</w:t>
      </w:r>
    </w:p>
    <w:p w14:paraId="7E2299FA" w14:textId="77777777" w:rsidR="00057EE2" w:rsidRDefault="00000000">
      <w:pPr>
        <w:pStyle w:val="3"/>
      </w:pPr>
      <w:bookmarkStart w:id="19" w:name="core-capabilities"/>
      <w:bookmarkEnd w:id="18"/>
      <w:r>
        <w:t>4.3 Core Capabilities</w:t>
      </w:r>
    </w:p>
    <w:p w14:paraId="107A1A43" w14:textId="77777777" w:rsidR="00057EE2" w:rsidRDefault="00000000">
      <w:pPr>
        <w:pStyle w:val="4"/>
      </w:pPr>
      <w:bookmarkStart w:id="20" w:name="axiomcre-based-real-execution"/>
      <w:r>
        <w:t>4.3.1 AXIOM/CRE-Based Real Execution</w:t>
      </w:r>
    </w:p>
    <w:p w14:paraId="374E3B5B" w14:textId="77777777" w:rsidR="00057EE2" w:rsidRDefault="00000000">
      <w:pPr>
        <w:pStyle w:val="FirstParagraph"/>
      </w:pPr>
      <w:r>
        <w:t>Many workloads use complex numbers, tensor-valued coefficients, or higher-dimensional algebraic structures. Conventional implementation often uses paired real numbers, custom complex kernels, or multiplication tables. These approaches can increase memory usage, reduce cache efficiency, and limit use of optimized real kernels.</w:t>
      </w:r>
    </w:p>
    <w:p w14:paraId="4F47E2AE" w14:textId="77777777" w:rsidR="00057EE2" w:rsidRDefault="00000000">
      <w:pPr>
        <w:pStyle w:val="a0"/>
      </w:pPr>
      <w:r>
        <w:lastRenderedPageBreak/>
        <w:t>ALPHA Compute uses AXIOM/CRE principles to map eligible operations into real block structures while preserving key mathematical properties. This allows compatible workloads to benefit from mature real arithmetic kernels.</w:t>
      </w:r>
    </w:p>
    <w:p w14:paraId="13D01823" w14:textId="77777777" w:rsidR="00057EE2" w:rsidRDefault="00000000">
      <w:pPr>
        <w:pStyle w:val="4"/>
      </w:pPr>
      <w:bookmarkStart w:id="21" w:name="fqnm-based-conservation-execution"/>
      <w:bookmarkEnd w:id="20"/>
      <w:r>
        <w:t>4.3.2 FQNM-Based Conservation Execution</w:t>
      </w:r>
    </w:p>
    <w:p w14:paraId="313AB1E9" w14:textId="77777777" w:rsidR="00057EE2" w:rsidRDefault="00000000">
      <w:pPr>
        <w:pStyle w:val="FirstParagraph"/>
      </w:pPr>
      <w:r>
        <w:t>For conservation-law systems, floating-point drift can gradually undermine the integrity of long-horizon simulations. FQNM addresses this by using quantised integer flux updates designed to preserve conservation properties under appropriate boundary assumptions.</w:t>
      </w:r>
    </w:p>
    <w:p w14:paraId="33C7FE27" w14:textId="77777777" w:rsidR="00057EE2" w:rsidRDefault="00000000">
      <w:pPr>
        <w:pStyle w:val="a0"/>
      </w:pPr>
      <w:r>
        <w:t>In commercial terms, this means ALPHA Compute may be valuable for workloads where stability and structure matter as much as raw speed:</w:t>
      </w:r>
    </w:p>
    <w:p w14:paraId="1A6DF516" w14:textId="77777777" w:rsidR="00057EE2" w:rsidRDefault="00000000">
      <w:pPr>
        <w:pStyle w:val="Compact"/>
        <w:numPr>
          <w:ilvl w:val="0"/>
          <w:numId w:val="9"/>
        </w:numPr>
      </w:pPr>
      <w:r>
        <w:t>fluid dynamics;</w:t>
      </w:r>
    </w:p>
    <w:p w14:paraId="07601B72" w14:textId="77777777" w:rsidR="00057EE2" w:rsidRDefault="00000000">
      <w:pPr>
        <w:pStyle w:val="Compact"/>
        <w:numPr>
          <w:ilvl w:val="0"/>
          <w:numId w:val="9"/>
        </w:numPr>
      </w:pPr>
      <w:r>
        <w:t>shock and discontinuity problems;</w:t>
      </w:r>
    </w:p>
    <w:p w14:paraId="0D099EB6" w14:textId="77777777" w:rsidR="00057EE2" w:rsidRDefault="00000000">
      <w:pPr>
        <w:pStyle w:val="Compact"/>
        <w:numPr>
          <w:ilvl w:val="0"/>
          <w:numId w:val="9"/>
        </w:numPr>
      </w:pPr>
      <w:r>
        <w:t>physical simulation;</w:t>
      </w:r>
    </w:p>
    <w:p w14:paraId="451A6BBB" w14:textId="77777777" w:rsidR="00057EE2" w:rsidRDefault="00000000">
      <w:pPr>
        <w:pStyle w:val="Compact"/>
        <w:numPr>
          <w:ilvl w:val="0"/>
          <w:numId w:val="9"/>
        </w:numPr>
      </w:pPr>
      <w:r>
        <w:t>battery and materials modeling;</w:t>
      </w:r>
    </w:p>
    <w:p w14:paraId="21A3C6F1" w14:textId="77777777" w:rsidR="00057EE2" w:rsidRDefault="00000000">
      <w:pPr>
        <w:pStyle w:val="Compact"/>
        <w:numPr>
          <w:ilvl w:val="0"/>
          <w:numId w:val="9"/>
        </w:numPr>
      </w:pPr>
      <w:r>
        <w:t>semiconductor process modeling;</w:t>
      </w:r>
    </w:p>
    <w:p w14:paraId="2313D582" w14:textId="77777777" w:rsidR="00057EE2" w:rsidRDefault="00000000">
      <w:pPr>
        <w:pStyle w:val="Compact"/>
        <w:numPr>
          <w:ilvl w:val="0"/>
          <w:numId w:val="9"/>
        </w:numPr>
      </w:pPr>
      <w:r>
        <w:t>robotics and control;</w:t>
      </w:r>
    </w:p>
    <w:p w14:paraId="4AF29A6B" w14:textId="77777777" w:rsidR="00057EE2" w:rsidRDefault="00000000">
      <w:pPr>
        <w:pStyle w:val="Compact"/>
        <w:numPr>
          <w:ilvl w:val="0"/>
          <w:numId w:val="9"/>
        </w:numPr>
      </w:pPr>
      <w:r>
        <w:t>long-horizon digital twins.</w:t>
      </w:r>
    </w:p>
    <w:p w14:paraId="581ACB91" w14:textId="77777777" w:rsidR="00057EE2" w:rsidRDefault="00000000">
      <w:pPr>
        <w:pStyle w:val="4"/>
      </w:pPr>
      <w:bookmarkStart w:id="22" w:name="boundary-aware-execution-planning"/>
      <w:bookmarkEnd w:id="21"/>
      <w:r>
        <w:t>4.3.3 Boundary-Aware Execution Planning</w:t>
      </w:r>
    </w:p>
    <w:p w14:paraId="17006B92" w14:textId="77777777" w:rsidR="00057EE2" w:rsidRDefault="00000000">
      <w:pPr>
        <w:pStyle w:val="FirstParagraph"/>
      </w:pPr>
      <w:r>
        <w:t>AI energy cost is often driven by data movement and representation transitions. ALPHA Compute can incorporate boundary-aware analysis to identify where computation crosses avoidable boundaries, such as tensor layout changes, memory transfers, precision conversions, or state-region transitions.</w:t>
      </w:r>
    </w:p>
    <w:p w14:paraId="062B771D" w14:textId="77777777" w:rsidR="00057EE2" w:rsidRDefault="00000000">
      <w:pPr>
        <w:pStyle w:val="a0"/>
      </w:pPr>
      <w:r>
        <w:t>The objective is not only to accelerate arithmetic, but to reduce the hidden cost of moving and reshaping computation.</w:t>
      </w:r>
    </w:p>
    <w:p w14:paraId="4C855A6B" w14:textId="77777777" w:rsidR="00057EE2" w:rsidRDefault="00000000">
      <w:pPr>
        <w:pStyle w:val="3"/>
      </w:pPr>
      <w:bookmarkStart w:id="23" w:name="customer-value"/>
      <w:bookmarkEnd w:id="19"/>
      <w:bookmarkEnd w:id="22"/>
      <w:r>
        <w:t>4.4 Customer Value</w:t>
      </w:r>
    </w:p>
    <w:p w14:paraId="32EA8E44" w14:textId="77777777" w:rsidR="00057EE2" w:rsidRDefault="00000000">
      <w:pPr>
        <w:pStyle w:val="FirstParagraph"/>
      </w:pPr>
      <w:r>
        <w:t>ALPHA Compute is designed to offer four categories of value.</w:t>
      </w:r>
    </w:p>
    <w:p w14:paraId="6B60A6E9" w14:textId="77777777" w:rsidR="00057EE2" w:rsidRDefault="00000000">
      <w:pPr>
        <w:pStyle w:val="4"/>
      </w:pPr>
      <w:bookmarkStart w:id="24" w:name="runtime-reduction"/>
      <w:r>
        <w:t>Runtime Reduction</w:t>
      </w:r>
    </w:p>
    <w:p w14:paraId="75F01B2C" w14:textId="77777777" w:rsidR="00057EE2" w:rsidRDefault="00000000">
      <w:pPr>
        <w:pStyle w:val="FirstParagraph"/>
      </w:pPr>
      <w:r>
        <w:t>For compatible workloads, transforming operations into more efficient execution structures may reduce runtime, particularly in medium-to-large matrix and tensor regimes where hardware kernels are well utilized.</w:t>
      </w:r>
    </w:p>
    <w:p w14:paraId="174F61CB" w14:textId="77777777" w:rsidR="00057EE2" w:rsidRDefault="00000000">
      <w:pPr>
        <w:pStyle w:val="4"/>
      </w:pPr>
      <w:bookmarkStart w:id="25" w:name="memory-and-data-movement-reduction"/>
      <w:bookmarkEnd w:id="24"/>
      <w:r>
        <w:t>Memory and Data Movement Reduction</w:t>
      </w:r>
    </w:p>
    <w:p w14:paraId="5B67777F" w14:textId="77777777" w:rsidR="00057EE2" w:rsidRDefault="00000000">
      <w:pPr>
        <w:pStyle w:val="FirstParagraph"/>
      </w:pPr>
      <w:r>
        <w:t>By avoiding unnecessary duplication, layout change, or representation expansion, ALPHA Compute may reduce memory overhead and improve cache and bandwidth behavior.</w:t>
      </w:r>
    </w:p>
    <w:p w14:paraId="2B60194E" w14:textId="77777777" w:rsidR="00057EE2" w:rsidRDefault="00000000">
      <w:pPr>
        <w:pStyle w:val="4"/>
      </w:pPr>
      <w:bookmarkStart w:id="26" w:name="energy-efficiency"/>
      <w:bookmarkEnd w:id="25"/>
      <w:r>
        <w:lastRenderedPageBreak/>
        <w:t>Energy Efficiency</w:t>
      </w:r>
    </w:p>
    <w:p w14:paraId="20B79AD5" w14:textId="77777777" w:rsidR="00057EE2" w:rsidRDefault="00000000">
      <w:pPr>
        <w:pStyle w:val="FirstParagraph"/>
      </w:pPr>
      <w:r>
        <w:t>Reduced runtime, reduced movement, and better use of native arithmetic units can translate into energy savings. This is especially important for datacenter AI, edge AI, robotics, and national-scale AI infrastructure.</w:t>
      </w:r>
    </w:p>
    <w:p w14:paraId="3EBB9A85" w14:textId="77777777" w:rsidR="00057EE2" w:rsidRDefault="00000000">
      <w:pPr>
        <w:pStyle w:val="4"/>
      </w:pPr>
      <w:bookmarkStart w:id="27" w:name="numerical-reliability"/>
      <w:bookmarkEnd w:id="26"/>
      <w:r>
        <w:t>Numerical Reliability</w:t>
      </w:r>
    </w:p>
    <w:p w14:paraId="3E23C28C" w14:textId="77777777" w:rsidR="00057EE2" w:rsidRDefault="00000000">
      <w:pPr>
        <w:pStyle w:val="FirstParagraph"/>
      </w:pPr>
      <w:r>
        <w:t>For workloads where invariants matter, ALPHA Compute can help preserve structure and reduce drift, improving trust in long-horizon simulation and control outputs.</w:t>
      </w:r>
    </w:p>
    <w:p w14:paraId="7CEB53B7" w14:textId="77777777" w:rsidR="00057EE2" w:rsidRDefault="00000000">
      <w:pPr>
        <w:pStyle w:val="3"/>
      </w:pPr>
      <w:bookmarkStart w:id="28" w:name="adoption-model"/>
      <w:bookmarkEnd w:id="23"/>
      <w:bookmarkEnd w:id="27"/>
      <w:r>
        <w:t>4.5 Adoption Model</w:t>
      </w:r>
    </w:p>
    <w:p w14:paraId="6AF79208" w14:textId="77777777" w:rsidR="00057EE2" w:rsidRDefault="00000000">
      <w:pPr>
        <w:pStyle w:val="FirstParagraph"/>
      </w:pPr>
      <w:r>
        <w:t>ALPHA Compute is commercialized most effectively through a PoC-led model:</w:t>
      </w:r>
    </w:p>
    <w:p w14:paraId="36AA352B" w14:textId="77777777" w:rsidR="00057EE2" w:rsidRDefault="00000000">
      <w:pPr>
        <w:pStyle w:val="Compact"/>
        <w:numPr>
          <w:ilvl w:val="0"/>
          <w:numId w:val="10"/>
        </w:numPr>
      </w:pPr>
      <w:r>
        <w:t>select customer workload;</w:t>
      </w:r>
    </w:p>
    <w:p w14:paraId="3AC67AA1" w14:textId="77777777" w:rsidR="00057EE2" w:rsidRDefault="00000000">
      <w:pPr>
        <w:pStyle w:val="Compact"/>
        <w:numPr>
          <w:ilvl w:val="0"/>
          <w:numId w:val="10"/>
        </w:numPr>
      </w:pPr>
      <w:r>
        <w:t>profile runtime, memory, energy proxy, and numerical behavior;</w:t>
      </w:r>
    </w:p>
    <w:p w14:paraId="6B5B3B51" w14:textId="77777777" w:rsidR="00057EE2" w:rsidRDefault="00000000">
      <w:pPr>
        <w:pStyle w:val="Compact"/>
        <w:numPr>
          <w:ilvl w:val="0"/>
          <w:numId w:val="10"/>
        </w:numPr>
      </w:pPr>
      <w:r>
        <w:t>identify compatible operators;</w:t>
      </w:r>
    </w:p>
    <w:p w14:paraId="25FF818C" w14:textId="77777777" w:rsidR="00057EE2" w:rsidRDefault="00000000">
      <w:pPr>
        <w:pStyle w:val="Compact"/>
        <w:numPr>
          <w:ilvl w:val="0"/>
          <w:numId w:val="10"/>
        </w:numPr>
      </w:pPr>
      <w:r>
        <w:t>transform and benchmark;</w:t>
      </w:r>
    </w:p>
    <w:p w14:paraId="561999B8" w14:textId="77777777" w:rsidR="00057EE2" w:rsidRDefault="00000000">
      <w:pPr>
        <w:pStyle w:val="Compact"/>
        <w:numPr>
          <w:ilvl w:val="0"/>
          <w:numId w:val="10"/>
        </w:numPr>
      </w:pPr>
      <w:r>
        <w:t>compare against baseline;</w:t>
      </w:r>
    </w:p>
    <w:p w14:paraId="2F2B1B16" w14:textId="77777777" w:rsidR="00057EE2" w:rsidRDefault="00000000">
      <w:pPr>
        <w:pStyle w:val="Compact"/>
        <w:numPr>
          <w:ilvl w:val="0"/>
          <w:numId w:val="10"/>
        </w:numPr>
      </w:pPr>
      <w:r>
        <w:t>deploy if value is demonstrated;</w:t>
      </w:r>
    </w:p>
    <w:p w14:paraId="23BADC68" w14:textId="77777777" w:rsidR="00057EE2" w:rsidRDefault="00000000">
      <w:pPr>
        <w:pStyle w:val="Compact"/>
        <w:numPr>
          <w:ilvl w:val="0"/>
          <w:numId w:val="10"/>
        </w:numPr>
      </w:pPr>
      <w:r>
        <w:t>expand to adjacent workloads.</w:t>
      </w:r>
    </w:p>
    <w:p w14:paraId="52A64B36" w14:textId="77777777" w:rsidR="00057EE2" w:rsidRDefault="00000000">
      <w:pPr>
        <w:pStyle w:val="FirstParagraph"/>
      </w:pPr>
      <w:r>
        <w:t>This model reflects the nature of ALPHA Compute: it is not a generic speedup button for every workload, but a structural optimization system whose value is proven on customer-specific workloads.</w:t>
      </w:r>
    </w:p>
    <w:p w14:paraId="50A030C1" w14:textId="77777777" w:rsidR="00057EE2" w:rsidRDefault="00000000">
      <w:r>
        <w:pict w14:anchorId="418D873B">
          <v:rect id="_x0000_i1030" style="width:0;height:1.5pt" o:hralign="center" o:hrstd="t" o:hr="t"/>
        </w:pict>
      </w:r>
    </w:p>
    <w:p w14:paraId="2C7B49A9" w14:textId="77777777" w:rsidR="00057EE2" w:rsidRDefault="00000000">
      <w:pPr>
        <w:pStyle w:val="2"/>
      </w:pPr>
      <w:bookmarkStart w:id="29" w:name="X236f131fb5d5c7fd55c7a020c1b482c45ba0de7"/>
      <w:bookmarkEnd w:id="16"/>
      <w:bookmarkEnd w:id="28"/>
      <w:r>
        <w:t>5. ALPHA Core: Hardware/IP Layer for Next-Generation Chips</w:t>
      </w:r>
    </w:p>
    <w:p w14:paraId="10C5A14E" w14:textId="77777777" w:rsidR="00057EE2" w:rsidRDefault="00000000">
      <w:pPr>
        <w:pStyle w:val="FirstParagraph"/>
      </w:pPr>
      <w:r>
        <w:t>ALPHA Core is the hardware-facing expression of the same computation philosophy. Where ALPHA Compute proves value in software, ALPHA Core is designed to translate that advantage into silicon-level architecture, IP licensing, accelerator design, and edge-device integration.</w:t>
      </w:r>
    </w:p>
    <w:p w14:paraId="08C9D6B3" w14:textId="77777777" w:rsidR="00057EE2" w:rsidRDefault="00000000">
      <w:pPr>
        <w:pStyle w:val="3"/>
      </w:pPr>
      <w:bookmarkStart w:id="30" w:name="product-definition-1"/>
      <w:r>
        <w:t>5.1 Product Definition</w:t>
      </w:r>
    </w:p>
    <w:p w14:paraId="423E4EB2" w14:textId="77777777" w:rsidR="00057EE2" w:rsidRDefault="00000000">
      <w:pPr>
        <w:pStyle w:val="FirstParagraph"/>
      </w:pPr>
      <w:r>
        <w:rPr>
          <w:b/>
          <w:bCs/>
        </w:rPr>
        <w:t>ALPHA Core is a computation IP and architecture layer for embedding iTrix’s structural computation principles into hardware.</w:t>
      </w:r>
    </w:p>
    <w:p w14:paraId="6B5DC8F2" w14:textId="77777777" w:rsidR="00057EE2" w:rsidRDefault="00000000">
      <w:pPr>
        <w:pStyle w:val="a0"/>
      </w:pPr>
      <w:r>
        <w:t>It may take several forms:</w:t>
      </w:r>
    </w:p>
    <w:p w14:paraId="07F2D44B" w14:textId="77777777" w:rsidR="00057EE2" w:rsidRDefault="00000000">
      <w:pPr>
        <w:pStyle w:val="Compact"/>
        <w:numPr>
          <w:ilvl w:val="0"/>
          <w:numId w:val="11"/>
        </w:numPr>
      </w:pPr>
      <w:r>
        <w:t>silicon IP blocks;</w:t>
      </w:r>
    </w:p>
    <w:p w14:paraId="09C6F5C6" w14:textId="77777777" w:rsidR="00057EE2" w:rsidRDefault="00000000">
      <w:pPr>
        <w:pStyle w:val="Compact"/>
        <w:numPr>
          <w:ilvl w:val="0"/>
          <w:numId w:val="11"/>
        </w:numPr>
      </w:pPr>
      <w:r>
        <w:t>accelerator microarchitecture concepts;</w:t>
      </w:r>
    </w:p>
    <w:p w14:paraId="30CF6D12" w14:textId="77777777" w:rsidR="00057EE2" w:rsidRDefault="00000000">
      <w:pPr>
        <w:pStyle w:val="Compact"/>
        <w:numPr>
          <w:ilvl w:val="0"/>
          <w:numId w:val="11"/>
        </w:numPr>
      </w:pPr>
      <w:r>
        <w:lastRenderedPageBreak/>
        <w:t>NPU/AI accelerator extensions;</w:t>
      </w:r>
    </w:p>
    <w:p w14:paraId="20981199" w14:textId="77777777" w:rsidR="00057EE2" w:rsidRDefault="00000000">
      <w:pPr>
        <w:pStyle w:val="Compact"/>
        <w:numPr>
          <w:ilvl w:val="0"/>
          <w:numId w:val="11"/>
        </w:numPr>
      </w:pPr>
      <w:r>
        <w:t>compiler-hardware co-design specifications;</w:t>
      </w:r>
    </w:p>
    <w:p w14:paraId="04E7EE0E" w14:textId="77777777" w:rsidR="00057EE2" w:rsidRDefault="00000000">
      <w:pPr>
        <w:pStyle w:val="Compact"/>
        <w:numPr>
          <w:ilvl w:val="0"/>
          <w:numId w:val="11"/>
        </w:numPr>
      </w:pPr>
      <w:r>
        <w:t>edge AI compute modules;</w:t>
      </w:r>
    </w:p>
    <w:p w14:paraId="50A44FE6" w14:textId="77777777" w:rsidR="00057EE2" w:rsidRDefault="00000000">
      <w:pPr>
        <w:pStyle w:val="Compact"/>
        <w:numPr>
          <w:ilvl w:val="0"/>
          <w:numId w:val="11"/>
        </w:numPr>
      </w:pPr>
      <w:r>
        <w:t>FPGA prototypes;</w:t>
      </w:r>
    </w:p>
    <w:p w14:paraId="4A9A08F7" w14:textId="77777777" w:rsidR="00057EE2" w:rsidRDefault="00000000">
      <w:pPr>
        <w:pStyle w:val="Compact"/>
        <w:numPr>
          <w:ilvl w:val="0"/>
          <w:numId w:val="11"/>
        </w:numPr>
      </w:pPr>
      <w:r>
        <w:t>semiconductor partner reference designs;</w:t>
      </w:r>
    </w:p>
    <w:p w14:paraId="1256C07A" w14:textId="77777777" w:rsidR="00057EE2" w:rsidRDefault="00000000">
      <w:pPr>
        <w:pStyle w:val="Compact"/>
        <w:numPr>
          <w:ilvl w:val="0"/>
          <w:numId w:val="11"/>
        </w:numPr>
      </w:pPr>
      <w:r>
        <w:t>domain-specific accelerators for simulation and industrial AI.</w:t>
      </w:r>
    </w:p>
    <w:p w14:paraId="2522CC82" w14:textId="77777777" w:rsidR="00057EE2" w:rsidRDefault="00000000">
      <w:pPr>
        <w:pStyle w:val="3"/>
      </w:pPr>
      <w:bookmarkStart w:id="31" w:name="X99fd1865ff344b602cc595c86bc61d5577fc561"/>
      <w:bookmarkEnd w:id="30"/>
      <w:r>
        <w:t>5.2 Why Hardware Needs a New Computation Layer</w:t>
      </w:r>
    </w:p>
    <w:p w14:paraId="430C55F1" w14:textId="77777777" w:rsidR="00057EE2" w:rsidRDefault="00000000">
      <w:pPr>
        <w:pStyle w:val="FirstParagraph"/>
      </w:pPr>
      <w:r>
        <w:t>Semiconductor progress has historically relied on process scaling, architectural parallelism, memory hierarchy, and specialized accelerators. But as transistor scaling becomes more expensive and AI workloads become more diverse, chip companies need differentiation beyond simply adding more multiply-accumulate units.</w:t>
      </w:r>
    </w:p>
    <w:p w14:paraId="4B49D9AA" w14:textId="77777777" w:rsidR="00057EE2" w:rsidRDefault="00000000">
      <w:pPr>
        <w:pStyle w:val="a0"/>
      </w:pPr>
      <w:r>
        <w:t>The next frontier is not only more operations per watt. It is better mathematical work per watt.</w:t>
      </w:r>
    </w:p>
    <w:p w14:paraId="6B3023CD" w14:textId="77777777" w:rsidR="00057EE2" w:rsidRDefault="00000000">
      <w:pPr>
        <w:pStyle w:val="a0"/>
      </w:pPr>
      <w:r>
        <w:t>ALPHA Core is designed around that principle.</w:t>
      </w:r>
    </w:p>
    <w:p w14:paraId="30DA4F88" w14:textId="77777777" w:rsidR="00057EE2" w:rsidRDefault="00000000">
      <w:pPr>
        <w:pStyle w:val="3"/>
      </w:pPr>
      <w:bookmarkStart w:id="32" w:name="strategic-hardware-opportunities"/>
      <w:bookmarkEnd w:id="31"/>
      <w:r>
        <w:t>5.3 Strategic Hardware Opportunities</w:t>
      </w:r>
    </w:p>
    <w:p w14:paraId="4229E926" w14:textId="77777777" w:rsidR="00057EE2" w:rsidRDefault="00000000">
      <w:pPr>
        <w:pStyle w:val="4"/>
      </w:pPr>
      <w:bookmarkStart w:id="33" w:name="realinteger-unit-utilization"/>
      <w:r>
        <w:t>5.3.1 Real/Integer Unit Utilization</w:t>
      </w:r>
    </w:p>
    <w:p w14:paraId="5CE2415A" w14:textId="77777777" w:rsidR="00057EE2" w:rsidRDefault="00000000">
      <w:pPr>
        <w:pStyle w:val="FirstParagraph"/>
      </w:pPr>
      <w:r>
        <w:t>Modern hardware already contains highly optimized real and integer execution units. If compatible complex, tensor, or conservation workloads can be restructured to use these units more directly, hardware utilization improves without requiring every workload to be solved through expensive custom kernels.</w:t>
      </w:r>
    </w:p>
    <w:p w14:paraId="6EF1FEC5" w14:textId="77777777" w:rsidR="00057EE2" w:rsidRDefault="00000000">
      <w:pPr>
        <w:pStyle w:val="4"/>
      </w:pPr>
      <w:bookmarkStart w:id="34" w:name="edge-and-on-device-ai"/>
      <w:bookmarkEnd w:id="33"/>
      <w:r>
        <w:t>5.3.2 Edge and On-Device AI</w:t>
      </w:r>
    </w:p>
    <w:p w14:paraId="54C7CD0B" w14:textId="77777777" w:rsidR="00057EE2" w:rsidRDefault="00000000">
      <w:pPr>
        <w:pStyle w:val="FirstParagraph"/>
      </w:pPr>
      <w:r>
        <w:t>Edge devices face strict constraints in power, memory, latency, and thermal budget. ALPHA Core could support AI and simulation workloads that are too expensive under conventional floating-point or GPU-dependent execution models.</w:t>
      </w:r>
    </w:p>
    <w:p w14:paraId="1011F40B" w14:textId="77777777" w:rsidR="00057EE2" w:rsidRDefault="00000000">
      <w:pPr>
        <w:pStyle w:val="a0"/>
      </w:pPr>
      <w:r>
        <w:t>Potential use cases include:</w:t>
      </w:r>
    </w:p>
    <w:p w14:paraId="1BCC03B2" w14:textId="77777777" w:rsidR="00057EE2" w:rsidRDefault="00000000">
      <w:pPr>
        <w:pStyle w:val="Compact"/>
        <w:numPr>
          <w:ilvl w:val="0"/>
          <w:numId w:val="12"/>
        </w:numPr>
      </w:pPr>
      <w:r>
        <w:t>robotics;</w:t>
      </w:r>
    </w:p>
    <w:p w14:paraId="7CB671E4" w14:textId="77777777" w:rsidR="00057EE2" w:rsidRDefault="00000000">
      <w:pPr>
        <w:pStyle w:val="Compact"/>
        <w:numPr>
          <w:ilvl w:val="0"/>
          <w:numId w:val="12"/>
        </w:numPr>
      </w:pPr>
      <w:r>
        <w:t>drones;</w:t>
      </w:r>
    </w:p>
    <w:p w14:paraId="7E3C3ACD" w14:textId="77777777" w:rsidR="00057EE2" w:rsidRDefault="00000000">
      <w:pPr>
        <w:pStyle w:val="Compact"/>
        <w:numPr>
          <w:ilvl w:val="0"/>
          <w:numId w:val="12"/>
        </w:numPr>
      </w:pPr>
      <w:r>
        <w:t>factory equipment;</w:t>
      </w:r>
    </w:p>
    <w:p w14:paraId="67A8B7CA" w14:textId="77777777" w:rsidR="00057EE2" w:rsidRDefault="00000000">
      <w:pPr>
        <w:pStyle w:val="Compact"/>
        <w:numPr>
          <w:ilvl w:val="0"/>
          <w:numId w:val="12"/>
        </w:numPr>
      </w:pPr>
      <w:r>
        <w:t>autonomous sensors;</w:t>
      </w:r>
    </w:p>
    <w:p w14:paraId="4E9FC12F" w14:textId="77777777" w:rsidR="00057EE2" w:rsidRDefault="00000000">
      <w:pPr>
        <w:pStyle w:val="Compact"/>
        <w:numPr>
          <w:ilvl w:val="0"/>
          <w:numId w:val="12"/>
        </w:numPr>
      </w:pPr>
      <w:r>
        <w:t>medical devices;</w:t>
      </w:r>
    </w:p>
    <w:p w14:paraId="61C30B21" w14:textId="77777777" w:rsidR="00057EE2" w:rsidRDefault="00000000">
      <w:pPr>
        <w:pStyle w:val="Compact"/>
        <w:numPr>
          <w:ilvl w:val="0"/>
          <w:numId w:val="12"/>
        </w:numPr>
      </w:pPr>
      <w:r>
        <w:t>smart infrastructure;</w:t>
      </w:r>
    </w:p>
    <w:p w14:paraId="128ECFC7" w14:textId="77777777" w:rsidR="00057EE2" w:rsidRDefault="00000000">
      <w:pPr>
        <w:pStyle w:val="Compact"/>
        <w:numPr>
          <w:ilvl w:val="0"/>
          <w:numId w:val="12"/>
        </w:numPr>
      </w:pPr>
      <w:r>
        <w:t>defense and aerospace systems.</w:t>
      </w:r>
    </w:p>
    <w:p w14:paraId="0BC5B028" w14:textId="77777777" w:rsidR="00057EE2" w:rsidRDefault="00000000">
      <w:pPr>
        <w:pStyle w:val="4"/>
      </w:pPr>
      <w:bookmarkStart w:id="35" w:name="domain-specific-ai-accelerators"/>
      <w:bookmarkEnd w:id="34"/>
      <w:r>
        <w:lastRenderedPageBreak/>
        <w:t>5.3.3 Domain-Specific AI Accelerators</w:t>
      </w:r>
    </w:p>
    <w:p w14:paraId="3A039E1D" w14:textId="77777777" w:rsidR="00057EE2" w:rsidRDefault="00000000">
      <w:pPr>
        <w:pStyle w:val="FirstParagraph"/>
      </w:pPr>
      <w:r>
        <w:t>For semiconductor, battery, materials, physics, and industrial simulation, the highest-value workloads often contain structure. ALPHA Core can be positioned as a domain-specific acceleration layer for workloads where conservation, tensor structure, complex-valued operations, or boundary-aware execution are central.</w:t>
      </w:r>
    </w:p>
    <w:p w14:paraId="37D57F20" w14:textId="77777777" w:rsidR="00057EE2" w:rsidRDefault="00000000">
      <w:pPr>
        <w:pStyle w:val="4"/>
      </w:pPr>
      <w:bookmarkStart w:id="36" w:name="national-ai-infrastructure"/>
      <w:bookmarkEnd w:id="35"/>
      <w:r>
        <w:t>5.3.4 National AI Infrastructure</w:t>
      </w:r>
    </w:p>
    <w:p w14:paraId="147AB822" w14:textId="77777777" w:rsidR="00057EE2" w:rsidRDefault="00000000">
      <w:pPr>
        <w:pStyle w:val="FirstParagraph"/>
      </w:pPr>
      <w:r>
        <w:t>For countries with energy constraints, ALPHA Core has strategic relevance. If AI infrastructure can be designed to consume less energy per unit of useful intelligence, energy weakness can become a strategic driver for innovation.</w:t>
      </w:r>
    </w:p>
    <w:p w14:paraId="42F6AB18" w14:textId="77777777" w:rsidR="00057EE2" w:rsidRDefault="00000000">
      <w:pPr>
        <w:pStyle w:val="3"/>
      </w:pPr>
      <w:bookmarkStart w:id="37" w:name="X90253c919457a0db144facab6abf14b0340ddad"/>
      <w:bookmarkEnd w:id="32"/>
      <w:bookmarkEnd w:id="36"/>
      <w:r>
        <w:t>5.4 Relationship Between ALPHA Compute and ALPHA Core</w:t>
      </w:r>
    </w:p>
    <w:p w14:paraId="0C0EA125" w14:textId="77777777" w:rsidR="00057EE2" w:rsidRDefault="00000000">
      <w:pPr>
        <w:pStyle w:val="FirstParagraph"/>
      </w:pPr>
      <w:r>
        <w:t>ALPHA Compute and ALPHA Core should be developed together, but commercialized in stages.</w:t>
      </w:r>
    </w:p>
    <w:tbl>
      <w:tblPr>
        <w:tblStyle w:val="Table"/>
        <w:tblW w:w="5000" w:type="pct"/>
        <w:tblLayout w:type="fixed"/>
        <w:tblLook w:val="0020" w:firstRow="1" w:lastRow="0" w:firstColumn="0" w:lastColumn="0" w:noHBand="0" w:noVBand="0"/>
      </w:tblPr>
      <w:tblGrid>
        <w:gridCol w:w="3120"/>
        <w:gridCol w:w="3120"/>
        <w:gridCol w:w="3120"/>
      </w:tblGrid>
      <w:tr w:rsidR="00057EE2" w14:paraId="18D8AA33" w14:textId="77777777" w:rsidTr="00057E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48D1B9" w14:textId="77777777" w:rsidR="00057EE2" w:rsidRDefault="00000000">
            <w:pPr>
              <w:pStyle w:val="Compact"/>
            </w:pPr>
            <w:r>
              <w:t>Stage</w:t>
            </w:r>
          </w:p>
        </w:tc>
        <w:tc>
          <w:tcPr>
            <w:tcW w:w="2640" w:type="dxa"/>
          </w:tcPr>
          <w:p w14:paraId="0CA2726A" w14:textId="77777777" w:rsidR="00057EE2" w:rsidRDefault="00000000">
            <w:pPr>
              <w:pStyle w:val="Compact"/>
            </w:pPr>
            <w:r>
              <w:t>Offering</w:t>
            </w:r>
          </w:p>
        </w:tc>
        <w:tc>
          <w:tcPr>
            <w:tcW w:w="2640" w:type="dxa"/>
          </w:tcPr>
          <w:p w14:paraId="4F0BF591" w14:textId="77777777" w:rsidR="00057EE2" w:rsidRDefault="00000000">
            <w:pPr>
              <w:pStyle w:val="Compact"/>
            </w:pPr>
            <w:r>
              <w:t>Purpose</w:t>
            </w:r>
          </w:p>
        </w:tc>
      </w:tr>
      <w:tr w:rsidR="00057EE2" w14:paraId="0536AD4F" w14:textId="77777777">
        <w:tc>
          <w:tcPr>
            <w:tcW w:w="2640" w:type="dxa"/>
          </w:tcPr>
          <w:p w14:paraId="4B0616EE" w14:textId="77777777" w:rsidR="00057EE2" w:rsidRDefault="00000000">
            <w:pPr>
              <w:pStyle w:val="Compact"/>
            </w:pPr>
            <w:r>
              <w:t>Stage 1</w:t>
            </w:r>
          </w:p>
        </w:tc>
        <w:tc>
          <w:tcPr>
            <w:tcW w:w="2640" w:type="dxa"/>
          </w:tcPr>
          <w:p w14:paraId="43AA8F56" w14:textId="77777777" w:rsidR="00057EE2" w:rsidRDefault="00000000">
            <w:pPr>
              <w:pStyle w:val="Compact"/>
            </w:pPr>
            <w:r>
              <w:t>ALPHA Compute PoC</w:t>
            </w:r>
          </w:p>
        </w:tc>
        <w:tc>
          <w:tcPr>
            <w:tcW w:w="2640" w:type="dxa"/>
          </w:tcPr>
          <w:p w14:paraId="0149BF25" w14:textId="77777777" w:rsidR="00057EE2" w:rsidRDefault="00000000">
            <w:pPr>
              <w:pStyle w:val="Compact"/>
            </w:pPr>
            <w:r>
              <w:t>Prove workload-level benefit in software</w:t>
            </w:r>
          </w:p>
        </w:tc>
      </w:tr>
      <w:tr w:rsidR="00057EE2" w14:paraId="1FC77A44" w14:textId="77777777">
        <w:tc>
          <w:tcPr>
            <w:tcW w:w="2640" w:type="dxa"/>
          </w:tcPr>
          <w:p w14:paraId="1DA37264" w14:textId="77777777" w:rsidR="00057EE2" w:rsidRDefault="00000000">
            <w:pPr>
              <w:pStyle w:val="Compact"/>
            </w:pPr>
            <w:r>
              <w:t>Stage 2</w:t>
            </w:r>
          </w:p>
        </w:tc>
        <w:tc>
          <w:tcPr>
            <w:tcW w:w="2640" w:type="dxa"/>
          </w:tcPr>
          <w:p w14:paraId="22681844" w14:textId="77777777" w:rsidR="00057EE2" w:rsidRDefault="00000000">
            <w:pPr>
              <w:pStyle w:val="Compact"/>
            </w:pPr>
            <w:r>
              <w:t>ALPHA Compute Deployment</w:t>
            </w:r>
          </w:p>
        </w:tc>
        <w:tc>
          <w:tcPr>
            <w:tcW w:w="2640" w:type="dxa"/>
          </w:tcPr>
          <w:p w14:paraId="0E77AA28" w14:textId="77777777" w:rsidR="00057EE2" w:rsidRDefault="00000000">
            <w:pPr>
              <w:pStyle w:val="Compact"/>
            </w:pPr>
            <w:r>
              <w:t>Generate recurring software or license revenue</w:t>
            </w:r>
          </w:p>
        </w:tc>
      </w:tr>
      <w:tr w:rsidR="00057EE2" w14:paraId="2C8E8194" w14:textId="77777777">
        <w:tc>
          <w:tcPr>
            <w:tcW w:w="2640" w:type="dxa"/>
          </w:tcPr>
          <w:p w14:paraId="42AA479A" w14:textId="77777777" w:rsidR="00057EE2" w:rsidRDefault="00000000">
            <w:pPr>
              <w:pStyle w:val="Compact"/>
            </w:pPr>
            <w:r>
              <w:t>Stage 3</w:t>
            </w:r>
          </w:p>
        </w:tc>
        <w:tc>
          <w:tcPr>
            <w:tcW w:w="2640" w:type="dxa"/>
          </w:tcPr>
          <w:p w14:paraId="1989A651" w14:textId="77777777" w:rsidR="00057EE2" w:rsidRDefault="00000000">
            <w:pPr>
              <w:pStyle w:val="Compact"/>
            </w:pPr>
            <w:r>
              <w:t>ALPHA Core Prototype</w:t>
            </w:r>
          </w:p>
        </w:tc>
        <w:tc>
          <w:tcPr>
            <w:tcW w:w="2640" w:type="dxa"/>
          </w:tcPr>
          <w:p w14:paraId="50BE389B" w14:textId="77777777" w:rsidR="00057EE2" w:rsidRDefault="00000000">
            <w:pPr>
              <w:pStyle w:val="Compact"/>
            </w:pPr>
            <w:r>
              <w:t>Demonstrate hardware-facing acceleration path</w:t>
            </w:r>
          </w:p>
        </w:tc>
      </w:tr>
      <w:tr w:rsidR="00057EE2" w14:paraId="5D915F20" w14:textId="77777777">
        <w:tc>
          <w:tcPr>
            <w:tcW w:w="2640" w:type="dxa"/>
          </w:tcPr>
          <w:p w14:paraId="720DDA7D" w14:textId="77777777" w:rsidR="00057EE2" w:rsidRDefault="00000000">
            <w:pPr>
              <w:pStyle w:val="Compact"/>
            </w:pPr>
            <w:r>
              <w:t>Stage 4</w:t>
            </w:r>
          </w:p>
        </w:tc>
        <w:tc>
          <w:tcPr>
            <w:tcW w:w="2640" w:type="dxa"/>
          </w:tcPr>
          <w:p w14:paraId="1883D171" w14:textId="77777777" w:rsidR="00057EE2" w:rsidRDefault="00000000">
            <w:pPr>
              <w:pStyle w:val="Compact"/>
            </w:pPr>
            <w:r>
              <w:t>ALPHA Core IP Partnership</w:t>
            </w:r>
          </w:p>
        </w:tc>
        <w:tc>
          <w:tcPr>
            <w:tcW w:w="2640" w:type="dxa"/>
          </w:tcPr>
          <w:p w14:paraId="1406A269" w14:textId="77777777" w:rsidR="00057EE2" w:rsidRDefault="00000000">
            <w:pPr>
              <w:pStyle w:val="Compact"/>
            </w:pPr>
            <w:r>
              <w:t>License or co-develop with semiconductor partners</w:t>
            </w:r>
          </w:p>
        </w:tc>
      </w:tr>
      <w:tr w:rsidR="00057EE2" w14:paraId="5241D568" w14:textId="77777777">
        <w:tc>
          <w:tcPr>
            <w:tcW w:w="2640" w:type="dxa"/>
          </w:tcPr>
          <w:p w14:paraId="2CFB2552" w14:textId="77777777" w:rsidR="00057EE2" w:rsidRDefault="00000000">
            <w:pPr>
              <w:pStyle w:val="Compact"/>
            </w:pPr>
            <w:r>
              <w:t>Stage 5</w:t>
            </w:r>
          </w:p>
        </w:tc>
        <w:tc>
          <w:tcPr>
            <w:tcW w:w="2640" w:type="dxa"/>
          </w:tcPr>
          <w:p w14:paraId="39D37456" w14:textId="77777777" w:rsidR="00057EE2" w:rsidRDefault="00000000">
            <w:pPr>
              <w:pStyle w:val="Compact"/>
            </w:pPr>
            <w:r>
              <w:t>Strategic Integration</w:t>
            </w:r>
          </w:p>
        </w:tc>
        <w:tc>
          <w:tcPr>
            <w:tcW w:w="2640" w:type="dxa"/>
          </w:tcPr>
          <w:p w14:paraId="0022CDE7" w14:textId="77777777" w:rsidR="00057EE2" w:rsidRDefault="00000000">
            <w:pPr>
              <w:pStyle w:val="Compact"/>
            </w:pPr>
            <w:r>
              <w:t>Embed into AI infrastructure, chips, or platforms</w:t>
            </w:r>
          </w:p>
        </w:tc>
      </w:tr>
    </w:tbl>
    <w:p w14:paraId="42A4E35B" w14:textId="77777777" w:rsidR="00057EE2" w:rsidRDefault="00000000">
      <w:pPr>
        <w:pStyle w:val="a0"/>
      </w:pPr>
      <w:r>
        <w:t>This sequence allows iTrix to avoid the risk of starting as a capital-intensive chip company. Instead, software proof creates the evidence base for hardware partnership.</w:t>
      </w:r>
    </w:p>
    <w:p w14:paraId="4AB2E37D" w14:textId="77777777" w:rsidR="00057EE2" w:rsidRDefault="00000000">
      <w:r>
        <w:pict w14:anchorId="6D89BF7E">
          <v:rect id="_x0000_i1031" style="width:0;height:1.5pt" o:hralign="center" o:hrstd="t" o:hr="t"/>
        </w:pict>
      </w:r>
    </w:p>
    <w:p w14:paraId="4BCE0C8C" w14:textId="77777777" w:rsidR="00057EE2" w:rsidRDefault="00000000">
      <w:pPr>
        <w:pStyle w:val="2"/>
      </w:pPr>
      <w:bookmarkStart w:id="38" w:name="X01171582c006a9b172cfc8e14c337e269568675"/>
      <w:bookmarkEnd w:id="29"/>
      <w:bookmarkEnd w:id="37"/>
      <w:r>
        <w:t>6. Technology Foundation: AXIOM, CRE, FQNM, and Boundary-Aware Execution</w:t>
      </w:r>
    </w:p>
    <w:p w14:paraId="3AC44468" w14:textId="77777777" w:rsidR="00057EE2" w:rsidRDefault="00000000">
      <w:pPr>
        <w:pStyle w:val="FirstParagraph"/>
      </w:pPr>
      <w:r>
        <w:t>The ALPHA product architecture rests on four technical pillars.</w:t>
      </w:r>
    </w:p>
    <w:p w14:paraId="168112B0" w14:textId="77777777" w:rsidR="00057EE2" w:rsidRDefault="00000000">
      <w:pPr>
        <w:pStyle w:val="3"/>
      </w:pPr>
      <w:bookmarkStart w:id="39" w:name="Xde1a6a0ee41a37dc35a2d520abe55849da16e5b"/>
      <w:r>
        <w:t>6.1 AXIOM: Algebraic Extension by Index-Ordered Multiplication</w:t>
      </w:r>
    </w:p>
    <w:p w14:paraId="70B6B9A9" w14:textId="77777777" w:rsidR="00057EE2" w:rsidRDefault="00000000">
      <w:pPr>
        <w:pStyle w:val="FirstParagraph"/>
      </w:pPr>
      <w:r>
        <w:t xml:space="preserve">AXIOM is a tensor-sorted algebraic framework based on a simple but powerful idea: instead of relying on separate multiplication tables for complex numbers, quaternions, </w:t>
      </w:r>
      <w:r>
        <w:lastRenderedPageBreak/>
        <w:t>octonions, and higher-dimensional algebraic systems, multiplication can be handled through ordered indices and sign changes.</w:t>
      </w:r>
    </w:p>
    <w:p w14:paraId="2CFD6C6D" w14:textId="77777777" w:rsidR="00057EE2" w:rsidRDefault="00000000">
      <w:pPr>
        <w:pStyle w:val="a0"/>
      </w:pPr>
      <w:r>
        <w:t>In simplified terms:</w:t>
      </w:r>
    </w:p>
    <w:p w14:paraId="113557F5" w14:textId="77777777" w:rsidR="00057EE2" w:rsidRDefault="00000000">
      <w:pPr>
        <w:pStyle w:val="Compact"/>
        <w:numPr>
          <w:ilvl w:val="0"/>
          <w:numId w:val="13"/>
        </w:numPr>
      </w:pPr>
      <w:r>
        <w:t>start with generators whose squares are negative;</w:t>
      </w:r>
    </w:p>
    <w:p w14:paraId="467C1AFC" w14:textId="77777777" w:rsidR="00057EE2" w:rsidRDefault="00000000">
      <w:pPr>
        <w:pStyle w:val="Compact"/>
        <w:numPr>
          <w:ilvl w:val="0"/>
          <w:numId w:val="13"/>
        </w:numPr>
      </w:pPr>
      <w:r>
        <w:t>represent products by ordering generator indices;</w:t>
      </w:r>
    </w:p>
    <w:p w14:paraId="22240C3E" w14:textId="77777777" w:rsidR="00057EE2" w:rsidRDefault="00000000">
      <w:pPr>
        <w:pStyle w:val="Compact"/>
        <w:numPr>
          <w:ilvl w:val="0"/>
          <w:numId w:val="13"/>
        </w:numPr>
      </w:pPr>
      <w:r>
        <w:t>change sign when indices are swapped;</w:t>
      </w:r>
    </w:p>
    <w:p w14:paraId="5BF66011" w14:textId="77777777" w:rsidR="00057EE2" w:rsidRDefault="00000000">
      <w:pPr>
        <w:pStyle w:val="Compact"/>
        <w:numPr>
          <w:ilvl w:val="0"/>
          <w:numId w:val="13"/>
        </w:numPr>
      </w:pPr>
      <w:r>
        <w:t>recover complex, quaternionic, and higher Cayley–Dickson-style behavior without separate multiplication tables;</w:t>
      </w:r>
    </w:p>
    <w:p w14:paraId="15D05933" w14:textId="77777777" w:rsidR="00057EE2" w:rsidRDefault="00000000">
      <w:pPr>
        <w:pStyle w:val="Compact"/>
        <w:numPr>
          <w:ilvl w:val="0"/>
          <w:numId w:val="13"/>
        </w:numPr>
      </w:pPr>
      <w:r>
        <w:t>extend the same rule to tensor-valued coefficients.</w:t>
      </w:r>
    </w:p>
    <w:p w14:paraId="74FAB804" w14:textId="77777777" w:rsidR="00057EE2" w:rsidRDefault="00000000">
      <w:pPr>
        <w:pStyle w:val="FirstParagraph"/>
      </w:pPr>
      <w:r>
        <w:t>Customer implication:</w:t>
      </w:r>
    </w:p>
    <w:p w14:paraId="51725E06" w14:textId="77777777" w:rsidR="00057EE2" w:rsidRDefault="00000000">
      <w:pPr>
        <w:pStyle w:val="a8"/>
      </w:pPr>
      <w:r>
        <w:t>AXIOM provides a unified way to represent high-dimensional algebraic operations without building a separate custom kernel for every algebraic case.</w:t>
      </w:r>
    </w:p>
    <w:p w14:paraId="2B8DEDAA" w14:textId="77777777" w:rsidR="00057EE2" w:rsidRDefault="00000000">
      <w:pPr>
        <w:pStyle w:val="FirstParagraph"/>
      </w:pPr>
      <w:r>
        <w:t>This matters because many valuable workloads are not purely real-valued in their natural mathematical form. They involve rotations, phases, tensor interactions, wave-like behavior, quantum-inspired structures, signal processing, robotics orientation, electromagnetic fields, and operator-valued systems.</w:t>
      </w:r>
    </w:p>
    <w:p w14:paraId="7EE3524B" w14:textId="77777777" w:rsidR="00057EE2" w:rsidRDefault="00000000">
      <w:pPr>
        <w:pStyle w:val="3"/>
      </w:pPr>
      <w:bookmarkStart w:id="40" w:name="cre-conjugationreal-embedding"/>
      <w:bookmarkEnd w:id="39"/>
      <w:r>
        <w:t>6.2 CRE: Conjugation–Real Embedding</w:t>
      </w:r>
    </w:p>
    <w:p w14:paraId="71D908A5" w14:textId="77777777" w:rsidR="00057EE2" w:rsidRDefault="00000000">
      <w:pPr>
        <w:pStyle w:val="FirstParagraph"/>
      </w:pPr>
      <w:r>
        <w:t>CRE converts eligible complex and tensor-valued operations into real block operators. The commercial importance of CRE is that it allows certain problems that appear complex-valued to be executed using real arithmetic kernels while preserving key mathematical properties.</w:t>
      </w:r>
    </w:p>
    <w:p w14:paraId="2E2D9675" w14:textId="77777777" w:rsidR="00057EE2" w:rsidRDefault="00000000">
      <w:pPr>
        <w:pStyle w:val="a0"/>
      </w:pPr>
      <w:r>
        <w:t>At a high level, CRE says:</w:t>
      </w:r>
    </w:p>
    <w:p w14:paraId="25F1CB5D" w14:textId="77777777" w:rsidR="00057EE2" w:rsidRDefault="00000000">
      <w:pPr>
        <w:pStyle w:val="Compact"/>
        <w:numPr>
          <w:ilvl w:val="0"/>
          <w:numId w:val="14"/>
        </w:numPr>
      </w:pPr>
      <w:r>
        <w:t>complex structure can be represented as rotation in real space;</w:t>
      </w:r>
    </w:p>
    <w:p w14:paraId="481385DA" w14:textId="77777777" w:rsidR="00057EE2" w:rsidRDefault="00000000">
      <w:pPr>
        <w:pStyle w:val="Compact"/>
        <w:numPr>
          <w:ilvl w:val="0"/>
          <w:numId w:val="14"/>
        </w:numPr>
      </w:pPr>
      <w:r>
        <w:t>Hermitian positive-definite problems can be lifted into real symmetric positive-definite form;</w:t>
      </w:r>
    </w:p>
    <w:p w14:paraId="3002D895" w14:textId="77777777" w:rsidR="00057EE2" w:rsidRDefault="00000000">
      <w:pPr>
        <w:pStyle w:val="Compact"/>
        <w:numPr>
          <w:ilvl w:val="0"/>
          <w:numId w:val="14"/>
        </w:numPr>
      </w:pPr>
      <w:r>
        <w:t>real SPD routines such as Cholesky can be used;</w:t>
      </w:r>
    </w:p>
    <w:p w14:paraId="783BA48B" w14:textId="77777777" w:rsidR="00057EE2" w:rsidRDefault="00000000">
      <w:pPr>
        <w:pStyle w:val="Compact"/>
        <w:numPr>
          <w:ilvl w:val="0"/>
          <w:numId w:val="14"/>
        </w:numPr>
      </w:pPr>
      <w:r>
        <w:t>products, adjoints, spectra, norms, and condition numbers can be preserved under the correct transformation;</w:t>
      </w:r>
    </w:p>
    <w:p w14:paraId="23244F3A" w14:textId="77777777" w:rsidR="00057EE2" w:rsidRDefault="00000000">
      <w:pPr>
        <w:pStyle w:val="Compact"/>
        <w:numPr>
          <w:ilvl w:val="0"/>
          <w:numId w:val="14"/>
        </w:numPr>
      </w:pPr>
      <w:r>
        <w:t>results can be recovered back into the original representation.</w:t>
      </w:r>
    </w:p>
    <w:p w14:paraId="430018BF" w14:textId="77777777" w:rsidR="00057EE2" w:rsidRDefault="00000000">
      <w:pPr>
        <w:pStyle w:val="FirstParagraph"/>
      </w:pPr>
      <w:r>
        <w:t>Customer implication:</w:t>
      </w:r>
    </w:p>
    <w:p w14:paraId="75C22576" w14:textId="77777777" w:rsidR="00057EE2" w:rsidRDefault="00000000">
      <w:pPr>
        <w:pStyle w:val="a8"/>
      </w:pPr>
      <w:r>
        <w:t>CRE lets compatible complex and tensor workloads run through mature real-kernel pathways without sacrificing mathematical equivalence.</w:t>
      </w:r>
    </w:p>
    <w:p w14:paraId="3424040C" w14:textId="77777777" w:rsidR="00057EE2" w:rsidRDefault="00000000">
      <w:pPr>
        <w:pStyle w:val="FirstParagraph"/>
      </w:pPr>
      <w:r>
        <w:t>This is the technical bridge from mathematical structure to software acceleration.</w:t>
      </w:r>
    </w:p>
    <w:p w14:paraId="64BC14A7" w14:textId="77777777" w:rsidR="00057EE2" w:rsidRDefault="00000000">
      <w:pPr>
        <w:pStyle w:val="3"/>
      </w:pPr>
      <w:bookmarkStart w:id="41" w:name="fqnm-fast-quantised-numerical-method"/>
      <w:bookmarkEnd w:id="40"/>
      <w:r>
        <w:lastRenderedPageBreak/>
        <w:t>6.3 FQNM: Fast Quantised Numerical Method</w:t>
      </w:r>
    </w:p>
    <w:p w14:paraId="1E7131C6" w14:textId="77777777" w:rsidR="00057EE2" w:rsidRDefault="00000000">
      <w:pPr>
        <w:pStyle w:val="FirstParagraph"/>
      </w:pPr>
      <w:r>
        <w:t>FQNM addresses a different but equally important class of problems: conservation-sensitive numerical systems.</w:t>
      </w:r>
    </w:p>
    <w:p w14:paraId="778F2A01" w14:textId="77777777" w:rsidR="00057EE2" w:rsidRDefault="00000000">
      <w:pPr>
        <w:pStyle w:val="a0"/>
      </w:pPr>
      <w:r>
        <w:t>Many physical systems are governed by conservation laws. Conventional floating-point methods approximate the continuous equations, but round-off error, smoothing, and numerical diffusion can erode the structures that must be preserved. FQNM approaches the problem through quantised integer flux updates.</w:t>
      </w:r>
    </w:p>
    <w:p w14:paraId="4A4B6797" w14:textId="77777777" w:rsidR="00057EE2" w:rsidRDefault="00000000">
      <w:pPr>
        <w:pStyle w:val="a0"/>
      </w:pPr>
      <w:r>
        <w:t>At a high level, FQNM aims to:</w:t>
      </w:r>
    </w:p>
    <w:p w14:paraId="49D1F62E" w14:textId="77777777" w:rsidR="00057EE2" w:rsidRDefault="00000000">
      <w:pPr>
        <w:pStyle w:val="Compact"/>
        <w:numPr>
          <w:ilvl w:val="0"/>
          <w:numId w:val="15"/>
        </w:numPr>
      </w:pPr>
      <w:r>
        <w:t>represent conserved quantities on an integer lattice;</w:t>
      </w:r>
    </w:p>
    <w:p w14:paraId="16DE12E3" w14:textId="77777777" w:rsidR="00057EE2" w:rsidRDefault="00000000">
      <w:pPr>
        <w:pStyle w:val="Compact"/>
        <w:numPr>
          <w:ilvl w:val="0"/>
          <w:numId w:val="15"/>
        </w:numPr>
      </w:pPr>
      <w:r>
        <w:t>use antisymmetric flux updates;</w:t>
      </w:r>
    </w:p>
    <w:p w14:paraId="60874F93" w14:textId="77777777" w:rsidR="00057EE2" w:rsidRDefault="00000000">
      <w:pPr>
        <w:pStyle w:val="Compact"/>
        <w:numPr>
          <w:ilvl w:val="0"/>
          <w:numId w:val="15"/>
        </w:numPr>
      </w:pPr>
      <w:r>
        <w:t>preserve total quantities under closed or periodic boundary conditions;</w:t>
      </w:r>
    </w:p>
    <w:p w14:paraId="4204B4AF" w14:textId="77777777" w:rsidR="00057EE2" w:rsidRDefault="00000000">
      <w:pPr>
        <w:pStyle w:val="Compact"/>
        <w:numPr>
          <w:ilvl w:val="0"/>
          <w:numId w:val="15"/>
        </w:numPr>
      </w:pPr>
      <w:r>
        <w:t>bound error by quantization step rather than allowing unbounded floating-point drift;</w:t>
      </w:r>
    </w:p>
    <w:p w14:paraId="49948832" w14:textId="77777777" w:rsidR="00057EE2" w:rsidRDefault="00000000">
      <w:pPr>
        <w:pStyle w:val="Compact"/>
        <w:numPr>
          <w:ilvl w:val="0"/>
          <w:numId w:val="15"/>
        </w:numPr>
      </w:pPr>
      <w:r>
        <w:t>support discontinuities and shock-like structures more naturally than smooth approximations.</w:t>
      </w:r>
    </w:p>
    <w:p w14:paraId="6239D235" w14:textId="77777777" w:rsidR="00057EE2" w:rsidRDefault="00000000">
      <w:pPr>
        <w:pStyle w:val="FirstParagraph"/>
      </w:pPr>
      <w:r>
        <w:t>Customer implication:</w:t>
      </w:r>
    </w:p>
    <w:p w14:paraId="5F42389B" w14:textId="77777777" w:rsidR="00057EE2" w:rsidRDefault="00000000">
      <w:pPr>
        <w:pStyle w:val="a8"/>
      </w:pPr>
      <w:r>
        <w:t>FQNM is designed for workloads where preserving structure is more important than merely approximating a continuous equation.</w:t>
      </w:r>
    </w:p>
    <w:p w14:paraId="0A828E18" w14:textId="77777777" w:rsidR="00057EE2" w:rsidRDefault="00000000">
      <w:pPr>
        <w:pStyle w:val="FirstParagraph"/>
      </w:pPr>
      <w:r>
        <w:t>This makes it relevant to simulation-heavy industries where long-horizon trust matters.</w:t>
      </w:r>
    </w:p>
    <w:p w14:paraId="4D91E4E4" w14:textId="77777777" w:rsidR="00057EE2" w:rsidRDefault="00000000">
      <w:pPr>
        <w:pStyle w:val="3"/>
      </w:pPr>
      <w:bookmarkStart w:id="42" w:name="boundary-aware-execution"/>
      <w:bookmarkEnd w:id="41"/>
      <w:r>
        <w:t>6.4 Boundary-Aware Execution</w:t>
      </w:r>
    </w:p>
    <w:p w14:paraId="7106E52D" w14:textId="77777777" w:rsidR="00057EE2" w:rsidRDefault="00000000">
      <w:pPr>
        <w:pStyle w:val="FirstParagraph"/>
      </w:pPr>
      <w:r>
        <w:t>The fourth pillar is execution planning. Computation is not expensive only because arithmetic is expensive. It is expensive because data crosses boundaries:</w:t>
      </w:r>
    </w:p>
    <w:p w14:paraId="3092F432" w14:textId="77777777" w:rsidR="00057EE2" w:rsidRDefault="00000000">
      <w:pPr>
        <w:pStyle w:val="Compact"/>
        <w:numPr>
          <w:ilvl w:val="0"/>
          <w:numId w:val="16"/>
        </w:numPr>
      </w:pPr>
      <w:r>
        <w:t>memory hierarchy boundaries;</w:t>
      </w:r>
    </w:p>
    <w:p w14:paraId="10AEFDF4" w14:textId="77777777" w:rsidR="00057EE2" w:rsidRDefault="00000000">
      <w:pPr>
        <w:pStyle w:val="Compact"/>
        <w:numPr>
          <w:ilvl w:val="0"/>
          <w:numId w:val="16"/>
        </w:numPr>
      </w:pPr>
      <w:r>
        <w:t>CPU/GPU boundaries;</w:t>
      </w:r>
    </w:p>
    <w:p w14:paraId="245140AD" w14:textId="77777777" w:rsidR="00057EE2" w:rsidRDefault="00000000">
      <w:pPr>
        <w:pStyle w:val="Compact"/>
        <w:numPr>
          <w:ilvl w:val="0"/>
          <w:numId w:val="16"/>
        </w:numPr>
      </w:pPr>
      <w:r>
        <w:t>tensor layout boundaries;</w:t>
      </w:r>
    </w:p>
    <w:p w14:paraId="5C2AE7D1" w14:textId="77777777" w:rsidR="00057EE2" w:rsidRDefault="00000000">
      <w:pPr>
        <w:pStyle w:val="Compact"/>
        <w:numPr>
          <w:ilvl w:val="0"/>
          <w:numId w:val="16"/>
        </w:numPr>
      </w:pPr>
      <w:r>
        <w:t>precision boundaries;</w:t>
      </w:r>
    </w:p>
    <w:p w14:paraId="750C14E4" w14:textId="77777777" w:rsidR="00057EE2" w:rsidRDefault="00000000">
      <w:pPr>
        <w:pStyle w:val="Compact"/>
        <w:numPr>
          <w:ilvl w:val="0"/>
          <w:numId w:val="16"/>
        </w:numPr>
      </w:pPr>
      <w:r>
        <w:t>cache boundaries;</w:t>
      </w:r>
    </w:p>
    <w:p w14:paraId="6B8A521B" w14:textId="77777777" w:rsidR="00057EE2" w:rsidRDefault="00000000">
      <w:pPr>
        <w:pStyle w:val="Compact"/>
        <w:numPr>
          <w:ilvl w:val="0"/>
          <w:numId w:val="16"/>
        </w:numPr>
      </w:pPr>
      <w:r>
        <w:t>device communication boundaries;</w:t>
      </w:r>
    </w:p>
    <w:p w14:paraId="347CC993" w14:textId="77777777" w:rsidR="00057EE2" w:rsidRDefault="00000000">
      <w:pPr>
        <w:pStyle w:val="Compact"/>
        <w:numPr>
          <w:ilvl w:val="0"/>
          <w:numId w:val="16"/>
        </w:numPr>
      </w:pPr>
      <w:r>
        <w:t>state representation boundaries.</w:t>
      </w:r>
    </w:p>
    <w:p w14:paraId="324DD84E" w14:textId="77777777" w:rsidR="00057EE2" w:rsidRDefault="00000000">
      <w:pPr>
        <w:pStyle w:val="FirstParagraph"/>
      </w:pPr>
      <w:r>
        <w:t>Boundary-aware execution treats these crossings as first-class design variables. The goal is to group operations that share state, reduce layout changes, avoid unnecessary movement, and preserve structure through execution.</w:t>
      </w:r>
    </w:p>
    <w:p w14:paraId="6F70023F" w14:textId="77777777" w:rsidR="00057EE2" w:rsidRDefault="00000000">
      <w:pPr>
        <w:pStyle w:val="a0"/>
      </w:pPr>
      <w:r>
        <w:t>Customer implication:</w:t>
      </w:r>
    </w:p>
    <w:p w14:paraId="371329E4" w14:textId="77777777" w:rsidR="00057EE2" w:rsidRDefault="00000000">
      <w:pPr>
        <w:pStyle w:val="a8"/>
      </w:pPr>
      <w:r>
        <w:lastRenderedPageBreak/>
        <w:t>If AI computation can cross fewer boundaries, it can consume less energy and deliver more useful work per watt.</w:t>
      </w:r>
    </w:p>
    <w:p w14:paraId="753AE52B" w14:textId="77777777" w:rsidR="00057EE2" w:rsidRDefault="00000000">
      <w:r>
        <w:pict w14:anchorId="5884358A">
          <v:rect id="_x0000_i1032" style="width:0;height:1.5pt" o:hralign="center" o:hrstd="t" o:hr="t"/>
        </w:pict>
      </w:r>
    </w:p>
    <w:p w14:paraId="6F769E8D" w14:textId="77777777" w:rsidR="00057EE2" w:rsidRDefault="00000000">
      <w:pPr>
        <w:pStyle w:val="2"/>
      </w:pPr>
      <w:bookmarkStart w:id="43" w:name="benchmark-evidence-and-expected-benefits"/>
      <w:bookmarkEnd w:id="38"/>
      <w:bookmarkEnd w:id="42"/>
      <w:r>
        <w:t>7. Benchmark Evidence and Expected Benefits</w:t>
      </w:r>
    </w:p>
    <w:p w14:paraId="34AD71D9" w14:textId="77777777" w:rsidR="00057EE2" w:rsidRDefault="00000000">
      <w:pPr>
        <w:pStyle w:val="FirstParagraph"/>
      </w:pPr>
      <w:r>
        <w:t>The technical evidence base for ALPHA Compute and ALPHA Core is presented with clear separation between mathematical guarantees, benchmarked results, and projected business benefits.</w:t>
      </w:r>
    </w:p>
    <w:p w14:paraId="7CF55796" w14:textId="77777777" w:rsidR="00057EE2" w:rsidRDefault="00000000">
      <w:pPr>
        <w:pStyle w:val="3"/>
      </w:pPr>
      <w:bookmarkStart w:id="44" w:name="mathematical-guarantees"/>
      <w:r>
        <w:t>7.1 Mathematical Guarantees</w:t>
      </w:r>
    </w:p>
    <w:p w14:paraId="6B2E19D0" w14:textId="77777777" w:rsidR="00057EE2" w:rsidRDefault="00000000">
      <w:pPr>
        <w:pStyle w:val="FirstParagraph"/>
      </w:pPr>
      <w:r>
        <w:t>For applicable AXIOM/CRE workloads, the underlying theory supports preservation of key structures such as products, adjoints, spectral behavior, norms, and conditioning under the real embedding. This matters because the customer must know that acceleration is not achieved by casually changing the problem.</w:t>
      </w:r>
    </w:p>
    <w:p w14:paraId="62A1385F" w14:textId="77777777" w:rsidR="00057EE2" w:rsidRDefault="00000000">
      <w:pPr>
        <w:pStyle w:val="a0"/>
      </w:pPr>
      <w:r>
        <w:t>The core principle is:</w:t>
      </w:r>
    </w:p>
    <w:p w14:paraId="5DFC7F6F" w14:textId="77777777" w:rsidR="00057EE2" w:rsidRDefault="00000000">
      <w:pPr>
        <w:pStyle w:val="a8"/>
      </w:pPr>
      <w:r>
        <w:t>For eligible workloads, ALPHA Compute transforms the execution pathway while preserving the mathematical object.</w:t>
      </w:r>
    </w:p>
    <w:p w14:paraId="3AB1A6E2" w14:textId="77777777" w:rsidR="00057EE2" w:rsidRDefault="00000000">
      <w:pPr>
        <w:pStyle w:val="FirstParagraph"/>
      </w:pPr>
      <w:r>
        <w:t>This is a major distinction from ordinary approximation, compression, or heuristic acceleration.</w:t>
      </w:r>
    </w:p>
    <w:p w14:paraId="4C5BF29C" w14:textId="77777777" w:rsidR="00057EE2" w:rsidRDefault="00000000">
      <w:pPr>
        <w:pStyle w:val="3"/>
      </w:pPr>
      <w:bookmarkStart w:id="45" w:name="runtime-and-accuracy-evidence"/>
      <w:bookmarkEnd w:id="44"/>
      <w:r>
        <w:t>7.2 Runtime and Accuracy Evidence</w:t>
      </w:r>
    </w:p>
    <w:p w14:paraId="7E772196" w14:textId="77777777" w:rsidR="00057EE2" w:rsidRDefault="00000000">
      <w:pPr>
        <w:pStyle w:val="FirstParagraph"/>
      </w:pPr>
      <w:r>
        <w:t>Internal benchmark materials indicate that CRE-style block execution can reduce arithmetic cost and produce runtime improvements for suitable dense inversion and matrix workloads, while maintaining residuals in machine-precision or near-machine-precision regimes depending on the test setting.</w:t>
      </w:r>
    </w:p>
    <w:p w14:paraId="1757CD12" w14:textId="77777777" w:rsidR="00057EE2" w:rsidRDefault="00000000" w:rsidP="008A7A69">
      <w:pPr>
        <w:pStyle w:val="a8"/>
        <w:ind w:left="0" w:rightChars="200"/>
      </w:pPr>
      <w:r>
        <w:t>In internal dense linear algebra experiments, AXIOM/CRE-based execution demonstrated meaningful runtime acceleration on compatible medium-to-large problem sizes while preserving numerical accuracy comparable to conventional solvers. Exact performance depends on workload structure, matrix size, hardware, memory hierarchy, and kernel implementation.</w:t>
      </w:r>
    </w:p>
    <w:p w14:paraId="54EF6D25" w14:textId="77777777" w:rsidR="00057EE2" w:rsidRDefault="00000000">
      <w:pPr>
        <w:pStyle w:val="3"/>
      </w:pPr>
      <w:bookmarkStart w:id="46" w:name="X1389e1152162211efd22e1fca7d6de848423cbe"/>
      <w:bookmarkEnd w:id="45"/>
      <w:r>
        <w:t>7.3 FQNM Performance and Conservation Evidence</w:t>
      </w:r>
    </w:p>
    <w:p w14:paraId="003B1523" w14:textId="77777777" w:rsidR="00057EE2" w:rsidRDefault="00000000">
      <w:pPr>
        <w:pStyle w:val="FirstParagraph"/>
      </w:pPr>
      <w:r>
        <w:t>Internal FQNM experiments show promising speedups on selected PDE and conservation-law examples, including transport, Burgers-type, and shock-related systems. More important than speed alone, FQNM is designed to preserve integer-valued conservation structure and bound quantization error.</w:t>
      </w:r>
    </w:p>
    <w:p w14:paraId="75A69A61" w14:textId="77777777" w:rsidR="00057EE2" w:rsidRDefault="00000000">
      <w:pPr>
        <w:pStyle w:val="a0"/>
      </w:pPr>
      <w:r>
        <w:lastRenderedPageBreak/>
        <w:t>In early experiments, FQNM demonstrated promising acceleration on selected conservation-law workloads while preserving discrete conservation structure. The commercial value of FQNM should be validated through customer-specific PoCs in simulation-heavy domains.</w:t>
      </w:r>
    </w:p>
    <w:p w14:paraId="137D8410" w14:textId="77777777" w:rsidR="00057EE2" w:rsidRDefault="00000000">
      <w:pPr>
        <w:pStyle w:val="3"/>
      </w:pPr>
      <w:bookmarkStart w:id="47" w:name="expected-benefit-categories"/>
      <w:bookmarkEnd w:id="46"/>
      <w:r>
        <w:t>7.4 Expected Benefit Categories</w:t>
      </w:r>
    </w:p>
    <w:p w14:paraId="51400F3C" w14:textId="77777777" w:rsidR="00057EE2" w:rsidRDefault="00000000">
      <w:pPr>
        <w:pStyle w:val="FirstParagraph"/>
      </w:pPr>
      <w:r>
        <w:t>ALPHA Compute and ALPHA Core may create value through several benefit mechanisms:</w:t>
      </w:r>
    </w:p>
    <w:tbl>
      <w:tblPr>
        <w:tblStyle w:val="Table"/>
        <w:tblW w:w="5000" w:type="pct"/>
        <w:tblLayout w:type="fixed"/>
        <w:tblLook w:val="0020" w:firstRow="1" w:lastRow="0" w:firstColumn="0" w:lastColumn="0" w:noHBand="0" w:noVBand="0"/>
      </w:tblPr>
      <w:tblGrid>
        <w:gridCol w:w="3120"/>
        <w:gridCol w:w="3120"/>
        <w:gridCol w:w="3120"/>
      </w:tblGrid>
      <w:tr w:rsidR="00057EE2" w14:paraId="258DCDDC" w14:textId="77777777" w:rsidTr="00057E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955E32" w14:textId="77777777" w:rsidR="00057EE2" w:rsidRDefault="00000000">
            <w:pPr>
              <w:pStyle w:val="Compact"/>
            </w:pPr>
            <w:r>
              <w:t>Benefit</w:t>
            </w:r>
          </w:p>
        </w:tc>
        <w:tc>
          <w:tcPr>
            <w:tcW w:w="2640" w:type="dxa"/>
          </w:tcPr>
          <w:p w14:paraId="7A4B5F21" w14:textId="77777777" w:rsidR="00057EE2" w:rsidRDefault="00000000">
            <w:pPr>
              <w:pStyle w:val="Compact"/>
            </w:pPr>
            <w:r>
              <w:t>Mechanism</w:t>
            </w:r>
          </w:p>
        </w:tc>
        <w:tc>
          <w:tcPr>
            <w:tcW w:w="2640" w:type="dxa"/>
          </w:tcPr>
          <w:p w14:paraId="388D7351" w14:textId="77777777" w:rsidR="00057EE2" w:rsidRDefault="00000000">
            <w:pPr>
              <w:pStyle w:val="Compact"/>
            </w:pPr>
            <w:r>
              <w:t>Validation Method</w:t>
            </w:r>
          </w:p>
        </w:tc>
      </w:tr>
      <w:tr w:rsidR="00057EE2" w14:paraId="2DF49572" w14:textId="77777777">
        <w:tc>
          <w:tcPr>
            <w:tcW w:w="2640" w:type="dxa"/>
          </w:tcPr>
          <w:p w14:paraId="4C1F25D2" w14:textId="77777777" w:rsidR="00057EE2" w:rsidRDefault="00000000">
            <w:pPr>
              <w:pStyle w:val="Compact"/>
            </w:pPr>
            <w:r>
              <w:t>Runtime reduction</w:t>
            </w:r>
          </w:p>
        </w:tc>
        <w:tc>
          <w:tcPr>
            <w:tcW w:w="2640" w:type="dxa"/>
          </w:tcPr>
          <w:p w14:paraId="61FACC45" w14:textId="77777777" w:rsidR="00057EE2" w:rsidRDefault="00000000">
            <w:pPr>
              <w:pStyle w:val="Compact"/>
            </w:pPr>
            <w:r>
              <w:t>Real-kernel execution, reduced overhead, better structure</w:t>
            </w:r>
          </w:p>
        </w:tc>
        <w:tc>
          <w:tcPr>
            <w:tcW w:w="2640" w:type="dxa"/>
          </w:tcPr>
          <w:p w14:paraId="6D7B4AE1" w14:textId="77777777" w:rsidR="00057EE2" w:rsidRDefault="00000000">
            <w:pPr>
              <w:pStyle w:val="Compact"/>
            </w:pPr>
            <w:r>
              <w:t>Wall-clock benchmark</w:t>
            </w:r>
          </w:p>
        </w:tc>
      </w:tr>
      <w:tr w:rsidR="00057EE2" w14:paraId="532FC984" w14:textId="77777777">
        <w:tc>
          <w:tcPr>
            <w:tcW w:w="2640" w:type="dxa"/>
          </w:tcPr>
          <w:p w14:paraId="1B160C0F" w14:textId="77777777" w:rsidR="00057EE2" w:rsidRDefault="00000000">
            <w:pPr>
              <w:pStyle w:val="Compact"/>
            </w:pPr>
            <w:r>
              <w:t>Energy reduction</w:t>
            </w:r>
          </w:p>
        </w:tc>
        <w:tc>
          <w:tcPr>
            <w:tcW w:w="2640" w:type="dxa"/>
          </w:tcPr>
          <w:p w14:paraId="37D96687" w14:textId="77777777" w:rsidR="00057EE2" w:rsidRDefault="00000000">
            <w:pPr>
              <w:pStyle w:val="Compact"/>
            </w:pPr>
            <w:r>
              <w:t>Less runtime and less data movement</w:t>
            </w:r>
          </w:p>
        </w:tc>
        <w:tc>
          <w:tcPr>
            <w:tcW w:w="2640" w:type="dxa"/>
          </w:tcPr>
          <w:p w14:paraId="2A3F2309" w14:textId="77777777" w:rsidR="00057EE2" w:rsidRDefault="00000000">
            <w:pPr>
              <w:pStyle w:val="Compact"/>
            </w:pPr>
            <w:r>
              <w:t>Power measurement or proxy</w:t>
            </w:r>
          </w:p>
        </w:tc>
      </w:tr>
      <w:tr w:rsidR="00057EE2" w14:paraId="7FDB7DC8" w14:textId="77777777">
        <w:tc>
          <w:tcPr>
            <w:tcW w:w="2640" w:type="dxa"/>
          </w:tcPr>
          <w:p w14:paraId="6B529E19" w14:textId="77777777" w:rsidR="00057EE2" w:rsidRDefault="00000000">
            <w:pPr>
              <w:pStyle w:val="Compact"/>
            </w:pPr>
            <w:r>
              <w:t>Memory reduction</w:t>
            </w:r>
          </w:p>
        </w:tc>
        <w:tc>
          <w:tcPr>
            <w:tcW w:w="2640" w:type="dxa"/>
          </w:tcPr>
          <w:p w14:paraId="5B881A6B" w14:textId="77777777" w:rsidR="00057EE2" w:rsidRDefault="00000000">
            <w:pPr>
              <w:pStyle w:val="Compact"/>
            </w:pPr>
            <w:r>
              <w:t>Less duplication and better layout</w:t>
            </w:r>
          </w:p>
        </w:tc>
        <w:tc>
          <w:tcPr>
            <w:tcW w:w="2640" w:type="dxa"/>
          </w:tcPr>
          <w:p w14:paraId="0F6A6619" w14:textId="77777777" w:rsidR="00057EE2" w:rsidRDefault="00000000">
            <w:pPr>
              <w:pStyle w:val="Compact"/>
            </w:pPr>
            <w:r>
              <w:t>Peak memory profiling</w:t>
            </w:r>
          </w:p>
        </w:tc>
      </w:tr>
      <w:tr w:rsidR="00057EE2" w14:paraId="0DA915AF" w14:textId="77777777">
        <w:tc>
          <w:tcPr>
            <w:tcW w:w="2640" w:type="dxa"/>
          </w:tcPr>
          <w:p w14:paraId="22756469" w14:textId="77777777" w:rsidR="00057EE2" w:rsidRDefault="00000000">
            <w:pPr>
              <w:pStyle w:val="Compact"/>
            </w:pPr>
            <w:r>
              <w:t>Numerical stability</w:t>
            </w:r>
          </w:p>
        </w:tc>
        <w:tc>
          <w:tcPr>
            <w:tcW w:w="2640" w:type="dxa"/>
          </w:tcPr>
          <w:p w14:paraId="0C99C246" w14:textId="77777777" w:rsidR="00057EE2" w:rsidRDefault="00000000">
            <w:pPr>
              <w:pStyle w:val="Compact"/>
            </w:pPr>
            <w:r>
              <w:t>Structure-preserving transformations</w:t>
            </w:r>
          </w:p>
        </w:tc>
        <w:tc>
          <w:tcPr>
            <w:tcW w:w="2640" w:type="dxa"/>
          </w:tcPr>
          <w:p w14:paraId="01BEBEC4" w14:textId="77777777" w:rsidR="00057EE2" w:rsidRDefault="00000000">
            <w:pPr>
              <w:pStyle w:val="Compact"/>
            </w:pPr>
            <w:r>
              <w:t>Residual, drift, invariant tests</w:t>
            </w:r>
          </w:p>
        </w:tc>
      </w:tr>
      <w:tr w:rsidR="00057EE2" w14:paraId="425ECC80" w14:textId="77777777">
        <w:tc>
          <w:tcPr>
            <w:tcW w:w="2640" w:type="dxa"/>
          </w:tcPr>
          <w:p w14:paraId="2AB1A20F" w14:textId="77777777" w:rsidR="00057EE2" w:rsidRDefault="00000000">
            <w:pPr>
              <w:pStyle w:val="Compact"/>
            </w:pPr>
            <w:r>
              <w:t>Hardware efficiency</w:t>
            </w:r>
          </w:p>
        </w:tc>
        <w:tc>
          <w:tcPr>
            <w:tcW w:w="2640" w:type="dxa"/>
          </w:tcPr>
          <w:p w14:paraId="7BA2EEDD" w14:textId="77777777" w:rsidR="00057EE2" w:rsidRDefault="00000000">
            <w:pPr>
              <w:pStyle w:val="Compact"/>
            </w:pPr>
            <w:r>
              <w:t>Better use of native real/integer units</w:t>
            </w:r>
          </w:p>
        </w:tc>
        <w:tc>
          <w:tcPr>
            <w:tcW w:w="2640" w:type="dxa"/>
          </w:tcPr>
          <w:p w14:paraId="34B29730" w14:textId="77777777" w:rsidR="00057EE2" w:rsidRDefault="00000000">
            <w:pPr>
              <w:pStyle w:val="Compact"/>
            </w:pPr>
            <w:r>
              <w:t>Utilization profiling</w:t>
            </w:r>
          </w:p>
        </w:tc>
      </w:tr>
      <w:tr w:rsidR="00057EE2" w14:paraId="2AB378BB" w14:textId="77777777">
        <w:tc>
          <w:tcPr>
            <w:tcW w:w="2640" w:type="dxa"/>
          </w:tcPr>
          <w:p w14:paraId="49D82FF4" w14:textId="77777777" w:rsidR="00057EE2" w:rsidRDefault="00000000">
            <w:pPr>
              <w:pStyle w:val="Compact"/>
            </w:pPr>
            <w:r>
              <w:t>Strategic independence</w:t>
            </w:r>
          </w:p>
        </w:tc>
        <w:tc>
          <w:tcPr>
            <w:tcW w:w="2640" w:type="dxa"/>
          </w:tcPr>
          <w:p w14:paraId="05B47B3C" w14:textId="77777777" w:rsidR="00057EE2" w:rsidRDefault="00000000">
            <w:pPr>
              <w:pStyle w:val="Compact"/>
            </w:pPr>
            <w:r>
              <w:t>Lower reliance on brute-force GPU scaling</w:t>
            </w:r>
          </w:p>
        </w:tc>
        <w:tc>
          <w:tcPr>
            <w:tcW w:w="2640" w:type="dxa"/>
          </w:tcPr>
          <w:p w14:paraId="77E86D3B" w14:textId="77777777" w:rsidR="00057EE2" w:rsidRDefault="00000000">
            <w:pPr>
              <w:pStyle w:val="Compact"/>
            </w:pPr>
            <w:r>
              <w:t>TCO and architecture analysis</w:t>
            </w:r>
          </w:p>
        </w:tc>
      </w:tr>
    </w:tbl>
    <w:p w14:paraId="422B60FF" w14:textId="77777777" w:rsidR="00057EE2" w:rsidRDefault="00000000">
      <w:pPr>
        <w:pStyle w:val="3"/>
      </w:pPr>
      <w:bookmarkStart w:id="48" w:name="why-poc-evidence-matters"/>
      <w:bookmarkEnd w:id="47"/>
      <w:r>
        <w:t>7.5 Why PoC Evidence Matters</w:t>
      </w:r>
    </w:p>
    <w:p w14:paraId="1534DFEB" w14:textId="77777777" w:rsidR="00057EE2" w:rsidRDefault="00000000">
      <w:pPr>
        <w:pStyle w:val="FirstParagraph"/>
      </w:pPr>
      <w:r>
        <w:t>Performance claims in computing are workload-specific. This is especially true for structural transformation technologies. iTrix therefore makes PoC benchmarking central to the commercialization process.</w:t>
      </w:r>
    </w:p>
    <w:p w14:paraId="287F0693" w14:textId="77777777" w:rsidR="00057EE2" w:rsidRDefault="00000000">
      <w:pPr>
        <w:pStyle w:val="a0"/>
      </w:pPr>
      <w:r>
        <w:t>A proper PoC should measure:</w:t>
      </w:r>
    </w:p>
    <w:p w14:paraId="2C2C04D4" w14:textId="77777777" w:rsidR="00057EE2" w:rsidRDefault="00000000">
      <w:pPr>
        <w:pStyle w:val="Compact"/>
        <w:numPr>
          <w:ilvl w:val="0"/>
          <w:numId w:val="17"/>
        </w:numPr>
      </w:pPr>
      <w:r>
        <w:t>baseline runtime;</w:t>
      </w:r>
    </w:p>
    <w:p w14:paraId="2FC2012C" w14:textId="77777777" w:rsidR="00057EE2" w:rsidRDefault="00000000">
      <w:pPr>
        <w:pStyle w:val="Compact"/>
        <w:numPr>
          <w:ilvl w:val="0"/>
          <w:numId w:val="17"/>
        </w:numPr>
      </w:pPr>
      <w:r>
        <w:t>transformed runtime;</w:t>
      </w:r>
    </w:p>
    <w:p w14:paraId="40B3CBC0" w14:textId="77777777" w:rsidR="00057EE2" w:rsidRDefault="00000000">
      <w:pPr>
        <w:pStyle w:val="Compact"/>
        <w:numPr>
          <w:ilvl w:val="0"/>
          <w:numId w:val="17"/>
        </w:numPr>
      </w:pPr>
      <w:r>
        <w:t>memory usage;</w:t>
      </w:r>
    </w:p>
    <w:p w14:paraId="4C9C6BA0" w14:textId="77777777" w:rsidR="00057EE2" w:rsidRDefault="00000000">
      <w:pPr>
        <w:pStyle w:val="Compact"/>
        <w:numPr>
          <w:ilvl w:val="0"/>
          <w:numId w:val="17"/>
        </w:numPr>
      </w:pPr>
      <w:r>
        <w:t>accuracy/residual;</w:t>
      </w:r>
    </w:p>
    <w:p w14:paraId="27D9C207" w14:textId="77777777" w:rsidR="00057EE2" w:rsidRDefault="00000000">
      <w:pPr>
        <w:pStyle w:val="Compact"/>
        <w:numPr>
          <w:ilvl w:val="0"/>
          <w:numId w:val="17"/>
        </w:numPr>
      </w:pPr>
      <w:r>
        <w:t>conservation drift;</w:t>
      </w:r>
    </w:p>
    <w:p w14:paraId="67F54568" w14:textId="77777777" w:rsidR="00057EE2" w:rsidRDefault="00000000">
      <w:pPr>
        <w:pStyle w:val="Compact"/>
        <w:numPr>
          <w:ilvl w:val="0"/>
          <w:numId w:val="17"/>
        </w:numPr>
      </w:pPr>
      <w:r>
        <w:t>energy proxy or measured power;</w:t>
      </w:r>
    </w:p>
    <w:p w14:paraId="47748FD5" w14:textId="77777777" w:rsidR="00057EE2" w:rsidRDefault="00000000">
      <w:pPr>
        <w:pStyle w:val="Compact"/>
        <w:numPr>
          <w:ilvl w:val="0"/>
          <w:numId w:val="17"/>
        </w:numPr>
      </w:pPr>
      <w:r>
        <w:t>integration cost;</w:t>
      </w:r>
    </w:p>
    <w:p w14:paraId="5DBEAB2E" w14:textId="77777777" w:rsidR="00057EE2" w:rsidRDefault="00000000">
      <w:pPr>
        <w:pStyle w:val="Compact"/>
        <w:numPr>
          <w:ilvl w:val="0"/>
          <w:numId w:val="17"/>
        </w:numPr>
      </w:pPr>
      <w:r>
        <w:t>scalability across problem sizes;</w:t>
      </w:r>
    </w:p>
    <w:p w14:paraId="76B9E484" w14:textId="77777777" w:rsidR="00057EE2" w:rsidRDefault="00000000">
      <w:pPr>
        <w:pStyle w:val="Compact"/>
        <w:numPr>
          <w:ilvl w:val="0"/>
          <w:numId w:val="17"/>
        </w:numPr>
      </w:pPr>
      <w:r>
        <w:t>sensitivity to hardware platform.</w:t>
      </w:r>
    </w:p>
    <w:p w14:paraId="54808FDE" w14:textId="77777777" w:rsidR="00057EE2" w:rsidRDefault="00000000">
      <w:pPr>
        <w:pStyle w:val="FirstParagraph"/>
      </w:pPr>
      <w:r>
        <w:lastRenderedPageBreak/>
        <w:t>This creates a credible bridge from mathematical innovation to customer ROI.</w:t>
      </w:r>
    </w:p>
    <w:p w14:paraId="631C117C" w14:textId="77777777" w:rsidR="00057EE2" w:rsidRDefault="00000000">
      <w:r>
        <w:pict w14:anchorId="6306D735">
          <v:rect id="_x0000_i1033" style="width:0;height:1.5pt" o:hralign="center" o:hrstd="t" o:hr="t"/>
        </w:pict>
      </w:r>
    </w:p>
    <w:p w14:paraId="46D7BA15" w14:textId="77777777" w:rsidR="00057EE2" w:rsidRDefault="00000000">
      <w:pPr>
        <w:pStyle w:val="2"/>
      </w:pPr>
      <w:bookmarkStart w:id="49" w:name="target-markets-and-use-cases"/>
      <w:bookmarkEnd w:id="43"/>
      <w:bookmarkEnd w:id="48"/>
      <w:r>
        <w:t>8. Target Markets and Use Cases</w:t>
      </w:r>
    </w:p>
    <w:p w14:paraId="5D0A9104" w14:textId="77777777" w:rsidR="00057EE2" w:rsidRDefault="00000000">
      <w:pPr>
        <w:pStyle w:val="FirstParagraph"/>
      </w:pPr>
      <w:r>
        <w:t>ALPHA Compute and ALPHA Core initially target markets where computation is expensive, structure is rich, and efficiency has strategic value.</w:t>
      </w:r>
    </w:p>
    <w:p w14:paraId="796A3B0A" w14:textId="77777777" w:rsidR="00057EE2" w:rsidRDefault="00000000">
      <w:pPr>
        <w:pStyle w:val="3"/>
      </w:pPr>
      <w:bookmarkStart w:id="50" w:name="hyperscalers-and-cloud-ai-infrastructure"/>
      <w:r>
        <w:t>8.1 Hyperscalers and Cloud AI Infrastructure</w:t>
      </w:r>
    </w:p>
    <w:p w14:paraId="7B67E0BF" w14:textId="77777777" w:rsidR="00057EE2" w:rsidRDefault="00000000">
      <w:pPr>
        <w:pStyle w:val="4"/>
      </w:pPr>
      <w:bookmarkStart w:id="51" w:name="pain"/>
      <w:r>
        <w:t>Pain</w:t>
      </w:r>
    </w:p>
    <w:p w14:paraId="5B25F1CD" w14:textId="77777777" w:rsidR="00057EE2" w:rsidRDefault="00000000">
      <w:pPr>
        <w:pStyle w:val="FirstParagraph"/>
      </w:pPr>
      <w:r>
        <w:t>Hyperscalers face extreme AI infrastructure cost: GPU procurement, power, cooling, datacenter capacity, and utilization risk. Even small percentage improvements in compute efficiency can translate into significant economic value.</w:t>
      </w:r>
    </w:p>
    <w:p w14:paraId="59BA2D66" w14:textId="77777777" w:rsidR="00057EE2" w:rsidRDefault="00000000">
      <w:pPr>
        <w:pStyle w:val="4"/>
      </w:pPr>
      <w:bookmarkStart w:id="52" w:name="alpha-compute-value"/>
      <w:bookmarkEnd w:id="51"/>
      <w:r>
        <w:t>ALPHA Compute Value</w:t>
      </w:r>
    </w:p>
    <w:p w14:paraId="566C796C" w14:textId="77777777" w:rsidR="00057EE2" w:rsidRDefault="00000000">
      <w:pPr>
        <w:pStyle w:val="Compact"/>
        <w:numPr>
          <w:ilvl w:val="0"/>
          <w:numId w:val="18"/>
        </w:numPr>
      </w:pPr>
      <w:r>
        <w:t>optimize compatible AI and scientific workloads;</w:t>
      </w:r>
    </w:p>
    <w:p w14:paraId="1A7AF622" w14:textId="77777777" w:rsidR="00057EE2" w:rsidRDefault="00000000">
      <w:pPr>
        <w:pStyle w:val="Compact"/>
        <w:numPr>
          <w:ilvl w:val="0"/>
          <w:numId w:val="18"/>
        </w:numPr>
      </w:pPr>
      <w:r>
        <w:t>reduce runtime and memory movement;</w:t>
      </w:r>
    </w:p>
    <w:p w14:paraId="7A413E48" w14:textId="77777777" w:rsidR="00057EE2" w:rsidRDefault="00000000">
      <w:pPr>
        <w:pStyle w:val="Compact"/>
        <w:numPr>
          <w:ilvl w:val="0"/>
          <w:numId w:val="18"/>
        </w:numPr>
      </w:pPr>
      <w:r>
        <w:t>support energy-aware infrastructure planning;</w:t>
      </w:r>
    </w:p>
    <w:p w14:paraId="33FF3862" w14:textId="77777777" w:rsidR="00057EE2" w:rsidRDefault="00000000">
      <w:pPr>
        <w:pStyle w:val="Compact"/>
        <w:numPr>
          <w:ilvl w:val="0"/>
          <w:numId w:val="18"/>
        </w:numPr>
      </w:pPr>
      <w:r>
        <w:t>provide workload-level efficiency layer without replacing the full stack.</w:t>
      </w:r>
    </w:p>
    <w:p w14:paraId="6122D48D" w14:textId="77777777" w:rsidR="00057EE2" w:rsidRDefault="00000000">
      <w:pPr>
        <w:pStyle w:val="4"/>
      </w:pPr>
      <w:bookmarkStart w:id="53" w:name="alpha-core-value"/>
      <w:bookmarkEnd w:id="52"/>
      <w:r>
        <w:t>ALPHA Core Value</w:t>
      </w:r>
    </w:p>
    <w:p w14:paraId="104113F8" w14:textId="77777777" w:rsidR="00057EE2" w:rsidRDefault="00000000">
      <w:pPr>
        <w:pStyle w:val="Compact"/>
        <w:numPr>
          <w:ilvl w:val="0"/>
          <w:numId w:val="19"/>
        </w:numPr>
      </w:pPr>
      <w:r>
        <w:t>future accelerator differentiation;</w:t>
      </w:r>
    </w:p>
    <w:p w14:paraId="2BA7D667" w14:textId="77777777" w:rsidR="00057EE2" w:rsidRDefault="00000000">
      <w:pPr>
        <w:pStyle w:val="Compact"/>
        <w:numPr>
          <w:ilvl w:val="0"/>
          <w:numId w:val="19"/>
        </w:numPr>
      </w:pPr>
      <w:r>
        <w:t>co-design with AI infrastructure hardware;</w:t>
      </w:r>
    </w:p>
    <w:p w14:paraId="60D907EE" w14:textId="77777777" w:rsidR="00057EE2" w:rsidRDefault="00000000">
      <w:pPr>
        <w:pStyle w:val="Compact"/>
        <w:numPr>
          <w:ilvl w:val="0"/>
          <w:numId w:val="19"/>
        </w:numPr>
      </w:pPr>
      <w:r>
        <w:t>custom silicon pathways for energy-efficient AI.</w:t>
      </w:r>
    </w:p>
    <w:p w14:paraId="01121F7D" w14:textId="77777777" w:rsidR="00057EE2" w:rsidRDefault="00000000">
      <w:pPr>
        <w:pStyle w:val="3"/>
      </w:pPr>
      <w:bookmarkStart w:id="54" w:name="semiconductor-companies"/>
      <w:bookmarkEnd w:id="50"/>
      <w:bookmarkEnd w:id="53"/>
      <w:r>
        <w:t>8.2 Semiconductor Companies</w:t>
      </w:r>
    </w:p>
    <w:p w14:paraId="2F4EB2B6" w14:textId="77777777" w:rsidR="00057EE2" w:rsidRDefault="00000000">
      <w:pPr>
        <w:pStyle w:val="4"/>
      </w:pPr>
      <w:bookmarkStart w:id="55" w:name="pain-1"/>
      <w:r>
        <w:t>Pain</w:t>
      </w:r>
    </w:p>
    <w:p w14:paraId="792AC1B6" w14:textId="77777777" w:rsidR="00057EE2" w:rsidRDefault="00000000">
      <w:pPr>
        <w:pStyle w:val="FirstParagraph"/>
      </w:pPr>
      <w:r>
        <w:t>Semiconductor companies need differentiation beyond process scaling. AI chips compete on performance per watt, software ecosystem, and workload specialization.</w:t>
      </w:r>
    </w:p>
    <w:p w14:paraId="78566766" w14:textId="77777777" w:rsidR="00057EE2" w:rsidRDefault="00000000">
      <w:pPr>
        <w:pStyle w:val="4"/>
      </w:pPr>
      <w:bookmarkStart w:id="56" w:name="alpha-compute-value-1"/>
      <w:bookmarkEnd w:id="55"/>
      <w:r>
        <w:t>ALPHA Compute Value</w:t>
      </w:r>
    </w:p>
    <w:p w14:paraId="25C9BB74" w14:textId="77777777" w:rsidR="00057EE2" w:rsidRDefault="00000000">
      <w:pPr>
        <w:pStyle w:val="Compact"/>
        <w:numPr>
          <w:ilvl w:val="0"/>
          <w:numId w:val="20"/>
        </w:numPr>
      </w:pPr>
      <w:r>
        <w:t>software proof of workload acceleration;</w:t>
      </w:r>
    </w:p>
    <w:p w14:paraId="47290D4F" w14:textId="77777777" w:rsidR="00057EE2" w:rsidRDefault="00000000">
      <w:pPr>
        <w:pStyle w:val="Compact"/>
        <w:numPr>
          <w:ilvl w:val="0"/>
          <w:numId w:val="20"/>
        </w:numPr>
      </w:pPr>
      <w:r>
        <w:t>benchmark layer demonstrating the value of real/integer execution;</w:t>
      </w:r>
    </w:p>
    <w:p w14:paraId="0CF06412" w14:textId="77777777" w:rsidR="00057EE2" w:rsidRDefault="00000000">
      <w:pPr>
        <w:pStyle w:val="Compact"/>
        <w:numPr>
          <w:ilvl w:val="0"/>
          <w:numId w:val="20"/>
        </w:numPr>
      </w:pPr>
      <w:r>
        <w:t>compatibility testing for chip-specific kernels.</w:t>
      </w:r>
    </w:p>
    <w:p w14:paraId="7D3BCE3E" w14:textId="77777777" w:rsidR="00057EE2" w:rsidRDefault="00000000">
      <w:pPr>
        <w:pStyle w:val="4"/>
      </w:pPr>
      <w:bookmarkStart w:id="57" w:name="alpha-core-value-1"/>
      <w:bookmarkEnd w:id="56"/>
      <w:r>
        <w:t>ALPHA Core Value</w:t>
      </w:r>
    </w:p>
    <w:p w14:paraId="7A641A34" w14:textId="77777777" w:rsidR="00057EE2" w:rsidRDefault="00000000">
      <w:pPr>
        <w:pStyle w:val="Compact"/>
        <w:numPr>
          <w:ilvl w:val="0"/>
          <w:numId w:val="21"/>
        </w:numPr>
      </w:pPr>
      <w:r>
        <w:t>licensable compute IP;</w:t>
      </w:r>
    </w:p>
    <w:p w14:paraId="6D4E3C7E" w14:textId="77777777" w:rsidR="00057EE2" w:rsidRDefault="00000000">
      <w:pPr>
        <w:pStyle w:val="Compact"/>
        <w:numPr>
          <w:ilvl w:val="0"/>
          <w:numId w:val="21"/>
        </w:numPr>
      </w:pPr>
      <w:r>
        <w:t>architectural co-design;</w:t>
      </w:r>
    </w:p>
    <w:p w14:paraId="6D73947F" w14:textId="77777777" w:rsidR="00057EE2" w:rsidRDefault="00000000">
      <w:pPr>
        <w:pStyle w:val="Compact"/>
        <w:numPr>
          <w:ilvl w:val="0"/>
          <w:numId w:val="21"/>
        </w:numPr>
      </w:pPr>
      <w:r>
        <w:t>NPU, CPU, GPU, tensor-core, or domain accelerator integration;</w:t>
      </w:r>
    </w:p>
    <w:p w14:paraId="0614CD8B" w14:textId="77777777" w:rsidR="00057EE2" w:rsidRDefault="00000000">
      <w:pPr>
        <w:pStyle w:val="Compact"/>
        <w:numPr>
          <w:ilvl w:val="0"/>
          <w:numId w:val="21"/>
        </w:numPr>
      </w:pPr>
      <w:r>
        <w:t>potential reference design for edge and industrial AI chips.</w:t>
      </w:r>
    </w:p>
    <w:p w14:paraId="671DF548" w14:textId="77777777" w:rsidR="00057EE2" w:rsidRDefault="00000000">
      <w:pPr>
        <w:pStyle w:val="3"/>
      </w:pPr>
      <w:bookmarkStart w:id="58" w:name="hpc-and-scientific-computing"/>
      <w:bookmarkEnd w:id="54"/>
      <w:bookmarkEnd w:id="57"/>
      <w:r>
        <w:lastRenderedPageBreak/>
        <w:t>8.3 HPC and Scientific Computing</w:t>
      </w:r>
    </w:p>
    <w:p w14:paraId="0357B64F" w14:textId="77777777" w:rsidR="00057EE2" w:rsidRDefault="00000000">
      <w:pPr>
        <w:pStyle w:val="4"/>
      </w:pPr>
      <w:bookmarkStart w:id="59" w:name="pain-2"/>
      <w:r>
        <w:t>Pain</w:t>
      </w:r>
    </w:p>
    <w:p w14:paraId="56F99E6F" w14:textId="77777777" w:rsidR="00057EE2" w:rsidRDefault="00000000">
      <w:pPr>
        <w:pStyle w:val="FirstParagraph"/>
      </w:pPr>
      <w:r>
        <w:t>HPC users run expensive numerical workloads involving complex linear algebra, tensor operations, PDEs, simulation, and long-horizon numerical stability.</w:t>
      </w:r>
    </w:p>
    <w:p w14:paraId="413FE8D5" w14:textId="77777777" w:rsidR="00057EE2" w:rsidRDefault="00000000">
      <w:pPr>
        <w:pStyle w:val="4"/>
      </w:pPr>
      <w:bookmarkStart w:id="60" w:name="alpha-compute-value-2"/>
      <w:bookmarkEnd w:id="59"/>
      <w:r>
        <w:t>ALPHA Compute Value</w:t>
      </w:r>
    </w:p>
    <w:p w14:paraId="4BD40B6B" w14:textId="77777777" w:rsidR="00057EE2" w:rsidRDefault="00000000">
      <w:pPr>
        <w:pStyle w:val="Compact"/>
        <w:numPr>
          <w:ilvl w:val="0"/>
          <w:numId w:val="22"/>
        </w:numPr>
      </w:pPr>
      <w:r>
        <w:t>acceleration of compatible solvers;</w:t>
      </w:r>
    </w:p>
    <w:p w14:paraId="20C6F21F" w14:textId="77777777" w:rsidR="00057EE2" w:rsidRDefault="00000000">
      <w:pPr>
        <w:pStyle w:val="Compact"/>
        <w:numPr>
          <w:ilvl w:val="0"/>
          <w:numId w:val="22"/>
        </w:numPr>
      </w:pPr>
      <w:r>
        <w:t>reduced memory and energy cost;</w:t>
      </w:r>
    </w:p>
    <w:p w14:paraId="0B435878" w14:textId="77777777" w:rsidR="00057EE2" w:rsidRDefault="00000000">
      <w:pPr>
        <w:pStyle w:val="Compact"/>
        <w:numPr>
          <w:ilvl w:val="0"/>
          <w:numId w:val="22"/>
        </w:numPr>
      </w:pPr>
      <w:r>
        <w:t>structure-preserving simulation pathways;</w:t>
      </w:r>
    </w:p>
    <w:p w14:paraId="31A5B8D4" w14:textId="77777777" w:rsidR="00057EE2" w:rsidRDefault="00000000">
      <w:pPr>
        <w:pStyle w:val="Compact"/>
        <w:numPr>
          <w:ilvl w:val="0"/>
          <w:numId w:val="22"/>
        </w:numPr>
      </w:pPr>
      <w:r>
        <w:t>better use of existing hardware.</w:t>
      </w:r>
    </w:p>
    <w:p w14:paraId="3DB07090" w14:textId="77777777" w:rsidR="00057EE2" w:rsidRDefault="00000000">
      <w:pPr>
        <w:pStyle w:val="4"/>
      </w:pPr>
      <w:bookmarkStart w:id="61" w:name="alpha-core-value-2"/>
      <w:bookmarkEnd w:id="60"/>
      <w:r>
        <w:t>ALPHA Core Value</w:t>
      </w:r>
    </w:p>
    <w:p w14:paraId="34DB0C18" w14:textId="77777777" w:rsidR="00057EE2" w:rsidRDefault="00000000">
      <w:pPr>
        <w:pStyle w:val="Compact"/>
        <w:numPr>
          <w:ilvl w:val="0"/>
          <w:numId w:val="23"/>
        </w:numPr>
      </w:pPr>
      <w:r>
        <w:t>next-generation scientific computing accelerator concepts;</w:t>
      </w:r>
    </w:p>
    <w:p w14:paraId="526BCF02" w14:textId="77777777" w:rsidR="00057EE2" w:rsidRDefault="00000000">
      <w:pPr>
        <w:pStyle w:val="Compact"/>
        <w:numPr>
          <w:ilvl w:val="0"/>
          <w:numId w:val="23"/>
        </w:numPr>
      </w:pPr>
      <w:r>
        <w:t>domain-specific simulation hardware;</w:t>
      </w:r>
    </w:p>
    <w:p w14:paraId="0CF154D9" w14:textId="77777777" w:rsidR="00057EE2" w:rsidRDefault="00000000">
      <w:pPr>
        <w:pStyle w:val="Compact"/>
        <w:numPr>
          <w:ilvl w:val="0"/>
          <w:numId w:val="23"/>
        </w:numPr>
      </w:pPr>
      <w:r>
        <w:t>national research infrastructure differentiation.</w:t>
      </w:r>
    </w:p>
    <w:p w14:paraId="2150C97F" w14:textId="77777777" w:rsidR="00057EE2" w:rsidRDefault="00000000">
      <w:pPr>
        <w:pStyle w:val="3"/>
      </w:pPr>
      <w:bookmarkStart w:id="62" w:name="smart-manufacturing-and-industrial-ai"/>
      <w:bookmarkEnd w:id="58"/>
      <w:bookmarkEnd w:id="61"/>
      <w:r>
        <w:t>8.4 Smart Manufacturing and Industrial AI</w:t>
      </w:r>
    </w:p>
    <w:p w14:paraId="334EDD9C" w14:textId="77777777" w:rsidR="00057EE2" w:rsidRDefault="00000000">
      <w:pPr>
        <w:pStyle w:val="4"/>
      </w:pPr>
      <w:bookmarkStart w:id="63" w:name="pain-3"/>
      <w:r>
        <w:t>Pain</w:t>
      </w:r>
    </w:p>
    <w:p w14:paraId="739886A8" w14:textId="77777777" w:rsidR="00057EE2" w:rsidRDefault="00000000">
      <w:pPr>
        <w:pStyle w:val="FirstParagraph"/>
      </w:pPr>
      <w:r>
        <w:t>Manufacturing environments need real-time decision-making, predictive maintenance, quality inspection, process optimization, and edge deployment. Many systems cannot rely on continuous cloud connectivity or heavy GPU infrastructure.</w:t>
      </w:r>
    </w:p>
    <w:p w14:paraId="3D72C4D5" w14:textId="77777777" w:rsidR="00057EE2" w:rsidRDefault="00000000">
      <w:pPr>
        <w:pStyle w:val="4"/>
      </w:pPr>
      <w:bookmarkStart w:id="64" w:name="alpha-compute-value-3"/>
      <w:bookmarkEnd w:id="63"/>
      <w:r>
        <w:t>ALPHA Compute Value</w:t>
      </w:r>
    </w:p>
    <w:p w14:paraId="76F5E522" w14:textId="77777777" w:rsidR="00057EE2" w:rsidRDefault="00000000">
      <w:pPr>
        <w:pStyle w:val="Compact"/>
        <w:numPr>
          <w:ilvl w:val="0"/>
          <w:numId w:val="24"/>
        </w:numPr>
      </w:pPr>
      <w:r>
        <w:t>efficient edge inference and simulation;</w:t>
      </w:r>
    </w:p>
    <w:p w14:paraId="52644DAD" w14:textId="77777777" w:rsidR="00057EE2" w:rsidRDefault="00000000">
      <w:pPr>
        <w:pStyle w:val="Compact"/>
        <w:numPr>
          <w:ilvl w:val="0"/>
          <w:numId w:val="24"/>
        </w:numPr>
      </w:pPr>
      <w:r>
        <w:t>process modeling with reduced computational overhead;</w:t>
      </w:r>
    </w:p>
    <w:p w14:paraId="6D04B74B" w14:textId="77777777" w:rsidR="00057EE2" w:rsidRDefault="00000000">
      <w:pPr>
        <w:pStyle w:val="Compact"/>
        <w:numPr>
          <w:ilvl w:val="0"/>
          <w:numId w:val="24"/>
        </w:numPr>
      </w:pPr>
      <w:r>
        <w:t>compatibility with on-premise industrial environments;</w:t>
      </w:r>
    </w:p>
    <w:p w14:paraId="68F8A317" w14:textId="77777777" w:rsidR="00057EE2" w:rsidRDefault="00000000">
      <w:pPr>
        <w:pStyle w:val="Compact"/>
        <w:numPr>
          <w:ilvl w:val="0"/>
          <w:numId w:val="24"/>
        </w:numPr>
      </w:pPr>
      <w:r>
        <w:t>lower latency for factory AI.</w:t>
      </w:r>
    </w:p>
    <w:p w14:paraId="2595AA75" w14:textId="77777777" w:rsidR="00057EE2" w:rsidRDefault="00000000">
      <w:pPr>
        <w:pStyle w:val="4"/>
      </w:pPr>
      <w:bookmarkStart w:id="65" w:name="alpha-core-value-3"/>
      <w:bookmarkEnd w:id="64"/>
      <w:r>
        <w:t>ALPHA Core Value</w:t>
      </w:r>
    </w:p>
    <w:p w14:paraId="79B92311" w14:textId="77777777" w:rsidR="00057EE2" w:rsidRDefault="00000000">
      <w:pPr>
        <w:pStyle w:val="Compact"/>
        <w:numPr>
          <w:ilvl w:val="0"/>
          <w:numId w:val="25"/>
        </w:numPr>
      </w:pPr>
      <w:r>
        <w:t>embedded AI chips for factory equipment;</w:t>
      </w:r>
    </w:p>
    <w:p w14:paraId="4E8337D7" w14:textId="77777777" w:rsidR="00057EE2" w:rsidRDefault="00000000">
      <w:pPr>
        <w:pStyle w:val="Compact"/>
        <w:numPr>
          <w:ilvl w:val="0"/>
          <w:numId w:val="25"/>
        </w:numPr>
      </w:pPr>
      <w:r>
        <w:t>real-time process control modules;</w:t>
      </w:r>
    </w:p>
    <w:p w14:paraId="1B0205E7" w14:textId="77777777" w:rsidR="00057EE2" w:rsidRDefault="00000000">
      <w:pPr>
        <w:pStyle w:val="Compact"/>
        <w:numPr>
          <w:ilvl w:val="0"/>
          <w:numId w:val="25"/>
        </w:numPr>
      </w:pPr>
      <w:r>
        <w:t>hardware-level acceleration for industrial digital twins.</w:t>
      </w:r>
    </w:p>
    <w:p w14:paraId="37A93DBE" w14:textId="77777777" w:rsidR="00057EE2" w:rsidRDefault="00000000">
      <w:pPr>
        <w:pStyle w:val="3"/>
      </w:pPr>
      <w:bookmarkStart w:id="66" w:name="X12f7483223ef132aa1fa57553518bfef4682fa4"/>
      <w:bookmarkEnd w:id="62"/>
      <w:bookmarkEnd w:id="65"/>
      <w:r>
        <w:t>8.5 Semiconductor Process, Battery, and Materials Simulation</w:t>
      </w:r>
    </w:p>
    <w:p w14:paraId="72B27F28" w14:textId="77777777" w:rsidR="00057EE2" w:rsidRDefault="00000000">
      <w:pPr>
        <w:pStyle w:val="4"/>
      </w:pPr>
      <w:bookmarkStart w:id="67" w:name="pain-4"/>
      <w:r>
        <w:t>Pain</w:t>
      </w:r>
    </w:p>
    <w:p w14:paraId="44C51944" w14:textId="77777777" w:rsidR="00057EE2" w:rsidRDefault="00000000">
      <w:pPr>
        <w:pStyle w:val="FirstParagraph"/>
      </w:pPr>
      <w:r>
        <w:t>These industries rely on expensive physical simulation, PDE solving, inverse problems, optimization, and high-dimensional parameter search. Accuracy, conservation, and long-horizon stability matter.</w:t>
      </w:r>
    </w:p>
    <w:p w14:paraId="586729BB" w14:textId="77777777" w:rsidR="00057EE2" w:rsidRDefault="00000000">
      <w:pPr>
        <w:pStyle w:val="4"/>
      </w:pPr>
      <w:bookmarkStart w:id="68" w:name="alpha-compute-value-4"/>
      <w:bookmarkEnd w:id="67"/>
      <w:r>
        <w:lastRenderedPageBreak/>
        <w:t>ALPHA Compute Value</w:t>
      </w:r>
    </w:p>
    <w:p w14:paraId="08B8D795" w14:textId="77777777" w:rsidR="00057EE2" w:rsidRDefault="00000000">
      <w:pPr>
        <w:pStyle w:val="Compact"/>
        <w:numPr>
          <w:ilvl w:val="0"/>
          <w:numId w:val="26"/>
        </w:numPr>
      </w:pPr>
      <w:r>
        <w:t>FQNM-based conservation-preserving simulation paths;</w:t>
      </w:r>
    </w:p>
    <w:p w14:paraId="36333124" w14:textId="77777777" w:rsidR="00057EE2" w:rsidRDefault="00000000">
      <w:pPr>
        <w:pStyle w:val="Compact"/>
        <w:numPr>
          <w:ilvl w:val="0"/>
          <w:numId w:val="26"/>
        </w:numPr>
      </w:pPr>
      <w:r>
        <w:t>AXIOM/CRE-based linear algebra acceleration;</w:t>
      </w:r>
    </w:p>
    <w:p w14:paraId="64F10CE4" w14:textId="77777777" w:rsidR="00057EE2" w:rsidRDefault="00000000">
      <w:pPr>
        <w:pStyle w:val="Compact"/>
        <w:numPr>
          <w:ilvl w:val="0"/>
          <w:numId w:val="26"/>
        </w:numPr>
      </w:pPr>
      <w:r>
        <w:t>reduced cost of design exploration;</w:t>
      </w:r>
    </w:p>
    <w:p w14:paraId="0E88665D" w14:textId="77777777" w:rsidR="00057EE2" w:rsidRDefault="00000000">
      <w:pPr>
        <w:pStyle w:val="Compact"/>
        <w:numPr>
          <w:ilvl w:val="0"/>
          <w:numId w:val="26"/>
        </w:numPr>
      </w:pPr>
      <w:r>
        <w:t>faster digital twin iteration.</w:t>
      </w:r>
    </w:p>
    <w:p w14:paraId="21CBC7F7" w14:textId="77777777" w:rsidR="00057EE2" w:rsidRDefault="00000000">
      <w:pPr>
        <w:pStyle w:val="4"/>
      </w:pPr>
      <w:bookmarkStart w:id="69" w:name="alpha-core-value-4"/>
      <w:bookmarkEnd w:id="68"/>
      <w:r>
        <w:t>ALPHA Core Value</w:t>
      </w:r>
    </w:p>
    <w:p w14:paraId="21C321D4" w14:textId="77777777" w:rsidR="00057EE2" w:rsidRDefault="00000000">
      <w:pPr>
        <w:pStyle w:val="Compact"/>
        <w:numPr>
          <w:ilvl w:val="0"/>
          <w:numId w:val="27"/>
        </w:numPr>
      </w:pPr>
      <w:r>
        <w:t>domain-specific simulation accelerators;</w:t>
      </w:r>
    </w:p>
    <w:p w14:paraId="55F58659" w14:textId="77777777" w:rsidR="00057EE2" w:rsidRDefault="00000000">
      <w:pPr>
        <w:pStyle w:val="Compact"/>
        <w:numPr>
          <w:ilvl w:val="0"/>
          <w:numId w:val="27"/>
        </w:numPr>
      </w:pPr>
      <w:r>
        <w:t>integrated compute for process equipment;</w:t>
      </w:r>
    </w:p>
    <w:p w14:paraId="472FF759" w14:textId="77777777" w:rsidR="00057EE2" w:rsidRDefault="00000000">
      <w:pPr>
        <w:pStyle w:val="Compact"/>
        <w:numPr>
          <w:ilvl w:val="0"/>
          <w:numId w:val="27"/>
        </w:numPr>
      </w:pPr>
      <w:r>
        <w:t>partnership with semiconductor and battery manufacturers.</w:t>
      </w:r>
    </w:p>
    <w:p w14:paraId="1630E435" w14:textId="77777777" w:rsidR="00057EE2" w:rsidRDefault="00000000">
      <w:pPr>
        <w:pStyle w:val="3"/>
      </w:pPr>
      <w:bookmarkStart w:id="70" w:name="X966fd6cf21a31571e995ec0e5b0f9bab548f164"/>
      <w:bookmarkEnd w:id="66"/>
      <w:bookmarkEnd w:id="69"/>
      <w:r>
        <w:t>8.6 Robotics, Autonomous Systems, and Edge Intelligence</w:t>
      </w:r>
    </w:p>
    <w:p w14:paraId="6CAF74AE" w14:textId="77777777" w:rsidR="00057EE2" w:rsidRDefault="00000000">
      <w:pPr>
        <w:pStyle w:val="4"/>
      </w:pPr>
      <w:bookmarkStart w:id="71" w:name="pain-5"/>
      <w:r>
        <w:t>Pain</w:t>
      </w:r>
    </w:p>
    <w:p w14:paraId="221C3697" w14:textId="77777777" w:rsidR="00057EE2" w:rsidRDefault="00000000">
      <w:pPr>
        <w:pStyle w:val="FirstParagraph"/>
      </w:pPr>
      <w:r>
        <w:t>Robotics and autonomy require low-latency computation under power and thermal constraints. Many systems involve rotations, control, state estimation, signal processing, and physical simulation.</w:t>
      </w:r>
    </w:p>
    <w:p w14:paraId="2F67109B" w14:textId="77777777" w:rsidR="00057EE2" w:rsidRDefault="00000000">
      <w:pPr>
        <w:pStyle w:val="4"/>
      </w:pPr>
      <w:bookmarkStart w:id="72" w:name="alpha-compute-value-5"/>
      <w:bookmarkEnd w:id="71"/>
      <w:r>
        <w:t>ALPHA Compute Value</w:t>
      </w:r>
    </w:p>
    <w:p w14:paraId="1FF4C44E" w14:textId="77777777" w:rsidR="00057EE2" w:rsidRDefault="00000000">
      <w:pPr>
        <w:pStyle w:val="Compact"/>
        <w:numPr>
          <w:ilvl w:val="0"/>
          <w:numId w:val="28"/>
        </w:numPr>
      </w:pPr>
      <w:r>
        <w:t>efficient computation for control and perception subroutines;</w:t>
      </w:r>
    </w:p>
    <w:p w14:paraId="0C1BAE72" w14:textId="77777777" w:rsidR="00057EE2" w:rsidRDefault="00000000">
      <w:pPr>
        <w:pStyle w:val="Compact"/>
        <w:numPr>
          <w:ilvl w:val="0"/>
          <w:numId w:val="28"/>
        </w:numPr>
      </w:pPr>
      <w:r>
        <w:t>reduced hardware burden for on-device intelligence;</w:t>
      </w:r>
    </w:p>
    <w:p w14:paraId="1CFFF12E" w14:textId="77777777" w:rsidR="00057EE2" w:rsidRDefault="00000000">
      <w:pPr>
        <w:pStyle w:val="Compact"/>
        <w:numPr>
          <w:ilvl w:val="0"/>
          <w:numId w:val="28"/>
        </w:numPr>
      </w:pPr>
      <w:r>
        <w:t>improved stability for real-time physical systems.</w:t>
      </w:r>
    </w:p>
    <w:p w14:paraId="21D43A2B" w14:textId="77777777" w:rsidR="00057EE2" w:rsidRDefault="00000000">
      <w:pPr>
        <w:pStyle w:val="4"/>
      </w:pPr>
      <w:bookmarkStart w:id="73" w:name="alpha-core-value-5"/>
      <w:bookmarkEnd w:id="72"/>
      <w:r>
        <w:t>ALPHA Core Value</w:t>
      </w:r>
    </w:p>
    <w:p w14:paraId="65C84FE5" w14:textId="77777777" w:rsidR="00057EE2" w:rsidRDefault="00000000">
      <w:pPr>
        <w:pStyle w:val="Compact"/>
        <w:numPr>
          <w:ilvl w:val="0"/>
          <w:numId w:val="29"/>
        </w:numPr>
      </w:pPr>
      <w:r>
        <w:t>embedded compute IP for robotics chips;</w:t>
      </w:r>
    </w:p>
    <w:p w14:paraId="50AE00F2" w14:textId="77777777" w:rsidR="00057EE2" w:rsidRDefault="00000000">
      <w:pPr>
        <w:pStyle w:val="Compact"/>
        <w:numPr>
          <w:ilvl w:val="0"/>
          <w:numId w:val="29"/>
        </w:numPr>
      </w:pPr>
      <w:r>
        <w:t>low-power accelerator blocks;</w:t>
      </w:r>
    </w:p>
    <w:p w14:paraId="3E672E50" w14:textId="77777777" w:rsidR="00057EE2" w:rsidRDefault="00000000">
      <w:pPr>
        <w:pStyle w:val="Compact"/>
        <w:numPr>
          <w:ilvl w:val="0"/>
          <w:numId w:val="29"/>
        </w:numPr>
      </w:pPr>
      <w:r>
        <w:t>structural computation layer for autonomous devices.</w:t>
      </w:r>
    </w:p>
    <w:p w14:paraId="17688A35" w14:textId="77777777" w:rsidR="00057EE2" w:rsidRDefault="00000000">
      <w:r>
        <w:pict w14:anchorId="187AF18F">
          <v:rect id="_x0000_i1034" style="width:0;height:1.5pt" o:hralign="center" o:hrstd="t" o:hr="t"/>
        </w:pict>
      </w:r>
    </w:p>
    <w:p w14:paraId="208AD03F" w14:textId="77777777" w:rsidR="00057EE2" w:rsidRDefault="00000000">
      <w:pPr>
        <w:pStyle w:val="2"/>
      </w:pPr>
      <w:bookmarkStart w:id="74" w:name="deployment-model-and-poc-path"/>
      <w:bookmarkEnd w:id="49"/>
      <w:bookmarkEnd w:id="70"/>
      <w:bookmarkEnd w:id="73"/>
      <w:r>
        <w:t>9. Deployment Model and PoC Path</w:t>
      </w:r>
    </w:p>
    <w:p w14:paraId="0863D52F" w14:textId="77777777" w:rsidR="00057EE2" w:rsidRDefault="00000000">
      <w:pPr>
        <w:pStyle w:val="FirstParagraph"/>
      </w:pPr>
      <w:r>
        <w:t>The commercialization strategy for ALPHA Compute is PoC-led, evidence-driven, and workload-specific. This is the most credible path for a deep technology product because it allows customers to verify value before committing to broader integration.</w:t>
      </w:r>
    </w:p>
    <w:p w14:paraId="78F62CCF" w14:textId="77777777" w:rsidR="00057EE2" w:rsidRDefault="00000000">
      <w:pPr>
        <w:pStyle w:val="3"/>
      </w:pPr>
      <w:bookmarkStart w:id="75" w:name="step-1-workload-diagnosis"/>
      <w:r>
        <w:t>9.1 Step 1 — Workload Diagnosis</w:t>
      </w:r>
    </w:p>
    <w:p w14:paraId="1721FF02" w14:textId="77777777" w:rsidR="00057EE2" w:rsidRDefault="00000000">
      <w:pPr>
        <w:pStyle w:val="FirstParagraph"/>
      </w:pPr>
      <w:r>
        <w:t>The first step is to understand the customer’s workload.</w:t>
      </w:r>
    </w:p>
    <w:p w14:paraId="0E40A24E" w14:textId="77777777" w:rsidR="00057EE2" w:rsidRDefault="00000000">
      <w:pPr>
        <w:pStyle w:val="a0"/>
      </w:pPr>
      <w:r>
        <w:t>Questions include:</w:t>
      </w:r>
    </w:p>
    <w:p w14:paraId="609F551D" w14:textId="77777777" w:rsidR="00057EE2" w:rsidRDefault="00000000">
      <w:pPr>
        <w:pStyle w:val="Compact"/>
        <w:numPr>
          <w:ilvl w:val="0"/>
          <w:numId w:val="30"/>
        </w:numPr>
      </w:pPr>
      <w:r>
        <w:t>Where is most runtime spent?</w:t>
      </w:r>
    </w:p>
    <w:p w14:paraId="5B911E03" w14:textId="77777777" w:rsidR="00057EE2" w:rsidRDefault="00000000">
      <w:pPr>
        <w:pStyle w:val="Compact"/>
        <w:numPr>
          <w:ilvl w:val="0"/>
          <w:numId w:val="30"/>
        </w:numPr>
      </w:pPr>
      <w:r>
        <w:t>Which operations dominate memory movement?</w:t>
      </w:r>
    </w:p>
    <w:p w14:paraId="6939492E" w14:textId="77777777" w:rsidR="00057EE2" w:rsidRDefault="00000000">
      <w:pPr>
        <w:pStyle w:val="Compact"/>
        <w:numPr>
          <w:ilvl w:val="0"/>
          <w:numId w:val="30"/>
        </w:numPr>
      </w:pPr>
      <w:r>
        <w:lastRenderedPageBreak/>
        <w:t>Are there complex-valued, tensor-valued, Hermitian, SPD, skew, or conservation structures?</w:t>
      </w:r>
    </w:p>
    <w:p w14:paraId="55B95FB9" w14:textId="77777777" w:rsidR="00057EE2" w:rsidRDefault="00000000">
      <w:pPr>
        <w:pStyle w:val="Compact"/>
        <w:numPr>
          <w:ilvl w:val="0"/>
          <w:numId w:val="30"/>
        </w:numPr>
      </w:pPr>
      <w:r>
        <w:t>Does the workload suffer from numerical drift?</w:t>
      </w:r>
    </w:p>
    <w:p w14:paraId="439A1945" w14:textId="77777777" w:rsidR="00057EE2" w:rsidRDefault="00000000">
      <w:pPr>
        <w:pStyle w:val="Compact"/>
        <w:numPr>
          <w:ilvl w:val="0"/>
          <w:numId w:val="30"/>
        </w:numPr>
      </w:pPr>
      <w:r>
        <w:t>What hardware does the customer already use?</w:t>
      </w:r>
    </w:p>
    <w:p w14:paraId="09C83679" w14:textId="77777777" w:rsidR="00057EE2" w:rsidRDefault="00000000">
      <w:pPr>
        <w:pStyle w:val="Compact"/>
        <w:numPr>
          <w:ilvl w:val="0"/>
          <w:numId w:val="30"/>
        </w:numPr>
      </w:pPr>
      <w:r>
        <w:t>What is the energy or cost sensitivity?</w:t>
      </w:r>
    </w:p>
    <w:p w14:paraId="60DE8198" w14:textId="77777777" w:rsidR="00057EE2" w:rsidRDefault="00000000">
      <w:pPr>
        <w:pStyle w:val="Compact"/>
        <w:numPr>
          <w:ilvl w:val="0"/>
          <w:numId w:val="30"/>
        </w:numPr>
      </w:pPr>
      <w:r>
        <w:t>What accuracy constraints must be preserved?</w:t>
      </w:r>
    </w:p>
    <w:p w14:paraId="531E828D" w14:textId="77777777" w:rsidR="00057EE2" w:rsidRDefault="00000000">
      <w:pPr>
        <w:pStyle w:val="FirstParagraph"/>
      </w:pPr>
      <w:r>
        <w:t>Deliverable:</w:t>
      </w:r>
    </w:p>
    <w:p w14:paraId="54834F5C" w14:textId="77777777" w:rsidR="00057EE2" w:rsidRDefault="00000000">
      <w:pPr>
        <w:pStyle w:val="a8"/>
      </w:pPr>
      <w:r>
        <w:t>Workload structure map and initial compatibility assessment.</w:t>
      </w:r>
    </w:p>
    <w:p w14:paraId="4C886B17" w14:textId="77777777" w:rsidR="00057EE2" w:rsidRDefault="00000000">
      <w:pPr>
        <w:pStyle w:val="3"/>
      </w:pPr>
      <w:bookmarkStart w:id="76" w:name="step-2-compatibility-mapping"/>
      <w:bookmarkEnd w:id="75"/>
      <w:r>
        <w:t>9.2 Step 2 — Compatibility Mapping</w:t>
      </w:r>
    </w:p>
    <w:p w14:paraId="28813610" w14:textId="77777777" w:rsidR="00057EE2" w:rsidRDefault="00000000">
      <w:pPr>
        <w:pStyle w:val="FirstParagraph"/>
      </w:pPr>
      <w:r>
        <w:t>Not all workloads are suitable for every ALPHA technology. Compatibility mapping determines which parts of the workload may benefit from:</w:t>
      </w:r>
    </w:p>
    <w:p w14:paraId="0003BC16" w14:textId="77777777" w:rsidR="00057EE2" w:rsidRDefault="00000000">
      <w:pPr>
        <w:pStyle w:val="Compact"/>
        <w:numPr>
          <w:ilvl w:val="0"/>
          <w:numId w:val="31"/>
        </w:numPr>
      </w:pPr>
      <w:r>
        <w:t>AXIOM/CRE transformation;</w:t>
      </w:r>
    </w:p>
    <w:p w14:paraId="2A535B48" w14:textId="77777777" w:rsidR="00057EE2" w:rsidRDefault="00000000">
      <w:pPr>
        <w:pStyle w:val="Compact"/>
        <w:numPr>
          <w:ilvl w:val="0"/>
          <w:numId w:val="31"/>
        </w:numPr>
      </w:pPr>
      <w:r>
        <w:t>FQNM quantised conservation update;</w:t>
      </w:r>
    </w:p>
    <w:p w14:paraId="5AE190FA" w14:textId="77777777" w:rsidR="00057EE2" w:rsidRDefault="00000000">
      <w:pPr>
        <w:pStyle w:val="Compact"/>
        <w:numPr>
          <w:ilvl w:val="0"/>
          <w:numId w:val="31"/>
        </w:numPr>
      </w:pPr>
      <w:r>
        <w:t>boundary-aware execution planning;</w:t>
      </w:r>
    </w:p>
    <w:p w14:paraId="1A83BAD9" w14:textId="77777777" w:rsidR="00057EE2" w:rsidRDefault="00000000">
      <w:pPr>
        <w:pStyle w:val="Compact"/>
        <w:numPr>
          <w:ilvl w:val="0"/>
          <w:numId w:val="31"/>
        </w:numPr>
      </w:pPr>
      <w:r>
        <w:t>real-kernel execution;</w:t>
      </w:r>
    </w:p>
    <w:p w14:paraId="4AA3E7E7" w14:textId="77777777" w:rsidR="00057EE2" w:rsidRDefault="00000000">
      <w:pPr>
        <w:pStyle w:val="Compact"/>
        <w:numPr>
          <w:ilvl w:val="0"/>
          <w:numId w:val="31"/>
        </w:numPr>
      </w:pPr>
      <w:r>
        <w:t>integer-kernel execution;</w:t>
      </w:r>
    </w:p>
    <w:p w14:paraId="0D04774A" w14:textId="77777777" w:rsidR="00057EE2" w:rsidRDefault="00000000">
      <w:pPr>
        <w:pStyle w:val="Compact"/>
        <w:numPr>
          <w:ilvl w:val="0"/>
          <w:numId w:val="31"/>
        </w:numPr>
      </w:pPr>
      <w:r>
        <w:t>future ALPHA Core hardware integration.</w:t>
      </w:r>
    </w:p>
    <w:p w14:paraId="7F611AB6" w14:textId="77777777" w:rsidR="00057EE2" w:rsidRDefault="00000000">
      <w:pPr>
        <w:pStyle w:val="FirstParagraph"/>
      </w:pPr>
      <w:r>
        <w:t>Deliverable:</w:t>
      </w:r>
    </w:p>
    <w:p w14:paraId="4B4AA73C" w14:textId="77777777" w:rsidR="00057EE2" w:rsidRDefault="00000000">
      <w:pPr>
        <w:pStyle w:val="a8"/>
      </w:pPr>
      <w:r>
        <w:t>Operator-level compatibility matrix.</w:t>
      </w:r>
    </w:p>
    <w:p w14:paraId="09FE9107" w14:textId="77777777" w:rsidR="00057EE2" w:rsidRDefault="00000000">
      <w:pPr>
        <w:pStyle w:val="3"/>
      </w:pPr>
      <w:bookmarkStart w:id="77" w:name="step-3-baseline-benchmarking"/>
      <w:bookmarkEnd w:id="76"/>
      <w:r>
        <w:t>9.3 Step 3 — Baseline Benchmarking</w:t>
      </w:r>
    </w:p>
    <w:p w14:paraId="060E600F" w14:textId="77777777" w:rsidR="00057EE2" w:rsidRDefault="00000000">
      <w:pPr>
        <w:pStyle w:val="FirstParagraph"/>
      </w:pPr>
      <w:r>
        <w:t>Before transformation, the customer’s current workload must be benchmarked. Metrics should include:</w:t>
      </w:r>
    </w:p>
    <w:p w14:paraId="7087E0DC" w14:textId="77777777" w:rsidR="00057EE2" w:rsidRDefault="00000000">
      <w:pPr>
        <w:pStyle w:val="Compact"/>
        <w:numPr>
          <w:ilvl w:val="0"/>
          <w:numId w:val="32"/>
        </w:numPr>
      </w:pPr>
      <w:r>
        <w:t>runtime;</w:t>
      </w:r>
    </w:p>
    <w:p w14:paraId="27CA47B7" w14:textId="77777777" w:rsidR="00057EE2" w:rsidRDefault="00000000">
      <w:pPr>
        <w:pStyle w:val="Compact"/>
        <w:numPr>
          <w:ilvl w:val="0"/>
          <w:numId w:val="32"/>
        </w:numPr>
      </w:pPr>
      <w:r>
        <w:t>memory usage;</w:t>
      </w:r>
    </w:p>
    <w:p w14:paraId="162E119F" w14:textId="77777777" w:rsidR="00057EE2" w:rsidRDefault="00000000">
      <w:pPr>
        <w:pStyle w:val="Compact"/>
        <w:numPr>
          <w:ilvl w:val="0"/>
          <w:numId w:val="32"/>
        </w:numPr>
      </w:pPr>
      <w:r>
        <w:t>hardware utilization;</w:t>
      </w:r>
    </w:p>
    <w:p w14:paraId="0066C7F3" w14:textId="77777777" w:rsidR="00057EE2" w:rsidRDefault="00000000">
      <w:pPr>
        <w:pStyle w:val="Compact"/>
        <w:numPr>
          <w:ilvl w:val="0"/>
          <w:numId w:val="32"/>
        </w:numPr>
      </w:pPr>
      <w:r>
        <w:t>residual or accuracy;</w:t>
      </w:r>
    </w:p>
    <w:p w14:paraId="021157D3" w14:textId="77777777" w:rsidR="00057EE2" w:rsidRDefault="00000000">
      <w:pPr>
        <w:pStyle w:val="Compact"/>
        <w:numPr>
          <w:ilvl w:val="0"/>
          <w:numId w:val="32"/>
        </w:numPr>
      </w:pPr>
      <w:r>
        <w:t>conservation drift where relevant;</w:t>
      </w:r>
    </w:p>
    <w:p w14:paraId="6E62E303" w14:textId="77777777" w:rsidR="00057EE2" w:rsidRDefault="00000000">
      <w:pPr>
        <w:pStyle w:val="Compact"/>
        <w:numPr>
          <w:ilvl w:val="0"/>
          <w:numId w:val="32"/>
        </w:numPr>
      </w:pPr>
      <w:r>
        <w:t>energy proxy or measured power;</w:t>
      </w:r>
    </w:p>
    <w:p w14:paraId="62ABDC7E" w14:textId="77777777" w:rsidR="00057EE2" w:rsidRDefault="00000000">
      <w:pPr>
        <w:pStyle w:val="Compact"/>
        <w:numPr>
          <w:ilvl w:val="0"/>
          <w:numId w:val="32"/>
        </w:numPr>
      </w:pPr>
      <w:r>
        <w:t>scalability across problem size.</w:t>
      </w:r>
    </w:p>
    <w:p w14:paraId="7636B5D9" w14:textId="77777777" w:rsidR="00057EE2" w:rsidRDefault="00000000">
      <w:pPr>
        <w:pStyle w:val="FirstParagraph"/>
      </w:pPr>
      <w:r>
        <w:t>Deliverable:</w:t>
      </w:r>
    </w:p>
    <w:p w14:paraId="2BEB2B23" w14:textId="77777777" w:rsidR="00057EE2" w:rsidRDefault="00000000">
      <w:pPr>
        <w:pStyle w:val="a8"/>
      </w:pPr>
      <w:r>
        <w:t>Baseline performance report.</w:t>
      </w:r>
    </w:p>
    <w:p w14:paraId="77E2A75E" w14:textId="77777777" w:rsidR="00057EE2" w:rsidRDefault="00000000">
      <w:pPr>
        <w:pStyle w:val="3"/>
      </w:pPr>
      <w:bookmarkStart w:id="78" w:name="step-4-alpha-compute-transformation"/>
      <w:bookmarkEnd w:id="77"/>
      <w:r>
        <w:lastRenderedPageBreak/>
        <w:t>9.4 Step 4 — ALPHA Compute Transformation</w:t>
      </w:r>
    </w:p>
    <w:p w14:paraId="4D3BB031" w14:textId="77777777" w:rsidR="00057EE2" w:rsidRDefault="00000000">
      <w:pPr>
        <w:pStyle w:val="FirstParagraph"/>
      </w:pPr>
      <w:r>
        <w:t>The eligible components are then transformed through the relevant ALPHA pathway:</w:t>
      </w:r>
    </w:p>
    <w:p w14:paraId="05E32923" w14:textId="77777777" w:rsidR="00057EE2" w:rsidRDefault="00000000">
      <w:pPr>
        <w:pStyle w:val="Compact"/>
        <w:numPr>
          <w:ilvl w:val="0"/>
          <w:numId w:val="33"/>
        </w:numPr>
      </w:pPr>
      <w:r>
        <w:t>AXIOM/CRE for complex and tensor linear algebra;</w:t>
      </w:r>
    </w:p>
    <w:p w14:paraId="76ADD550" w14:textId="77777777" w:rsidR="00057EE2" w:rsidRDefault="00000000">
      <w:pPr>
        <w:pStyle w:val="Compact"/>
        <w:numPr>
          <w:ilvl w:val="0"/>
          <w:numId w:val="33"/>
        </w:numPr>
      </w:pPr>
      <w:r>
        <w:t>FQNM for conservation-sensitive numerical systems;</w:t>
      </w:r>
    </w:p>
    <w:p w14:paraId="05DD67B6" w14:textId="77777777" w:rsidR="00057EE2" w:rsidRDefault="00000000">
      <w:pPr>
        <w:pStyle w:val="Compact"/>
        <w:numPr>
          <w:ilvl w:val="0"/>
          <w:numId w:val="33"/>
        </w:numPr>
      </w:pPr>
      <w:r>
        <w:t>boundary-aware planning for layout and data movement reduction.</w:t>
      </w:r>
    </w:p>
    <w:p w14:paraId="19E05828" w14:textId="77777777" w:rsidR="00057EE2" w:rsidRDefault="00000000">
      <w:pPr>
        <w:pStyle w:val="FirstParagraph"/>
      </w:pPr>
      <w:r>
        <w:t>Deliverable:</w:t>
      </w:r>
    </w:p>
    <w:p w14:paraId="4EA2C25C" w14:textId="77777777" w:rsidR="00057EE2" w:rsidRDefault="00000000">
      <w:pPr>
        <w:pStyle w:val="a8"/>
      </w:pPr>
      <w:r>
        <w:t>Transformed prototype implementation.</w:t>
      </w:r>
    </w:p>
    <w:p w14:paraId="5507165E" w14:textId="77777777" w:rsidR="00057EE2" w:rsidRDefault="00000000">
      <w:pPr>
        <w:pStyle w:val="3"/>
      </w:pPr>
      <w:bookmarkStart w:id="79" w:name="step-5-comparative-benchmarking"/>
      <w:bookmarkEnd w:id="78"/>
      <w:r>
        <w:t>9.5 Step 5 — Comparative Benchmarking</w:t>
      </w:r>
    </w:p>
    <w:p w14:paraId="0BF1F0EA" w14:textId="77777777" w:rsidR="00057EE2" w:rsidRDefault="00000000">
      <w:pPr>
        <w:pStyle w:val="FirstParagraph"/>
      </w:pPr>
      <w:r>
        <w:t>The transformed workload is compared against the original baseline.</w:t>
      </w:r>
    </w:p>
    <w:p w14:paraId="5BB3EF89" w14:textId="77777777" w:rsidR="00057EE2" w:rsidRDefault="00000000">
      <w:pPr>
        <w:pStyle w:val="a0"/>
      </w:pPr>
      <w:r>
        <w:t>The customer should see:</w:t>
      </w:r>
    </w:p>
    <w:p w14:paraId="20F95342" w14:textId="77777777" w:rsidR="00057EE2" w:rsidRDefault="00000000">
      <w:pPr>
        <w:pStyle w:val="Compact"/>
        <w:numPr>
          <w:ilvl w:val="0"/>
          <w:numId w:val="34"/>
        </w:numPr>
      </w:pPr>
      <w:r>
        <w:t>speedup ratio;</w:t>
      </w:r>
    </w:p>
    <w:p w14:paraId="17FBC174" w14:textId="77777777" w:rsidR="00057EE2" w:rsidRDefault="00000000">
      <w:pPr>
        <w:pStyle w:val="Compact"/>
        <w:numPr>
          <w:ilvl w:val="0"/>
          <w:numId w:val="34"/>
        </w:numPr>
      </w:pPr>
      <w:r>
        <w:t>memory reduction;</w:t>
      </w:r>
    </w:p>
    <w:p w14:paraId="303934A4" w14:textId="77777777" w:rsidR="00057EE2" w:rsidRDefault="00000000">
      <w:pPr>
        <w:pStyle w:val="Compact"/>
        <w:numPr>
          <w:ilvl w:val="0"/>
          <w:numId w:val="34"/>
        </w:numPr>
      </w:pPr>
      <w:r>
        <w:t>accuracy comparison;</w:t>
      </w:r>
    </w:p>
    <w:p w14:paraId="1DA54595" w14:textId="77777777" w:rsidR="00057EE2" w:rsidRDefault="00000000">
      <w:pPr>
        <w:pStyle w:val="Compact"/>
        <w:numPr>
          <w:ilvl w:val="0"/>
          <w:numId w:val="34"/>
        </w:numPr>
      </w:pPr>
      <w:r>
        <w:t>drift comparison;</w:t>
      </w:r>
    </w:p>
    <w:p w14:paraId="686B1BF9" w14:textId="77777777" w:rsidR="00057EE2" w:rsidRDefault="00000000">
      <w:pPr>
        <w:pStyle w:val="Compact"/>
        <w:numPr>
          <w:ilvl w:val="0"/>
          <w:numId w:val="34"/>
        </w:numPr>
      </w:pPr>
      <w:r>
        <w:t>energy or power proxy;</w:t>
      </w:r>
    </w:p>
    <w:p w14:paraId="701D1E28" w14:textId="77777777" w:rsidR="00057EE2" w:rsidRDefault="00000000">
      <w:pPr>
        <w:pStyle w:val="Compact"/>
        <w:numPr>
          <w:ilvl w:val="0"/>
          <w:numId w:val="34"/>
        </w:numPr>
      </w:pPr>
      <w:r>
        <w:t>integration complexity;</w:t>
      </w:r>
    </w:p>
    <w:p w14:paraId="281AEAA8" w14:textId="77777777" w:rsidR="00057EE2" w:rsidRDefault="00000000">
      <w:pPr>
        <w:pStyle w:val="Compact"/>
        <w:numPr>
          <w:ilvl w:val="0"/>
          <w:numId w:val="34"/>
        </w:numPr>
      </w:pPr>
      <w:r>
        <w:t>confidence level for production deployment.</w:t>
      </w:r>
    </w:p>
    <w:p w14:paraId="2BA8E7E7" w14:textId="77777777" w:rsidR="00057EE2" w:rsidRDefault="00000000">
      <w:pPr>
        <w:pStyle w:val="FirstParagraph"/>
      </w:pPr>
      <w:r>
        <w:t>Deliverable:</w:t>
      </w:r>
    </w:p>
    <w:p w14:paraId="09D55D97" w14:textId="77777777" w:rsidR="00057EE2" w:rsidRDefault="00000000">
      <w:pPr>
        <w:pStyle w:val="a8"/>
      </w:pPr>
      <w:r>
        <w:t>PoC results and ROI estimate.</w:t>
      </w:r>
    </w:p>
    <w:p w14:paraId="59742712" w14:textId="77777777" w:rsidR="00057EE2" w:rsidRDefault="00000000">
      <w:pPr>
        <w:pStyle w:val="3"/>
      </w:pPr>
      <w:bookmarkStart w:id="80" w:name="step-6-deployment-or-expansion"/>
      <w:bookmarkEnd w:id="79"/>
      <w:r>
        <w:t>9.6 Step 6 — Deployment or Expansion</w:t>
      </w:r>
    </w:p>
    <w:p w14:paraId="580BC6BD" w14:textId="77777777" w:rsidR="00057EE2" w:rsidRDefault="00000000">
      <w:pPr>
        <w:pStyle w:val="FirstParagraph"/>
      </w:pPr>
      <w:r>
        <w:t>If the PoC demonstrates value, deployment can proceed through:</w:t>
      </w:r>
    </w:p>
    <w:p w14:paraId="56D41B66" w14:textId="77777777" w:rsidR="00057EE2" w:rsidRDefault="00000000">
      <w:pPr>
        <w:pStyle w:val="Compact"/>
        <w:numPr>
          <w:ilvl w:val="0"/>
          <w:numId w:val="35"/>
        </w:numPr>
      </w:pPr>
      <w:r>
        <w:t>software license;</w:t>
      </w:r>
    </w:p>
    <w:p w14:paraId="222BF09F" w14:textId="77777777" w:rsidR="00057EE2" w:rsidRDefault="00000000">
      <w:pPr>
        <w:pStyle w:val="Compact"/>
        <w:numPr>
          <w:ilvl w:val="0"/>
          <w:numId w:val="35"/>
        </w:numPr>
      </w:pPr>
      <w:r>
        <w:t>runtime integration;</w:t>
      </w:r>
    </w:p>
    <w:p w14:paraId="0ABAD211" w14:textId="77777777" w:rsidR="00057EE2" w:rsidRDefault="00000000">
      <w:pPr>
        <w:pStyle w:val="Compact"/>
        <w:numPr>
          <w:ilvl w:val="0"/>
          <w:numId w:val="35"/>
        </w:numPr>
      </w:pPr>
      <w:r>
        <w:t>on-premise installation;</w:t>
      </w:r>
    </w:p>
    <w:p w14:paraId="3C198289" w14:textId="77777777" w:rsidR="00057EE2" w:rsidRDefault="00000000">
      <w:pPr>
        <w:pStyle w:val="Compact"/>
        <w:numPr>
          <w:ilvl w:val="0"/>
          <w:numId w:val="35"/>
        </w:numPr>
      </w:pPr>
      <w:r>
        <w:t>API/library packaging;</w:t>
      </w:r>
    </w:p>
    <w:p w14:paraId="39B189A0" w14:textId="77777777" w:rsidR="00057EE2" w:rsidRDefault="00000000">
      <w:pPr>
        <w:pStyle w:val="Compact"/>
        <w:numPr>
          <w:ilvl w:val="0"/>
          <w:numId w:val="35"/>
        </w:numPr>
      </w:pPr>
      <w:r>
        <w:t>enterprise support agreement;</w:t>
      </w:r>
    </w:p>
    <w:p w14:paraId="6AF9A061" w14:textId="77777777" w:rsidR="00057EE2" w:rsidRDefault="00000000">
      <w:pPr>
        <w:pStyle w:val="Compact"/>
        <w:numPr>
          <w:ilvl w:val="0"/>
          <w:numId w:val="35"/>
        </w:numPr>
      </w:pPr>
      <w:r>
        <w:t>joint optimization program;</w:t>
      </w:r>
    </w:p>
    <w:p w14:paraId="058AA09A" w14:textId="77777777" w:rsidR="00057EE2" w:rsidRDefault="00000000">
      <w:pPr>
        <w:pStyle w:val="Compact"/>
        <w:numPr>
          <w:ilvl w:val="0"/>
          <w:numId w:val="35"/>
        </w:numPr>
      </w:pPr>
      <w:r>
        <w:t>strategic partnership;</w:t>
      </w:r>
    </w:p>
    <w:p w14:paraId="323FF50F" w14:textId="77777777" w:rsidR="00057EE2" w:rsidRDefault="00000000">
      <w:pPr>
        <w:pStyle w:val="Compact"/>
        <w:numPr>
          <w:ilvl w:val="0"/>
          <w:numId w:val="35"/>
        </w:numPr>
      </w:pPr>
      <w:r>
        <w:t>ALPHA Core hardware roadmap discussion.</w:t>
      </w:r>
    </w:p>
    <w:p w14:paraId="5AA9145E" w14:textId="77777777" w:rsidR="00057EE2" w:rsidRDefault="00000000">
      <w:pPr>
        <w:pStyle w:val="FirstParagraph"/>
      </w:pPr>
      <w:r>
        <w:t>Deliverable:</w:t>
      </w:r>
    </w:p>
    <w:p w14:paraId="237F44C6" w14:textId="77777777" w:rsidR="00057EE2" w:rsidRDefault="00000000">
      <w:pPr>
        <w:pStyle w:val="a8"/>
      </w:pPr>
      <w:r>
        <w:lastRenderedPageBreak/>
        <w:t>Commercial deployment plan.</w:t>
      </w:r>
    </w:p>
    <w:p w14:paraId="647E259C" w14:textId="77777777" w:rsidR="00057EE2" w:rsidRDefault="00000000">
      <w:r>
        <w:pict w14:anchorId="3F91C49B">
          <v:rect id="_x0000_i1035" style="width:0;height:1.5pt" o:hralign="center" o:hrstd="t" o:hr="t"/>
        </w:pict>
      </w:r>
    </w:p>
    <w:p w14:paraId="5675CF07" w14:textId="77777777" w:rsidR="00057EE2" w:rsidRDefault="00000000">
      <w:pPr>
        <w:pStyle w:val="2"/>
      </w:pPr>
      <w:bookmarkStart w:id="81" w:name="business-value-and-roi-framework"/>
      <w:bookmarkEnd w:id="74"/>
      <w:bookmarkEnd w:id="80"/>
      <w:r>
        <w:t>10. Business Value and ROI Framework</w:t>
      </w:r>
    </w:p>
    <w:p w14:paraId="009414F7" w14:textId="77777777" w:rsidR="00057EE2" w:rsidRDefault="00000000">
      <w:pPr>
        <w:pStyle w:val="FirstParagraph"/>
      </w:pPr>
      <w:r>
        <w:t>ALPHA Compute and ALPHA Core are best evaluated not only by technical speedup, but by total business impact.</w:t>
      </w:r>
    </w:p>
    <w:p w14:paraId="4BF4FDE7" w14:textId="77777777" w:rsidR="00057EE2" w:rsidRDefault="00000000">
      <w:pPr>
        <w:pStyle w:val="3"/>
      </w:pPr>
      <w:bookmarkStart w:id="82" w:name="total-cost-of-computation"/>
      <w:r>
        <w:t>10.1 Total Cost of Computation</w:t>
      </w:r>
    </w:p>
    <w:p w14:paraId="10BD6D46" w14:textId="77777777" w:rsidR="00057EE2" w:rsidRDefault="00000000">
      <w:pPr>
        <w:pStyle w:val="FirstParagraph"/>
      </w:pPr>
      <w:r>
        <w:t>The relevant cost is not only hardware purchase price. It includes:</w:t>
      </w:r>
    </w:p>
    <w:p w14:paraId="4E15DA04" w14:textId="77777777" w:rsidR="00057EE2" w:rsidRDefault="00000000">
      <w:pPr>
        <w:pStyle w:val="Compact"/>
        <w:numPr>
          <w:ilvl w:val="0"/>
          <w:numId w:val="36"/>
        </w:numPr>
      </w:pPr>
      <w:r>
        <w:t>accelerator procurement;</w:t>
      </w:r>
    </w:p>
    <w:p w14:paraId="37599F26" w14:textId="77777777" w:rsidR="00057EE2" w:rsidRDefault="00000000">
      <w:pPr>
        <w:pStyle w:val="Compact"/>
        <w:numPr>
          <w:ilvl w:val="0"/>
          <w:numId w:val="36"/>
        </w:numPr>
      </w:pPr>
      <w:r>
        <w:t>power;</w:t>
      </w:r>
    </w:p>
    <w:p w14:paraId="043B4A87" w14:textId="77777777" w:rsidR="00057EE2" w:rsidRDefault="00000000">
      <w:pPr>
        <w:pStyle w:val="Compact"/>
        <w:numPr>
          <w:ilvl w:val="0"/>
          <w:numId w:val="36"/>
        </w:numPr>
      </w:pPr>
      <w:r>
        <w:t>cooling;</w:t>
      </w:r>
    </w:p>
    <w:p w14:paraId="71A6C8B9" w14:textId="77777777" w:rsidR="00057EE2" w:rsidRDefault="00000000">
      <w:pPr>
        <w:pStyle w:val="Compact"/>
        <w:numPr>
          <w:ilvl w:val="0"/>
          <w:numId w:val="36"/>
        </w:numPr>
      </w:pPr>
      <w:r>
        <w:t>datacenter space;</w:t>
      </w:r>
    </w:p>
    <w:p w14:paraId="266F5D71" w14:textId="77777777" w:rsidR="00057EE2" w:rsidRDefault="00000000">
      <w:pPr>
        <w:pStyle w:val="Compact"/>
        <w:numPr>
          <w:ilvl w:val="0"/>
          <w:numId w:val="36"/>
        </w:numPr>
      </w:pPr>
      <w:r>
        <w:t>networking;</w:t>
      </w:r>
    </w:p>
    <w:p w14:paraId="196071D3" w14:textId="77777777" w:rsidR="00057EE2" w:rsidRDefault="00000000">
      <w:pPr>
        <w:pStyle w:val="Compact"/>
        <w:numPr>
          <w:ilvl w:val="0"/>
          <w:numId w:val="36"/>
        </w:numPr>
      </w:pPr>
      <w:r>
        <w:t>memory;</w:t>
      </w:r>
    </w:p>
    <w:p w14:paraId="23FB60DA" w14:textId="77777777" w:rsidR="00057EE2" w:rsidRDefault="00000000">
      <w:pPr>
        <w:pStyle w:val="Compact"/>
        <w:numPr>
          <w:ilvl w:val="0"/>
          <w:numId w:val="36"/>
        </w:numPr>
      </w:pPr>
      <w:r>
        <w:t>engineering time;</w:t>
      </w:r>
    </w:p>
    <w:p w14:paraId="7DBF63AF" w14:textId="77777777" w:rsidR="00057EE2" w:rsidRDefault="00000000">
      <w:pPr>
        <w:pStyle w:val="Compact"/>
        <w:numPr>
          <w:ilvl w:val="0"/>
          <w:numId w:val="36"/>
        </w:numPr>
      </w:pPr>
      <w:r>
        <w:t>software integration;</w:t>
      </w:r>
    </w:p>
    <w:p w14:paraId="32601E45" w14:textId="77777777" w:rsidR="00057EE2" w:rsidRDefault="00000000">
      <w:pPr>
        <w:pStyle w:val="Compact"/>
        <w:numPr>
          <w:ilvl w:val="0"/>
          <w:numId w:val="36"/>
        </w:numPr>
      </w:pPr>
      <w:r>
        <w:t>simulation cycle time;</w:t>
      </w:r>
    </w:p>
    <w:p w14:paraId="2C7613E9" w14:textId="77777777" w:rsidR="00057EE2" w:rsidRDefault="00000000">
      <w:pPr>
        <w:pStyle w:val="Compact"/>
        <w:numPr>
          <w:ilvl w:val="0"/>
          <w:numId w:val="36"/>
        </w:numPr>
      </w:pPr>
      <w:r>
        <w:t>opportunity cost of slow experimentation;</w:t>
      </w:r>
    </w:p>
    <w:p w14:paraId="48E69920" w14:textId="77777777" w:rsidR="00057EE2" w:rsidRDefault="00000000">
      <w:pPr>
        <w:pStyle w:val="Compact"/>
        <w:numPr>
          <w:ilvl w:val="0"/>
          <w:numId w:val="36"/>
        </w:numPr>
      </w:pPr>
      <w:r>
        <w:t>model serving cost;</w:t>
      </w:r>
    </w:p>
    <w:p w14:paraId="518D4567" w14:textId="77777777" w:rsidR="00057EE2" w:rsidRDefault="00000000">
      <w:pPr>
        <w:pStyle w:val="Compact"/>
        <w:numPr>
          <w:ilvl w:val="0"/>
          <w:numId w:val="36"/>
        </w:numPr>
      </w:pPr>
      <w:r>
        <w:t>hardware refresh cycles;</w:t>
      </w:r>
    </w:p>
    <w:p w14:paraId="33AC6606" w14:textId="77777777" w:rsidR="00057EE2" w:rsidRDefault="00000000">
      <w:pPr>
        <w:pStyle w:val="Compact"/>
        <w:numPr>
          <w:ilvl w:val="0"/>
          <w:numId w:val="36"/>
        </w:numPr>
      </w:pPr>
      <w:r>
        <w:t>vendor dependency risk.</w:t>
      </w:r>
    </w:p>
    <w:p w14:paraId="77D2B357" w14:textId="77777777" w:rsidR="00057EE2" w:rsidRDefault="00000000">
      <w:pPr>
        <w:pStyle w:val="FirstParagraph"/>
      </w:pPr>
      <w:r>
        <w:t>ALPHA Compute’s ROI should be framed around reducing total cost of useful computation.</w:t>
      </w:r>
    </w:p>
    <w:p w14:paraId="69371587" w14:textId="77777777" w:rsidR="00057EE2" w:rsidRDefault="00000000">
      <w:pPr>
        <w:pStyle w:val="3"/>
      </w:pPr>
      <w:bookmarkStart w:id="83" w:name="roi-formula"/>
      <w:bookmarkEnd w:id="82"/>
      <w:r>
        <w:t>10.2 ROI Formula</w:t>
      </w:r>
    </w:p>
    <w:p w14:paraId="0141BEE1" w14:textId="77777777" w:rsidR="00057EE2" w:rsidRDefault="00000000">
      <w:pPr>
        <w:pStyle w:val="FirstParagraph"/>
      </w:pPr>
      <w:r>
        <w:t>A simple ROI model can be used in customer discussions:</w:t>
      </w:r>
    </w:p>
    <w:p w14:paraId="52446141" w14:textId="77777777" w:rsidR="00057EE2" w:rsidRDefault="00000000">
      <w:pPr>
        <w:pStyle w:val="a0"/>
      </w:pPr>
      <w:r>
        <w:rPr>
          <w:b/>
          <w:bCs/>
        </w:rPr>
        <w:t>Annual Compute Savings = Workload Cost × Compatible Fraction × Realized Efficiency Gain × Adoption Factor</w:t>
      </w:r>
    </w:p>
    <w:p w14:paraId="2453D834" w14:textId="77777777" w:rsidR="00057EE2" w:rsidRDefault="00000000">
      <w:pPr>
        <w:pStyle w:val="a0"/>
      </w:pPr>
      <w:r>
        <w:t>Where:</w:t>
      </w:r>
    </w:p>
    <w:p w14:paraId="3F99FCD0" w14:textId="77777777" w:rsidR="00057EE2" w:rsidRDefault="00000000">
      <w:pPr>
        <w:pStyle w:val="Compact"/>
        <w:numPr>
          <w:ilvl w:val="0"/>
          <w:numId w:val="37"/>
        </w:numPr>
      </w:pPr>
      <w:r>
        <w:rPr>
          <w:b/>
          <w:bCs/>
        </w:rPr>
        <w:t>Workload Cost</w:t>
      </w:r>
      <w:r>
        <w:t xml:space="preserve"> = annual cost of running the target workload;</w:t>
      </w:r>
    </w:p>
    <w:p w14:paraId="11847AB4" w14:textId="77777777" w:rsidR="00057EE2" w:rsidRDefault="00000000">
      <w:pPr>
        <w:pStyle w:val="Compact"/>
        <w:numPr>
          <w:ilvl w:val="0"/>
          <w:numId w:val="37"/>
        </w:numPr>
      </w:pPr>
      <w:r>
        <w:rPr>
          <w:b/>
          <w:bCs/>
        </w:rPr>
        <w:t>Compatible Fraction</w:t>
      </w:r>
      <w:r>
        <w:t xml:space="preserve"> = portion of workload suitable for ALPHA transformation;</w:t>
      </w:r>
    </w:p>
    <w:p w14:paraId="2263F547" w14:textId="77777777" w:rsidR="00057EE2" w:rsidRDefault="00000000">
      <w:pPr>
        <w:pStyle w:val="Compact"/>
        <w:numPr>
          <w:ilvl w:val="0"/>
          <w:numId w:val="37"/>
        </w:numPr>
      </w:pPr>
      <w:r>
        <w:rPr>
          <w:b/>
          <w:bCs/>
        </w:rPr>
        <w:t>Realized Efficiency Gain</w:t>
      </w:r>
      <w:r>
        <w:t xml:space="preserve"> = validated runtime, memory, or energy improvement;</w:t>
      </w:r>
    </w:p>
    <w:p w14:paraId="6FC56CDF" w14:textId="77777777" w:rsidR="00057EE2" w:rsidRDefault="00000000">
      <w:pPr>
        <w:pStyle w:val="Compact"/>
        <w:numPr>
          <w:ilvl w:val="0"/>
          <w:numId w:val="37"/>
        </w:numPr>
      </w:pPr>
      <w:r>
        <w:rPr>
          <w:b/>
          <w:bCs/>
        </w:rPr>
        <w:t>Adoption Factor</w:t>
      </w:r>
      <w:r>
        <w:t xml:space="preserve"> = portion actually deployed in production.</w:t>
      </w:r>
    </w:p>
    <w:p w14:paraId="03EE9D2D" w14:textId="77777777" w:rsidR="00057EE2" w:rsidRDefault="00000000">
      <w:pPr>
        <w:pStyle w:val="FirstParagraph"/>
      </w:pPr>
      <w:r>
        <w:t>This avoids overclaiming. It ties value directly to measured customer workload results.</w:t>
      </w:r>
    </w:p>
    <w:p w14:paraId="74108C0E" w14:textId="77777777" w:rsidR="00057EE2" w:rsidRDefault="00000000">
      <w:pPr>
        <w:pStyle w:val="3"/>
      </w:pPr>
      <w:bookmarkStart w:id="84" w:name="value-by-customer-type"/>
      <w:bookmarkEnd w:id="83"/>
      <w:r>
        <w:lastRenderedPageBreak/>
        <w:t>10.3 Value by Customer Type</w:t>
      </w:r>
    </w:p>
    <w:tbl>
      <w:tblPr>
        <w:tblStyle w:val="Table"/>
        <w:tblW w:w="5000" w:type="pct"/>
        <w:tblLayout w:type="fixed"/>
        <w:tblLook w:val="0020" w:firstRow="1" w:lastRow="0" w:firstColumn="0" w:lastColumn="0" w:noHBand="0" w:noVBand="0"/>
      </w:tblPr>
      <w:tblGrid>
        <w:gridCol w:w="3120"/>
        <w:gridCol w:w="3120"/>
        <w:gridCol w:w="3120"/>
      </w:tblGrid>
      <w:tr w:rsidR="00057EE2" w14:paraId="0394F8FB" w14:textId="77777777" w:rsidTr="00057E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D9E494" w14:textId="77777777" w:rsidR="00057EE2" w:rsidRDefault="00000000">
            <w:pPr>
              <w:pStyle w:val="Compact"/>
            </w:pPr>
            <w:r>
              <w:t>Customer Type</w:t>
            </w:r>
          </w:p>
        </w:tc>
        <w:tc>
          <w:tcPr>
            <w:tcW w:w="2640" w:type="dxa"/>
          </w:tcPr>
          <w:p w14:paraId="7722E664" w14:textId="77777777" w:rsidR="00057EE2" w:rsidRDefault="00000000">
            <w:pPr>
              <w:pStyle w:val="Compact"/>
            </w:pPr>
            <w:r>
              <w:t>Primary ROI Driver</w:t>
            </w:r>
          </w:p>
        </w:tc>
        <w:tc>
          <w:tcPr>
            <w:tcW w:w="2640" w:type="dxa"/>
          </w:tcPr>
          <w:p w14:paraId="10ED885C" w14:textId="77777777" w:rsidR="00057EE2" w:rsidRDefault="00000000">
            <w:pPr>
              <w:pStyle w:val="Compact"/>
            </w:pPr>
            <w:r>
              <w:t>Secondary ROI Driver</w:t>
            </w:r>
          </w:p>
        </w:tc>
      </w:tr>
      <w:tr w:rsidR="00057EE2" w14:paraId="051D2F5E" w14:textId="77777777">
        <w:tc>
          <w:tcPr>
            <w:tcW w:w="2640" w:type="dxa"/>
          </w:tcPr>
          <w:p w14:paraId="05207A92" w14:textId="77777777" w:rsidR="00057EE2" w:rsidRDefault="00000000">
            <w:pPr>
              <w:pStyle w:val="Compact"/>
            </w:pPr>
            <w:r>
              <w:t>Hyperscaler</w:t>
            </w:r>
          </w:p>
        </w:tc>
        <w:tc>
          <w:tcPr>
            <w:tcW w:w="2640" w:type="dxa"/>
          </w:tcPr>
          <w:p w14:paraId="4A0AEE28" w14:textId="77777777" w:rsidR="00057EE2" w:rsidRDefault="00000000">
            <w:pPr>
              <w:pStyle w:val="Compact"/>
            </w:pPr>
            <w:r>
              <w:t>energy and hardware utilization</w:t>
            </w:r>
          </w:p>
        </w:tc>
        <w:tc>
          <w:tcPr>
            <w:tcW w:w="2640" w:type="dxa"/>
          </w:tcPr>
          <w:p w14:paraId="205F5A70" w14:textId="77777777" w:rsidR="00057EE2" w:rsidRDefault="00000000">
            <w:pPr>
              <w:pStyle w:val="Compact"/>
            </w:pPr>
            <w:r>
              <w:t>strategic infrastructure efficiency</w:t>
            </w:r>
          </w:p>
        </w:tc>
      </w:tr>
      <w:tr w:rsidR="00057EE2" w14:paraId="3F075AE4" w14:textId="77777777">
        <w:tc>
          <w:tcPr>
            <w:tcW w:w="2640" w:type="dxa"/>
          </w:tcPr>
          <w:p w14:paraId="4BAED0DC" w14:textId="77777777" w:rsidR="00057EE2" w:rsidRDefault="00000000">
            <w:pPr>
              <w:pStyle w:val="Compact"/>
            </w:pPr>
            <w:r>
              <w:t>Semiconductor company</w:t>
            </w:r>
          </w:p>
        </w:tc>
        <w:tc>
          <w:tcPr>
            <w:tcW w:w="2640" w:type="dxa"/>
          </w:tcPr>
          <w:p w14:paraId="0C8F6C1B" w14:textId="77777777" w:rsidR="00057EE2" w:rsidRDefault="00000000">
            <w:pPr>
              <w:pStyle w:val="Compact"/>
            </w:pPr>
            <w:r>
              <w:t>chip differentiation</w:t>
            </w:r>
          </w:p>
        </w:tc>
        <w:tc>
          <w:tcPr>
            <w:tcW w:w="2640" w:type="dxa"/>
          </w:tcPr>
          <w:p w14:paraId="7532F5A9" w14:textId="77777777" w:rsidR="00057EE2" w:rsidRDefault="00000000">
            <w:pPr>
              <w:pStyle w:val="Compact"/>
            </w:pPr>
            <w:r>
              <w:t>software ecosystem proof</w:t>
            </w:r>
          </w:p>
        </w:tc>
      </w:tr>
      <w:tr w:rsidR="00057EE2" w14:paraId="700CE9CE" w14:textId="77777777">
        <w:tc>
          <w:tcPr>
            <w:tcW w:w="2640" w:type="dxa"/>
          </w:tcPr>
          <w:p w14:paraId="1836B878" w14:textId="77777777" w:rsidR="00057EE2" w:rsidRDefault="00000000">
            <w:pPr>
              <w:pStyle w:val="Compact"/>
            </w:pPr>
            <w:r>
              <w:t>HPC center</w:t>
            </w:r>
          </w:p>
        </w:tc>
        <w:tc>
          <w:tcPr>
            <w:tcW w:w="2640" w:type="dxa"/>
          </w:tcPr>
          <w:p w14:paraId="064F8CB1" w14:textId="77777777" w:rsidR="00057EE2" w:rsidRDefault="00000000">
            <w:pPr>
              <w:pStyle w:val="Compact"/>
            </w:pPr>
            <w:r>
              <w:t>runtime and queue reduction</w:t>
            </w:r>
          </w:p>
        </w:tc>
        <w:tc>
          <w:tcPr>
            <w:tcW w:w="2640" w:type="dxa"/>
          </w:tcPr>
          <w:p w14:paraId="34D52583" w14:textId="77777777" w:rsidR="00057EE2" w:rsidRDefault="00000000">
            <w:pPr>
              <w:pStyle w:val="Compact"/>
            </w:pPr>
            <w:r>
              <w:t>research throughput</w:t>
            </w:r>
          </w:p>
        </w:tc>
      </w:tr>
      <w:tr w:rsidR="00057EE2" w14:paraId="690A8E7A" w14:textId="77777777">
        <w:tc>
          <w:tcPr>
            <w:tcW w:w="2640" w:type="dxa"/>
          </w:tcPr>
          <w:p w14:paraId="3A726E29" w14:textId="77777777" w:rsidR="00057EE2" w:rsidRDefault="00000000">
            <w:pPr>
              <w:pStyle w:val="Compact"/>
            </w:pPr>
            <w:r>
              <w:t>Manufacturer</w:t>
            </w:r>
          </w:p>
        </w:tc>
        <w:tc>
          <w:tcPr>
            <w:tcW w:w="2640" w:type="dxa"/>
          </w:tcPr>
          <w:p w14:paraId="52F8EB24" w14:textId="77777777" w:rsidR="00057EE2" w:rsidRDefault="00000000">
            <w:pPr>
              <w:pStyle w:val="Compact"/>
            </w:pPr>
            <w:r>
              <w:t>edge deployment and latency</w:t>
            </w:r>
          </w:p>
        </w:tc>
        <w:tc>
          <w:tcPr>
            <w:tcW w:w="2640" w:type="dxa"/>
          </w:tcPr>
          <w:p w14:paraId="3261B286" w14:textId="77777777" w:rsidR="00057EE2" w:rsidRDefault="00000000">
            <w:pPr>
              <w:pStyle w:val="Compact"/>
            </w:pPr>
            <w:r>
              <w:t>process optimization</w:t>
            </w:r>
          </w:p>
        </w:tc>
      </w:tr>
      <w:tr w:rsidR="00057EE2" w14:paraId="78479AD5" w14:textId="77777777">
        <w:tc>
          <w:tcPr>
            <w:tcW w:w="2640" w:type="dxa"/>
          </w:tcPr>
          <w:p w14:paraId="5508C951" w14:textId="77777777" w:rsidR="00057EE2" w:rsidRDefault="00000000">
            <w:pPr>
              <w:pStyle w:val="Compact"/>
            </w:pPr>
            <w:r>
              <w:t>Battery/materials company</w:t>
            </w:r>
          </w:p>
        </w:tc>
        <w:tc>
          <w:tcPr>
            <w:tcW w:w="2640" w:type="dxa"/>
          </w:tcPr>
          <w:p w14:paraId="4D2010F3" w14:textId="77777777" w:rsidR="00057EE2" w:rsidRDefault="00000000">
            <w:pPr>
              <w:pStyle w:val="Compact"/>
            </w:pPr>
            <w:r>
              <w:t>simulation cycle reduction</w:t>
            </w:r>
          </w:p>
        </w:tc>
        <w:tc>
          <w:tcPr>
            <w:tcW w:w="2640" w:type="dxa"/>
          </w:tcPr>
          <w:p w14:paraId="62372306" w14:textId="77777777" w:rsidR="00057EE2" w:rsidRDefault="00000000">
            <w:pPr>
              <w:pStyle w:val="Compact"/>
            </w:pPr>
            <w:r>
              <w:t>design exploration speed</w:t>
            </w:r>
          </w:p>
        </w:tc>
      </w:tr>
      <w:tr w:rsidR="00057EE2" w14:paraId="4F047F08" w14:textId="77777777">
        <w:tc>
          <w:tcPr>
            <w:tcW w:w="2640" w:type="dxa"/>
          </w:tcPr>
          <w:p w14:paraId="6E0BCEAB" w14:textId="77777777" w:rsidR="00057EE2" w:rsidRDefault="00000000">
            <w:pPr>
              <w:pStyle w:val="Compact"/>
            </w:pPr>
            <w:r>
              <w:t>Robotics company</w:t>
            </w:r>
          </w:p>
        </w:tc>
        <w:tc>
          <w:tcPr>
            <w:tcW w:w="2640" w:type="dxa"/>
          </w:tcPr>
          <w:p w14:paraId="56046889" w14:textId="77777777" w:rsidR="00057EE2" w:rsidRDefault="00000000">
            <w:pPr>
              <w:pStyle w:val="Compact"/>
            </w:pPr>
            <w:r>
              <w:t>low-power real-time computation</w:t>
            </w:r>
          </w:p>
        </w:tc>
        <w:tc>
          <w:tcPr>
            <w:tcW w:w="2640" w:type="dxa"/>
          </w:tcPr>
          <w:p w14:paraId="022B37B3" w14:textId="77777777" w:rsidR="00057EE2" w:rsidRDefault="00000000">
            <w:pPr>
              <w:pStyle w:val="Compact"/>
            </w:pPr>
            <w:r>
              <w:t>hardware simplification</w:t>
            </w:r>
          </w:p>
        </w:tc>
      </w:tr>
      <w:tr w:rsidR="00057EE2" w14:paraId="5F750924" w14:textId="77777777">
        <w:tc>
          <w:tcPr>
            <w:tcW w:w="2640" w:type="dxa"/>
          </w:tcPr>
          <w:p w14:paraId="7A8A27CD" w14:textId="77777777" w:rsidR="00057EE2" w:rsidRDefault="00000000">
            <w:pPr>
              <w:pStyle w:val="Compact"/>
            </w:pPr>
            <w:r>
              <w:t>Government/national AI</w:t>
            </w:r>
          </w:p>
        </w:tc>
        <w:tc>
          <w:tcPr>
            <w:tcW w:w="2640" w:type="dxa"/>
          </w:tcPr>
          <w:p w14:paraId="2125E8C6" w14:textId="77777777" w:rsidR="00057EE2" w:rsidRDefault="00000000">
            <w:pPr>
              <w:pStyle w:val="Compact"/>
            </w:pPr>
            <w:r>
              <w:t>energy-efficient sovereignty</w:t>
            </w:r>
          </w:p>
        </w:tc>
        <w:tc>
          <w:tcPr>
            <w:tcW w:w="2640" w:type="dxa"/>
          </w:tcPr>
          <w:p w14:paraId="465FACCD" w14:textId="77777777" w:rsidR="00057EE2" w:rsidRDefault="00000000">
            <w:pPr>
              <w:pStyle w:val="Compact"/>
            </w:pPr>
            <w:r>
              <w:t>domestic compute architecture</w:t>
            </w:r>
          </w:p>
        </w:tc>
      </w:tr>
    </w:tbl>
    <w:p w14:paraId="27EC8DA9" w14:textId="77777777" w:rsidR="00057EE2" w:rsidRDefault="00000000">
      <w:pPr>
        <w:pStyle w:val="3"/>
      </w:pPr>
      <w:bookmarkStart w:id="85" w:name="strategic-value-beyond-direct-savings"/>
      <w:bookmarkEnd w:id="84"/>
      <w:r>
        <w:t>10.4 Strategic Value Beyond Direct Savings</w:t>
      </w:r>
    </w:p>
    <w:p w14:paraId="39034F3B" w14:textId="77777777" w:rsidR="00057EE2" w:rsidRDefault="00000000">
      <w:pPr>
        <w:pStyle w:val="FirstParagraph"/>
      </w:pPr>
      <w:r>
        <w:t>Some value is strategic rather than purely operational.</w:t>
      </w:r>
    </w:p>
    <w:p w14:paraId="4F03652C" w14:textId="77777777" w:rsidR="00057EE2" w:rsidRDefault="00000000">
      <w:pPr>
        <w:pStyle w:val="a0"/>
      </w:pPr>
      <w:r>
        <w:t>ALPHA Compute and ALPHA Core may help partners:</w:t>
      </w:r>
    </w:p>
    <w:p w14:paraId="504D218D" w14:textId="77777777" w:rsidR="00057EE2" w:rsidRDefault="00000000">
      <w:pPr>
        <w:pStyle w:val="Compact"/>
        <w:numPr>
          <w:ilvl w:val="0"/>
          <w:numId w:val="38"/>
        </w:numPr>
      </w:pPr>
      <w:r>
        <w:t>reduce dependence on scarce GPUs;</w:t>
      </w:r>
    </w:p>
    <w:p w14:paraId="3A0CEC86" w14:textId="77777777" w:rsidR="00057EE2" w:rsidRDefault="00000000">
      <w:pPr>
        <w:pStyle w:val="Compact"/>
        <w:numPr>
          <w:ilvl w:val="0"/>
          <w:numId w:val="38"/>
        </w:numPr>
      </w:pPr>
      <w:r>
        <w:t>differentiate AI hardware;</w:t>
      </w:r>
    </w:p>
    <w:p w14:paraId="1CDAA367" w14:textId="77777777" w:rsidR="00057EE2" w:rsidRDefault="00000000">
      <w:pPr>
        <w:pStyle w:val="Compact"/>
        <w:numPr>
          <w:ilvl w:val="0"/>
          <w:numId w:val="38"/>
        </w:numPr>
      </w:pPr>
      <w:r>
        <w:t>build sovereign AI infrastructure;</w:t>
      </w:r>
    </w:p>
    <w:p w14:paraId="0ABB6E47" w14:textId="77777777" w:rsidR="00057EE2" w:rsidRDefault="00000000">
      <w:pPr>
        <w:pStyle w:val="Compact"/>
        <w:numPr>
          <w:ilvl w:val="0"/>
          <w:numId w:val="38"/>
        </w:numPr>
      </w:pPr>
      <w:r>
        <w:t>enable AI in energy-constrained environments;</w:t>
      </w:r>
    </w:p>
    <w:p w14:paraId="538254B0" w14:textId="77777777" w:rsidR="00057EE2" w:rsidRDefault="00000000">
      <w:pPr>
        <w:pStyle w:val="Compact"/>
        <w:numPr>
          <w:ilvl w:val="0"/>
          <w:numId w:val="38"/>
        </w:numPr>
      </w:pPr>
      <w:r>
        <w:t>create defensible IP around computation;</w:t>
      </w:r>
    </w:p>
    <w:p w14:paraId="49F7B4EF" w14:textId="77777777" w:rsidR="00057EE2" w:rsidRDefault="00000000">
      <w:pPr>
        <w:pStyle w:val="Compact"/>
        <w:numPr>
          <w:ilvl w:val="0"/>
          <w:numId w:val="38"/>
        </w:numPr>
      </w:pPr>
      <w:r>
        <w:t>extend AI into edge and industrial systems;</w:t>
      </w:r>
    </w:p>
    <w:p w14:paraId="3EE51C3A" w14:textId="77777777" w:rsidR="00057EE2" w:rsidRDefault="00000000">
      <w:pPr>
        <w:pStyle w:val="Compact"/>
        <w:numPr>
          <w:ilvl w:val="0"/>
          <w:numId w:val="38"/>
        </w:numPr>
      </w:pPr>
      <w:r>
        <w:t>improve trust in long-horizon simulations.</w:t>
      </w:r>
    </w:p>
    <w:p w14:paraId="7678AA05" w14:textId="77777777" w:rsidR="00057EE2" w:rsidRDefault="00000000">
      <w:r>
        <w:pict w14:anchorId="563036FD">
          <v:rect id="_x0000_i1036" style="width:0;height:1.5pt" o:hralign="center" o:hrstd="t" o:hr="t"/>
        </w:pict>
      </w:r>
    </w:p>
    <w:p w14:paraId="0E1F7090" w14:textId="77777777" w:rsidR="00057EE2" w:rsidRDefault="00000000">
      <w:pPr>
        <w:pStyle w:val="2"/>
      </w:pPr>
      <w:bookmarkStart w:id="86" w:name="strategic-partnership-models"/>
      <w:bookmarkEnd w:id="81"/>
      <w:bookmarkEnd w:id="85"/>
      <w:r>
        <w:t>11. Strategic Partnership Models</w:t>
      </w:r>
    </w:p>
    <w:p w14:paraId="672E09C5" w14:textId="77777777" w:rsidR="00057EE2" w:rsidRDefault="00000000">
      <w:pPr>
        <w:pStyle w:val="FirstParagraph"/>
      </w:pPr>
      <w:r>
        <w:t>Because iTrix’s technology sits below the model layer and above or inside the hardware layer, partnership strategy is essential.</w:t>
      </w:r>
    </w:p>
    <w:p w14:paraId="6C39B304" w14:textId="77777777" w:rsidR="00057EE2" w:rsidRDefault="00000000">
      <w:pPr>
        <w:pStyle w:val="3"/>
      </w:pPr>
      <w:bookmarkStart w:id="87" w:name="enterprise-poc-partnership"/>
      <w:r>
        <w:t>11.1 Enterprise PoC Partnership</w:t>
      </w:r>
    </w:p>
    <w:p w14:paraId="7C95823B" w14:textId="77777777" w:rsidR="00057EE2" w:rsidRDefault="00000000">
      <w:pPr>
        <w:pStyle w:val="FirstParagraph"/>
      </w:pPr>
      <w:r>
        <w:t>Best for:</w:t>
      </w:r>
    </w:p>
    <w:p w14:paraId="0EB2134A" w14:textId="77777777" w:rsidR="00057EE2" w:rsidRDefault="00000000">
      <w:pPr>
        <w:pStyle w:val="Compact"/>
        <w:numPr>
          <w:ilvl w:val="0"/>
          <w:numId w:val="39"/>
        </w:numPr>
      </w:pPr>
      <w:r>
        <w:t>manufacturing companies;</w:t>
      </w:r>
    </w:p>
    <w:p w14:paraId="609AA91D" w14:textId="77777777" w:rsidR="00057EE2" w:rsidRDefault="00000000">
      <w:pPr>
        <w:pStyle w:val="Compact"/>
        <w:numPr>
          <w:ilvl w:val="0"/>
          <w:numId w:val="39"/>
        </w:numPr>
      </w:pPr>
      <w:r>
        <w:t>simulation-heavy industrial firms;</w:t>
      </w:r>
    </w:p>
    <w:p w14:paraId="2856B652" w14:textId="77777777" w:rsidR="00057EE2" w:rsidRDefault="00000000">
      <w:pPr>
        <w:pStyle w:val="Compact"/>
        <w:numPr>
          <w:ilvl w:val="0"/>
          <w:numId w:val="39"/>
        </w:numPr>
      </w:pPr>
      <w:r>
        <w:lastRenderedPageBreak/>
        <w:t>financial engineering teams;</w:t>
      </w:r>
    </w:p>
    <w:p w14:paraId="219D3A23" w14:textId="77777777" w:rsidR="00057EE2" w:rsidRDefault="00000000">
      <w:pPr>
        <w:pStyle w:val="Compact"/>
        <w:numPr>
          <w:ilvl w:val="0"/>
          <w:numId w:val="39"/>
        </w:numPr>
      </w:pPr>
      <w:r>
        <w:t>robotics companies;</w:t>
      </w:r>
    </w:p>
    <w:p w14:paraId="27CC1C18" w14:textId="77777777" w:rsidR="00057EE2" w:rsidRDefault="00000000">
      <w:pPr>
        <w:pStyle w:val="Compact"/>
        <w:numPr>
          <w:ilvl w:val="0"/>
          <w:numId w:val="39"/>
        </w:numPr>
      </w:pPr>
      <w:r>
        <w:t>research institutions.</w:t>
      </w:r>
    </w:p>
    <w:p w14:paraId="5C5E9437" w14:textId="77777777" w:rsidR="00057EE2" w:rsidRDefault="00000000">
      <w:pPr>
        <w:pStyle w:val="FirstParagraph"/>
      </w:pPr>
      <w:r>
        <w:t>Structure:</w:t>
      </w:r>
    </w:p>
    <w:p w14:paraId="3368F778" w14:textId="77777777" w:rsidR="00057EE2" w:rsidRDefault="00000000">
      <w:pPr>
        <w:pStyle w:val="Compact"/>
        <w:numPr>
          <w:ilvl w:val="0"/>
          <w:numId w:val="40"/>
        </w:numPr>
      </w:pPr>
      <w:r>
        <w:t>paid PoC;</w:t>
      </w:r>
    </w:p>
    <w:p w14:paraId="5CEA893D" w14:textId="77777777" w:rsidR="00057EE2" w:rsidRDefault="00000000">
      <w:pPr>
        <w:pStyle w:val="Compact"/>
        <w:numPr>
          <w:ilvl w:val="0"/>
          <w:numId w:val="40"/>
        </w:numPr>
      </w:pPr>
      <w:r>
        <w:t>defined workload;</w:t>
      </w:r>
    </w:p>
    <w:p w14:paraId="2C9FD06A" w14:textId="77777777" w:rsidR="00057EE2" w:rsidRDefault="00000000">
      <w:pPr>
        <w:pStyle w:val="Compact"/>
        <w:numPr>
          <w:ilvl w:val="0"/>
          <w:numId w:val="40"/>
        </w:numPr>
      </w:pPr>
      <w:r>
        <w:t>benchmark metrics;</w:t>
      </w:r>
    </w:p>
    <w:p w14:paraId="0A0B3187" w14:textId="77777777" w:rsidR="00057EE2" w:rsidRDefault="00000000">
      <w:pPr>
        <w:pStyle w:val="Compact"/>
        <w:numPr>
          <w:ilvl w:val="0"/>
          <w:numId w:val="40"/>
        </w:numPr>
      </w:pPr>
      <w:r>
        <w:t>fixed timeline;</w:t>
      </w:r>
    </w:p>
    <w:p w14:paraId="6A77B24D" w14:textId="77777777" w:rsidR="00057EE2" w:rsidRDefault="00000000">
      <w:pPr>
        <w:pStyle w:val="Compact"/>
        <w:numPr>
          <w:ilvl w:val="0"/>
          <w:numId w:val="40"/>
        </w:numPr>
      </w:pPr>
      <w:r>
        <w:t>conversion to deployment license if successful.</w:t>
      </w:r>
    </w:p>
    <w:p w14:paraId="0D001EE6" w14:textId="77777777" w:rsidR="00057EE2" w:rsidRDefault="00000000">
      <w:pPr>
        <w:pStyle w:val="3"/>
      </w:pPr>
      <w:bookmarkStart w:id="88" w:name="hyperscaler-strategic-partnership"/>
      <w:bookmarkEnd w:id="87"/>
      <w:r>
        <w:t>11.2 Hyperscaler Strategic Partnership</w:t>
      </w:r>
    </w:p>
    <w:p w14:paraId="58AE18BF" w14:textId="77777777" w:rsidR="00057EE2" w:rsidRDefault="00000000">
      <w:pPr>
        <w:pStyle w:val="FirstParagraph"/>
      </w:pPr>
      <w:r>
        <w:t>Best for:</w:t>
      </w:r>
    </w:p>
    <w:p w14:paraId="29F84442" w14:textId="77777777" w:rsidR="00057EE2" w:rsidRDefault="00000000">
      <w:pPr>
        <w:pStyle w:val="Compact"/>
        <w:numPr>
          <w:ilvl w:val="0"/>
          <w:numId w:val="41"/>
        </w:numPr>
      </w:pPr>
      <w:r>
        <w:t>cloud providers;</w:t>
      </w:r>
    </w:p>
    <w:p w14:paraId="345F6EE5" w14:textId="77777777" w:rsidR="00057EE2" w:rsidRDefault="00000000">
      <w:pPr>
        <w:pStyle w:val="Compact"/>
        <w:numPr>
          <w:ilvl w:val="0"/>
          <w:numId w:val="41"/>
        </w:numPr>
      </w:pPr>
      <w:r>
        <w:t>AI infrastructure companies;</w:t>
      </w:r>
    </w:p>
    <w:p w14:paraId="4C2E15A4" w14:textId="77777777" w:rsidR="00057EE2" w:rsidRDefault="00000000">
      <w:pPr>
        <w:pStyle w:val="Compact"/>
        <w:numPr>
          <w:ilvl w:val="0"/>
          <w:numId w:val="41"/>
        </w:numPr>
      </w:pPr>
      <w:r>
        <w:t>national datacenter operators.</w:t>
      </w:r>
    </w:p>
    <w:p w14:paraId="1F01153D" w14:textId="77777777" w:rsidR="00057EE2" w:rsidRDefault="00000000">
      <w:pPr>
        <w:pStyle w:val="FirstParagraph"/>
      </w:pPr>
      <w:r>
        <w:t>Structure:</w:t>
      </w:r>
    </w:p>
    <w:p w14:paraId="079884C7" w14:textId="77777777" w:rsidR="00057EE2" w:rsidRDefault="00000000">
      <w:pPr>
        <w:pStyle w:val="Compact"/>
        <w:numPr>
          <w:ilvl w:val="0"/>
          <w:numId w:val="42"/>
        </w:numPr>
      </w:pPr>
      <w:r>
        <w:t>workload portfolio assessment;</w:t>
      </w:r>
    </w:p>
    <w:p w14:paraId="012A81F1" w14:textId="77777777" w:rsidR="00057EE2" w:rsidRDefault="00000000">
      <w:pPr>
        <w:pStyle w:val="Compact"/>
        <w:numPr>
          <w:ilvl w:val="0"/>
          <w:numId w:val="42"/>
        </w:numPr>
      </w:pPr>
      <w:r>
        <w:t>energy-efficiency benchmarking;</w:t>
      </w:r>
    </w:p>
    <w:p w14:paraId="56C79E24" w14:textId="77777777" w:rsidR="00057EE2" w:rsidRDefault="00000000">
      <w:pPr>
        <w:pStyle w:val="Compact"/>
        <w:numPr>
          <w:ilvl w:val="0"/>
          <w:numId w:val="42"/>
        </w:numPr>
      </w:pPr>
      <w:r>
        <w:t>integration with internal AI/HPC stack;</w:t>
      </w:r>
    </w:p>
    <w:p w14:paraId="430AAFA2" w14:textId="77777777" w:rsidR="00057EE2" w:rsidRDefault="00000000">
      <w:pPr>
        <w:pStyle w:val="Compact"/>
        <w:numPr>
          <w:ilvl w:val="0"/>
          <w:numId w:val="42"/>
        </w:numPr>
      </w:pPr>
      <w:r>
        <w:t>multi-year strategic license;</w:t>
      </w:r>
    </w:p>
    <w:p w14:paraId="0C00B604" w14:textId="77777777" w:rsidR="00057EE2" w:rsidRDefault="00000000">
      <w:pPr>
        <w:pStyle w:val="Compact"/>
        <w:numPr>
          <w:ilvl w:val="0"/>
          <w:numId w:val="42"/>
        </w:numPr>
      </w:pPr>
      <w:r>
        <w:t>potential co-development of ALPHA Core accelerator path.</w:t>
      </w:r>
    </w:p>
    <w:p w14:paraId="12537AF7" w14:textId="77777777" w:rsidR="00057EE2" w:rsidRDefault="00000000">
      <w:pPr>
        <w:pStyle w:val="3"/>
      </w:pPr>
      <w:bookmarkStart w:id="89" w:name="semiconductor-ip-partnership"/>
      <w:bookmarkEnd w:id="88"/>
      <w:r>
        <w:t>11.3 Semiconductor IP Partnership</w:t>
      </w:r>
    </w:p>
    <w:p w14:paraId="27A12275" w14:textId="77777777" w:rsidR="00057EE2" w:rsidRDefault="00000000">
      <w:pPr>
        <w:pStyle w:val="FirstParagraph"/>
      </w:pPr>
      <w:r>
        <w:t>Best for:</w:t>
      </w:r>
    </w:p>
    <w:p w14:paraId="6BB3BC57" w14:textId="77777777" w:rsidR="00057EE2" w:rsidRDefault="00000000">
      <w:pPr>
        <w:pStyle w:val="Compact"/>
        <w:numPr>
          <w:ilvl w:val="0"/>
          <w:numId w:val="43"/>
        </w:numPr>
      </w:pPr>
      <w:r>
        <w:t>CPU companies;</w:t>
      </w:r>
    </w:p>
    <w:p w14:paraId="694D4DA3" w14:textId="77777777" w:rsidR="00057EE2" w:rsidRDefault="00000000">
      <w:pPr>
        <w:pStyle w:val="Compact"/>
        <w:numPr>
          <w:ilvl w:val="0"/>
          <w:numId w:val="43"/>
        </w:numPr>
      </w:pPr>
      <w:r>
        <w:t>GPU companies;</w:t>
      </w:r>
    </w:p>
    <w:p w14:paraId="55A8661E" w14:textId="77777777" w:rsidR="00057EE2" w:rsidRDefault="00000000">
      <w:pPr>
        <w:pStyle w:val="Compact"/>
        <w:numPr>
          <w:ilvl w:val="0"/>
          <w:numId w:val="43"/>
        </w:numPr>
      </w:pPr>
      <w:r>
        <w:t>NPU/AI accelerator companies;</w:t>
      </w:r>
    </w:p>
    <w:p w14:paraId="38626910" w14:textId="77777777" w:rsidR="00057EE2" w:rsidRDefault="00000000">
      <w:pPr>
        <w:pStyle w:val="Compact"/>
        <w:numPr>
          <w:ilvl w:val="0"/>
          <w:numId w:val="43"/>
        </w:numPr>
      </w:pPr>
      <w:r>
        <w:t>edge chip companies;</w:t>
      </w:r>
    </w:p>
    <w:p w14:paraId="32654E53" w14:textId="77777777" w:rsidR="00057EE2" w:rsidRDefault="00000000">
      <w:pPr>
        <w:pStyle w:val="Compact"/>
        <w:numPr>
          <w:ilvl w:val="0"/>
          <w:numId w:val="43"/>
        </w:numPr>
      </w:pPr>
      <w:r>
        <w:t>FPGA/ASIC partners.</w:t>
      </w:r>
    </w:p>
    <w:p w14:paraId="737A92E0" w14:textId="77777777" w:rsidR="00057EE2" w:rsidRDefault="00000000">
      <w:pPr>
        <w:pStyle w:val="FirstParagraph"/>
      </w:pPr>
      <w:r>
        <w:t>Structure:</w:t>
      </w:r>
    </w:p>
    <w:p w14:paraId="40619B94" w14:textId="77777777" w:rsidR="00057EE2" w:rsidRDefault="00000000">
      <w:pPr>
        <w:pStyle w:val="Compact"/>
        <w:numPr>
          <w:ilvl w:val="0"/>
          <w:numId w:val="44"/>
        </w:numPr>
      </w:pPr>
      <w:r>
        <w:t>ALPHA Compute benchmark proof;</w:t>
      </w:r>
    </w:p>
    <w:p w14:paraId="7B9A4E82" w14:textId="77777777" w:rsidR="00057EE2" w:rsidRDefault="00000000">
      <w:pPr>
        <w:pStyle w:val="Compact"/>
        <w:numPr>
          <w:ilvl w:val="0"/>
          <w:numId w:val="44"/>
        </w:numPr>
      </w:pPr>
      <w:r>
        <w:t>FPGA or simulator prototype;</w:t>
      </w:r>
    </w:p>
    <w:p w14:paraId="69C2D7F2" w14:textId="77777777" w:rsidR="00057EE2" w:rsidRDefault="00000000">
      <w:pPr>
        <w:pStyle w:val="Compact"/>
        <w:numPr>
          <w:ilvl w:val="0"/>
          <w:numId w:val="44"/>
        </w:numPr>
      </w:pPr>
      <w:r>
        <w:t>IP block specification;</w:t>
      </w:r>
    </w:p>
    <w:p w14:paraId="72E34F87" w14:textId="77777777" w:rsidR="00057EE2" w:rsidRDefault="00000000">
      <w:pPr>
        <w:pStyle w:val="Compact"/>
        <w:numPr>
          <w:ilvl w:val="0"/>
          <w:numId w:val="44"/>
        </w:numPr>
      </w:pPr>
      <w:r>
        <w:lastRenderedPageBreak/>
        <w:t>joint reference architecture;</w:t>
      </w:r>
    </w:p>
    <w:p w14:paraId="156EEE79" w14:textId="77777777" w:rsidR="00057EE2" w:rsidRDefault="00000000">
      <w:pPr>
        <w:pStyle w:val="Compact"/>
        <w:numPr>
          <w:ilvl w:val="0"/>
          <w:numId w:val="44"/>
        </w:numPr>
      </w:pPr>
      <w:r>
        <w:t>licensing, royalty, or co-ownership model.</w:t>
      </w:r>
    </w:p>
    <w:p w14:paraId="5BBF5852" w14:textId="77777777" w:rsidR="00057EE2" w:rsidRDefault="00000000">
      <w:pPr>
        <w:pStyle w:val="3"/>
      </w:pPr>
      <w:bookmarkStart w:id="90" w:name="national-ai-infrastructure-partnership"/>
      <w:bookmarkEnd w:id="89"/>
      <w:r>
        <w:t>11.4 National AI Infrastructure Partnership</w:t>
      </w:r>
    </w:p>
    <w:p w14:paraId="56AC1CC0" w14:textId="77777777" w:rsidR="00057EE2" w:rsidRDefault="00000000">
      <w:pPr>
        <w:pStyle w:val="FirstParagraph"/>
      </w:pPr>
      <w:r>
        <w:t>Best for:</w:t>
      </w:r>
    </w:p>
    <w:p w14:paraId="23D7DF39" w14:textId="77777777" w:rsidR="00057EE2" w:rsidRDefault="00000000">
      <w:pPr>
        <w:pStyle w:val="Compact"/>
        <w:numPr>
          <w:ilvl w:val="0"/>
          <w:numId w:val="45"/>
        </w:numPr>
      </w:pPr>
      <w:r>
        <w:t>government agencies;</w:t>
      </w:r>
    </w:p>
    <w:p w14:paraId="2B9B4FA5" w14:textId="77777777" w:rsidR="00057EE2" w:rsidRDefault="00000000">
      <w:pPr>
        <w:pStyle w:val="Compact"/>
        <w:numPr>
          <w:ilvl w:val="0"/>
          <w:numId w:val="45"/>
        </w:numPr>
      </w:pPr>
      <w:r>
        <w:t>national labs;</w:t>
      </w:r>
    </w:p>
    <w:p w14:paraId="004B40CA" w14:textId="77777777" w:rsidR="00057EE2" w:rsidRDefault="00000000">
      <w:pPr>
        <w:pStyle w:val="Compact"/>
        <w:numPr>
          <w:ilvl w:val="0"/>
          <w:numId w:val="45"/>
        </w:numPr>
      </w:pPr>
      <w:r>
        <w:t>sovereign AI initiatives;</w:t>
      </w:r>
    </w:p>
    <w:p w14:paraId="620142AC" w14:textId="77777777" w:rsidR="00057EE2" w:rsidRDefault="00000000">
      <w:pPr>
        <w:pStyle w:val="Compact"/>
        <w:numPr>
          <w:ilvl w:val="0"/>
          <w:numId w:val="45"/>
        </w:numPr>
      </w:pPr>
      <w:r>
        <w:t>energy-constrained economies.</w:t>
      </w:r>
    </w:p>
    <w:p w14:paraId="6567B0A7" w14:textId="77777777" w:rsidR="00057EE2" w:rsidRDefault="00000000">
      <w:pPr>
        <w:pStyle w:val="FirstParagraph"/>
      </w:pPr>
      <w:r>
        <w:t>Structure:</w:t>
      </w:r>
    </w:p>
    <w:p w14:paraId="55F0DBAC" w14:textId="77777777" w:rsidR="00057EE2" w:rsidRDefault="00000000">
      <w:pPr>
        <w:pStyle w:val="Compact"/>
        <w:numPr>
          <w:ilvl w:val="0"/>
          <w:numId w:val="46"/>
        </w:numPr>
      </w:pPr>
      <w:r>
        <w:t>national AI energy-efficiency program;</w:t>
      </w:r>
    </w:p>
    <w:p w14:paraId="142829A2" w14:textId="77777777" w:rsidR="00057EE2" w:rsidRDefault="00000000">
      <w:pPr>
        <w:pStyle w:val="Compact"/>
        <w:numPr>
          <w:ilvl w:val="0"/>
          <w:numId w:val="46"/>
        </w:numPr>
      </w:pPr>
      <w:r>
        <w:t>domestic semiconductor collaboration;</w:t>
      </w:r>
    </w:p>
    <w:p w14:paraId="63D1DEA7" w14:textId="77777777" w:rsidR="00057EE2" w:rsidRDefault="00000000">
      <w:pPr>
        <w:pStyle w:val="Compact"/>
        <w:numPr>
          <w:ilvl w:val="0"/>
          <w:numId w:val="46"/>
        </w:numPr>
      </w:pPr>
      <w:r>
        <w:t>HPC and industrial PoC portfolio;</w:t>
      </w:r>
    </w:p>
    <w:p w14:paraId="05578C5B" w14:textId="77777777" w:rsidR="00057EE2" w:rsidRDefault="00000000">
      <w:pPr>
        <w:pStyle w:val="Compact"/>
        <w:numPr>
          <w:ilvl w:val="0"/>
          <w:numId w:val="46"/>
        </w:numPr>
      </w:pPr>
      <w:r>
        <w:t>strategic investment and policy support.</w:t>
      </w:r>
    </w:p>
    <w:p w14:paraId="0AB030D1" w14:textId="77777777" w:rsidR="00057EE2" w:rsidRDefault="00000000">
      <w:pPr>
        <w:pStyle w:val="3"/>
      </w:pPr>
      <w:bookmarkStart w:id="91" w:name="acquisition-or-strategic-investment-path"/>
      <w:bookmarkEnd w:id="90"/>
      <w:r>
        <w:t>11.5 Acquisition or Strategic Investment Path</w:t>
      </w:r>
    </w:p>
    <w:p w14:paraId="244D666B" w14:textId="77777777" w:rsidR="00057EE2" w:rsidRDefault="00000000">
      <w:pPr>
        <w:pStyle w:val="FirstParagraph"/>
      </w:pPr>
      <w:r>
        <w:t>If ALPHA Compute demonstrates repeatable workload-level value and ALPHA Core shows hardware integration potential, iTrix may become strategically relevant to:</w:t>
      </w:r>
    </w:p>
    <w:p w14:paraId="485EDBF4" w14:textId="77777777" w:rsidR="00057EE2" w:rsidRDefault="00000000">
      <w:pPr>
        <w:pStyle w:val="Compact"/>
        <w:numPr>
          <w:ilvl w:val="0"/>
          <w:numId w:val="47"/>
        </w:numPr>
      </w:pPr>
      <w:r>
        <w:t>cloud hyperscalers;</w:t>
      </w:r>
    </w:p>
    <w:p w14:paraId="7A290B9C" w14:textId="77777777" w:rsidR="00057EE2" w:rsidRDefault="00000000">
      <w:pPr>
        <w:pStyle w:val="Compact"/>
        <w:numPr>
          <w:ilvl w:val="0"/>
          <w:numId w:val="47"/>
        </w:numPr>
      </w:pPr>
      <w:r>
        <w:t>semiconductor companies;</w:t>
      </w:r>
    </w:p>
    <w:p w14:paraId="13AF5610" w14:textId="77777777" w:rsidR="00057EE2" w:rsidRDefault="00000000">
      <w:pPr>
        <w:pStyle w:val="Compact"/>
        <w:numPr>
          <w:ilvl w:val="0"/>
          <w:numId w:val="47"/>
        </w:numPr>
      </w:pPr>
      <w:r>
        <w:t>AI infrastructure companies;</w:t>
      </w:r>
    </w:p>
    <w:p w14:paraId="488556FD" w14:textId="77777777" w:rsidR="00057EE2" w:rsidRDefault="00000000">
      <w:pPr>
        <w:pStyle w:val="Compact"/>
        <w:numPr>
          <w:ilvl w:val="0"/>
          <w:numId w:val="47"/>
        </w:numPr>
      </w:pPr>
      <w:r>
        <w:t>sovereign AI funds;</w:t>
      </w:r>
    </w:p>
    <w:p w14:paraId="3E670413" w14:textId="77777777" w:rsidR="00057EE2" w:rsidRDefault="00000000">
      <w:pPr>
        <w:pStyle w:val="Compact"/>
        <w:numPr>
          <w:ilvl w:val="0"/>
          <w:numId w:val="47"/>
        </w:numPr>
      </w:pPr>
      <w:r>
        <w:t>industrial conglomerates;</w:t>
      </w:r>
    </w:p>
    <w:p w14:paraId="1114106A" w14:textId="77777777" w:rsidR="00057EE2" w:rsidRDefault="00000000">
      <w:pPr>
        <w:pStyle w:val="Compact"/>
        <w:numPr>
          <w:ilvl w:val="0"/>
          <w:numId w:val="47"/>
        </w:numPr>
      </w:pPr>
      <w:r>
        <w:t>defense and aerospace technology firms.</w:t>
      </w:r>
    </w:p>
    <w:p w14:paraId="49C67F3C" w14:textId="77777777" w:rsidR="00057EE2" w:rsidRDefault="00000000">
      <w:pPr>
        <w:pStyle w:val="FirstParagraph"/>
      </w:pPr>
      <w:r>
        <w:t>The investment thesis is straightforward:</w:t>
      </w:r>
    </w:p>
    <w:p w14:paraId="5F0BFAA2" w14:textId="77777777" w:rsidR="00057EE2" w:rsidRDefault="00000000">
      <w:pPr>
        <w:pStyle w:val="a8"/>
      </w:pPr>
      <w:r>
        <w:t>iTrix is not competing to own one AI application. It is building a computation layer that can make many AI applications cheaper, faster, and more energy-efficient.</w:t>
      </w:r>
    </w:p>
    <w:p w14:paraId="699B10E2" w14:textId="77777777" w:rsidR="00057EE2" w:rsidRDefault="00000000">
      <w:r>
        <w:pict w14:anchorId="12BA6918">
          <v:rect id="_x0000_i1037" style="width:0;height:1.5pt" o:hralign="center" o:hrstd="t" o:hr="t"/>
        </w:pict>
      </w:r>
    </w:p>
    <w:p w14:paraId="7CE3ADDA" w14:textId="77D9F517" w:rsidR="00057EE2" w:rsidRDefault="00000000">
      <w:pPr>
        <w:pStyle w:val="2"/>
      </w:pPr>
      <w:bookmarkStart w:id="92" w:name="X5c51f3761674df3074d681ac58215efc8b6db34"/>
      <w:bookmarkEnd w:id="86"/>
      <w:bookmarkEnd w:id="91"/>
      <w:r>
        <w:t>12. Conclusion</w:t>
      </w:r>
    </w:p>
    <w:p w14:paraId="459178C9" w14:textId="77777777" w:rsidR="00057EE2" w:rsidRDefault="00000000">
      <w:pPr>
        <w:pStyle w:val="FirstParagraph"/>
      </w:pPr>
      <w:r>
        <w:t>The AI era began with models. It is now becoming an infrastructure race. The next bottleneck is not only intelligence, but the cost of sustaining intelligence.</w:t>
      </w:r>
    </w:p>
    <w:p w14:paraId="78D382C5" w14:textId="10A28F3F" w:rsidR="00057EE2" w:rsidRDefault="00697C92">
      <w:pPr>
        <w:pStyle w:val="a0"/>
      </w:pPr>
      <w:r>
        <w:rPr>
          <w:rFonts w:hint="eastAsia"/>
          <w:lang w:eastAsia="ko-KR"/>
        </w:rPr>
        <w:t xml:space="preserve">Up to now </w:t>
      </w:r>
      <w:r w:rsidR="00000000">
        <w:t xml:space="preserve">the answer to AI scaling has been more hardware. That answer will remain important, but it will not be enough. The deeper opportunity is to redesign computation </w:t>
      </w:r>
      <w:r w:rsidR="00000000">
        <w:lastRenderedPageBreak/>
        <w:t>itself: how numbers are represented, how structure is preserved, how tensors move, how boundaries are crossed, how invariants are maintained, and how hardware-native execution paths are selected.</w:t>
      </w:r>
    </w:p>
    <w:p w14:paraId="654CB1E8" w14:textId="77777777" w:rsidR="00057EE2" w:rsidRDefault="00000000">
      <w:pPr>
        <w:pStyle w:val="a0"/>
      </w:pPr>
      <w:r>
        <w:t>ALPHA Compute and ALPHA Core represent iTrix’s answer to this opportunity.</w:t>
      </w:r>
    </w:p>
    <w:p w14:paraId="4A51F250" w14:textId="77777777" w:rsidR="00057EE2" w:rsidRDefault="00000000">
      <w:pPr>
        <w:pStyle w:val="a0"/>
      </w:pPr>
      <w:r>
        <w:rPr>
          <w:b/>
          <w:bCs/>
        </w:rPr>
        <w:t>ALPHA Compute</w:t>
      </w:r>
      <w:r>
        <w:t xml:space="preserve"> brings structural computation into software, enabling customers to test, validate, and deploy efficiency gains on real workloads.</w:t>
      </w:r>
    </w:p>
    <w:p w14:paraId="44C9C985" w14:textId="77777777" w:rsidR="00057EE2" w:rsidRDefault="00000000">
      <w:pPr>
        <w:pStyle w:val="a0"/>
      </w:pPr>
      <w:r>
        <w:rPr>
          <w:b/>
          <w:bCs/>
        </w:rPr>
        <w:t>ALPHA Core</w:t>
      </w:r>
      <w:r>
        <w:t xml:space="preserve"> extends the same principles into hardware IP and next-generation compute architecture, offering strategic partners a path toward differentiated, energy-efficient AI infrastructure.</w:t>
      </w:r>
    </w:p>
    <w:p w14:paraId="0C44C0B9" w14:textId="77777777" w:rsidR="00057EE2" w:rsidRDefault="00000000">
      <w:pPr>
        <w:pStyle w:val="a0"/>
      </w:pPr>
      <w:r>
        <w:t>The central claim is simple:</w:t>
      </w:r>
    </w:p>
    <w:p w14:paraId="44A21EAC" w14:textId="77777777" w:rsidR="00057EE2" w:rsidRDefault="00000000">
      <w:pPr>
        <w:pStyle w:val="a8"/>
      </w:pPr>
      <w:r>
        <w:t>The future of AI will not belong only to those with the most compute. It will belong to those who compute with the best structure.</w:t>
      </w:r>
    </w:p>
    <w:p w14:paraId="1A7F7F6F" w14:textId="77777777" w:rsidR="00057EE2" w:rsidRDefault="00000000">
      <w:pPr>
        <w:pStyle w:val="FirstParagraph"/>
      </w:pPr>
      <w:r>
        <w:t>This is the role of iTrix.</w:t>
      </w:r>
    </w:p>
    <w:p w14:paraId="28487BB9" w14:textId="77777777" w:rsidR="00057EE2" w:rsidRDefault="00000000">
      <w:r>
        <w:pict w14:anchorId="145E87C0">
          <v:rect id="_x0000_i1038" style="width:0;height:1.5pt" o:hralign="center" o:hrstd="t" o:hr="t"/>
        </w:pict>
      </w:r>
    </w:p>
    <w:p w14:paraId="7FBF3D19" w14:textId="77777777" w:rsidR="00057EE2" w:rsidRDefault="00000000">
      <w:pPr>
        <w:pStyle w:val="1"/>
      </w:pPr>
      <w:bookmarkStart w:id="93" w:name="technical-appendix"/>
      <w:bookmarkEnd w:id="0"/>
      <w:bookmarkEnd w:id="92"/>
      <w:r>
        <w:t>Technical Appendix</w:t>
      </w:r>
    </w:p>
    <w:p w14:paraId="6697E091" w14:textId="77777777" w:rsidR="00057EE2" w:rsidRDefault="00000000">
      <w:pPr>
        <w:pStyle w:val="2"/>
      </w:pPr>
      <w:bookmarkStart w:id="94" w:name="appendix-a-axiomcre-in-plain-language"/>
      <w:r>
        <w:t>Appendix A — AXIOM/CRE in Plain Language</w:t>
      </w:r>
    </w:p>
    <w:p w14:paraId="6B8EF782" w14:textId="77777777" w:rsidR="00057EE2" w:rsidRDefault="00000000">
      <w:pPr>
        <w:pStyle w:val="FirstParagraph"/>
      </w:pPr>
      <w:r>
        <w:t>AXIOM and CRE address the problem of executing complex and tensor-valued algebra efficiently on real hardware.</w:t>
      </w:r>
    </w:p>
    <w:p w14:paraId="66BA3873" w14:textId="77777777" w:rsidR="00057EE2" w:rsidRDefault="00000000">
      <w:pPr>
        <w:pStyle w:val="a0"/>
      </w:pPr>
      <w:r>
        <w:t>Many modern processors are highly optimized for real arithmetic. However, many scientific and engineering problems naturally involve complex values or higher-dimensional algebra. Conventional implementation often introduces overhead because complex numbers are stored as pairs of real numbers and manipulated through specialized routines.</w:t>
      </w:r>
    </w:p>
    <w:p w14:paraId="1114884B" w14:textId="77777777" w:rsidR="00057EE2" w:rsidRDefault="00000000">
      <w:pPr>
        <w:pStyle w:val="a0"/>
      </w:pPr>
      <w:r>
        <w:t>AXIOM provides a rule-based way to represent high-dimensional algebraic multiplication without maintaining separate multiplication tables for every dimension. CRE then embeds eligible complex or tensor-valued operators into real block structures.</w:t>
      </w:r>
    </w:p>
    <w:p w14:paraId="5BBD6A07" w14:textId="77777777" w:rsidR="00057EE2" w:rsidRDefault="00000000">
      <w:pPr>
        <w:pStyle w:val="a0"/>
      </w:pPr>
      <w:r>
        <w:t>The important point for commercial readers is not the notation. It is the outcome:</w:t>
      </w:r>
    </w:p>
    <w:p w14:paraId="0C998502" w14:textId="77777777" w:rsidR="00057EE2" w:rsidRDefault="00000000">
      <w:pPr>
        <w:pStyle w:val="Compact"/>
        <w:numPr>
          <w:ilvl w:val="0"/>
          <w:numId w:val="48"/>
        </w:numPr>
      </w:pPr>
      <w:r>
        <w:t>preserve the mathematical object;</w:t>
      </w:r>
    </w:p>
    <w:p w14:paraId="789057DE" w14:textId="77777777" w:rsidR="00057EE2" w:rsidRDefault="00000000">
      <w:pPr>
        <w:pStyle w:val="Compact"/>
        <w:numPr>
          <w:ilvl w:val="0"/>
          <w:numId w:val="48"/>
        </w:numPr>
      </w:pPr>
      <w:r>
        <w:t>transform the execution form;</w:t>
      </w:r>
    </w:p>
    <w:p w14:paraId="5487DE0D" w14:textId="77777777" w:rsidR="00057EE2" w:rsidRDefault="00000000">
      <w:pPr>
        <w:pStyle w:val="Compact"/>
        <w:numPr>
          <w:ilvl w:val="0"/>
          <w:numId w:val="48"/>
        </w:numPr>
      </w:pPr>
      <w:r>
        <w:t>use mature real kernels;</w:t>
      </w:r>
    </w:p>
    <w:p w14:paraId="7B5E830B" w14:textId="77777777" w:rsidR="00057EE2" w:rsidRDefault="00000000">
      <w:pPr>
        <w:pStyle w:val="Compact"/>
        <w:numPr>
          <w:ilvl w:val="0"/>
          <w:numId w:val="48"/>
        </w:numPr>
      </w:pPr>
      <w:r>
        <w:t>recover the original result.</w:t>
      </w:r>
    </w:p>
    <w:p w14:paraId="73D63388" w14:textId="77777777" w:rsidR="00057EE2" w:rsidRDefault="00000000">
      <w:pPr>
        <w:pStyle w:val="FirstParagraph"/>
      </w:pPr>
      <w:r>
        <w:lastRenderedPageBreak/>
        <w:t>This is why AXIOM/CRE is relevant for ALPHA Compute and ALPHA Core.</w:t>
      </w:r>
    </w:p>
    <w:p w14:paraId="7B83D007" w14:textId="77777777" w:rsidR="00057EE2" w:rsidRDefault="00000000">
      <w:pPr>
        <w:pStyle w:val="2"/>
      </w:pPr>
      <w:bookmarkStart w:id="95" w:name="appendix-b-fqnm-in-plain-language"/>
      <w:bookmarkEnd w:id="94"/>
      <w:r>
        <w:t>Appendix B — FQNM in Plain Language</w:t>
      </w:r>
    </w:p>
    <w:p w14:paraId="0AD0A4D7" w14:textId="77777777" w:rsidR="00057EE2" w:rsidRDefault="00000000">
      <w:pPr>
        <w:pStyle w:val="FirstParagraph"/>
      </w:pPr>
      <w:r>
        <w:t>FQNM addresses numerical systems where conservation matters.</w:t>
      </w:r>
    </w:p>
    <w:p w14:paraId="01508F2C" w14:textId="77777777" w:rsidR="00057EE2" w:rsidRDefault="00000000">
      <w:pPr>
        <w:pStyle w:val="a0"/>
      </w:pPr>
      <w:r>
        <w:t>Traditional floating-point methods approximate real-valued fields. Over time, small errors can accumulate. In systems governed by conservation laws, these errors may violate the very structure that the simulation is intended to preserve.</w:t>
      </w:r>
    </w:p>
    <w:p w14:paraId="0A912DE8" w14:textId="77777777" w:rsidR="00057EE2" w:rsidRDefault="00000000">
      <w:pPr>
        <w:pStyle w:val="a0"/>
      </w:pPr>
      <w:r>
        <w:t>FQNM uses integer-valued, antisymmetric, quantised flux updates. The goal is to ensure that what must be conserved remains conserved at the discrete computational level.</w:t>
      </w:r>
    </w:p>
    <w:p w14:paraId="7E9AC31E" w14:textId="77777777" w:rsidR="00057EE2" w:rsidRDefault="00000000">
      <w:pPr>
        <w:pStyle w:val="a0"/>
      </w:pPr>
      <w:r>
        <w:t>Commercially, FQNM is relevant where long-horizon simulation reliability matters:</w:t>
      </w:r>
    </w:p>
    <w:p w14:paraId="123C5731" w14:textId="77777777" w:rsidR="00057EE2" w:rsidRDefault="00000000">
      <w:pPr>
        <w:pStyle w:val="Compact"/>
        <w:numPr>
          <w:ilvl w:val="0"/>
          <w:numId w:val="49"/>
        </w:numPr>
      </w:pPr>
      <w:r>
        <w:t>fluid dynamics;</w:t>
      </w:r>
    </w:p>
    <w:p w14:paraId="2FE9A348" w14:textId="77777777" w:rsidR="00057EE2" w:rsidRDefault="00000000">
      <w:pPr>
        <w:pStyle w:val="Compact"/>
        <w:numPr>
          <w:ilvl w:val="0"/>
          <w:numId w:val="49"/>
        </w:numPr>
      </w:pPr>
      <w:r>
        <w:t>shock waves;</w:t>
      </w:r>
    </w:p>
    <w:p w14:paraId="3129C8A4" w14:textId="77777777" w:rsidR="00057EE2" w:rsidRDefault="00000000">
      <w:pPr>
        <w:pStyle w:val="Compact"/>
        <w:numPr>
          <w:ilvl w:val="0"/>
          <w:numId w:val="49"/>
        </w:numPr>
      </w:pPr>
      <w:r>
        <w:t>conservation laws;</w:t>
      </w:r>
    </w:p>
    <w:p w14:paraId="2B02F9FF" w14:textId="77777777" w:rsidR="00057EE2" w:rsidRDefault="00000000">
      <w:pPr>
        <w:pStyle w:val="Compact"/>
        <w:numPr>
          <w:ilvl w:val="0"/>
          <w:numId w:val="49"/>
        </w:numPr>
      </w:pPr>
      <w:r>
        <w:t>physical simulation;</w:t>
      </w:r>
    </w:p>
    <w:p w14:paraId="2C3D6AE1" w14:textId="77777777" w:rsidR="00057EE2" w:rsidRDefault="00000000">
      <w:pPr>
        <w:pStyle w:val="Compact"/>
        <w:numPr>
          <w:ilvl w:val="0"/>
          <w:numId w:val="49"/>
        </w:numPr>
      </w:pPr>
      <w:r>
        <w:t>materials and battery modeling;</w:t>
      </w:r>
    </w:p>
    <w:p w14:paraId="4B39F8E7" w14:textId="77777777" w:rsidR="00057EE2" w:rsidRDefault="00000000">
      <w:pPr>
        <w:pStyle w:val="Compact"/>
        <w:numPr>
          <w:ilvl w:val="0"/>
          <w:numId w:val="49"/>
        </w:numPr>
      </w:pPr>
      <w:r>
        <w:t>semiconductor process simulation;</w:t>
      </w:r>
    </w:p>
    <w:p w14:paraId="0A0E947B" w14:textId="77777777" w:rsidR="00057EE2" w:rsidRDefault="00000000">
      <w:pPr>
        <w:pStyle w:val="Compact"/>
        <w:numPr>
          <w:ilvl w:val="0"/>
          <w:numId w:val="49"/>
        </w:numPr>
      </w:pPr>
      <w:r>
        <w:t>robotics and control.</w:t>
      </w:r>
    </w:p>
    <w:p w14:paraId="6C62EF00" w14:textId="77777777" w:rsidR="00057EE2" w:rsidRDefault="00000000">
      <w:pPr>
        <w:pStyle w:val="2"/>
      </w:pPr>
      <w:bookmarkStart w:id="96" w:name="appendix-c-boundary-aware-computation"/>
      <w:bookmarkEnd w:id="95"/>
      <w:r>
        <w:t>Appendix C — Boundary-Aware Computation</w:t>
      </w:r>
    </w:p>
    <w:p w14:paraId="2A77B54F" w14:textId="77777777" w:rsidR="00057EE2" w:rsidRDefault="00000000">
      <w:pPr>
        <w:pStyle w:val="FirstParagraph"/>
      </w:pPr>
      <w:r>
        <w:t>Boundary-aware computation is based on the observation that much of AI’s energy cost comes from movement and transition rather than arithmetic alone.</w:t>
      </w:r>
    </w:p>
    <w:p w14:paraId="4D73572A" w14:textId="77777777" w:rsidR="00057EE2" w:rsidRDefault="00000000">
      <w:pPr>
        <w:pStyle w:val="a0"/>
      </w:pPr>
      <w:r>
        <w:t>Examples of boundaries include:</w:t>
      </w:r>
    </w:p>
    <w:p w14:paraId="5CE3BA53" w14:textId="77777777" w:rsidR="00057EE2" w:rsidRDefault="00000000">
      <w:pPr>
        <w:pStyle w:val="Compact"/>
        <w:numPr>
          <w:ilvl w:val="0"/>
          <w:numId w:val="50"/>
        </w:numPr>
      </w:pPr>
      <w:r>
        <w:t>moving from memory to compute;</w:t>
      </w:r>
    </w:p>
    <w:p w14:paraId="276FFAB7" w14:textId="77777777" w:rsidR="00057EE2" w:rsidRDefault="00000000">
      <w:pPr>
        <w:pStyle w:val="Compact"/>
        <w:numPr>
          <w:ilvl w:val="0"/>
          <w:numId w:val="50"/>
        </w:numPr>
      </w:pPr>
      <w:r>
        <w:t>moving from CPU to GPU;</w:t>
      </w:r>
    </w:p>
    <w:p w14:paraId="0DF1FBED" w14:textId="77777777" w:rsidR="00057EE2" w:rsidRDefault="00000000">
      <w:pPr>
        <w:pStyle w:val="Compact"/>
        <w:numPr>
          <w:ilvl w:val="0"/>
          <w:numId w:val="50"/>
        </w:numPr>
      </w:pPr>
      <w:r>
        <w:t>changing tensor layouts;</w:t>
      </w:r>
    </w:p>
    <w:p w14:paraId="175A647A" w14:textId="77777777" w:rsidR="00057EE2" w:rsidRDefault="00000000">
      <w:pPr>
        <w:pStyle w:val="Compact"/>
        <w:numPr>
          <w:ilvl w:val="0"/>
          <w:numId w:val="50"/>
        </w:numPr>
      </w:pPr>
      <w:r>
        <w:t>converting precision;</w:t>
      </w:r>
    </w:p>
    <w:p w14:paraId="01CD6AB3" w14:textId="77777777" w:rsidR="00057EE2" w:rsidRDefault="00000000">
      <w:pPr>
        <w:pStyle w:val="Compact"/>
        <w:numPr>
          <w:ilvl w:val="0"/>
          <w:numId w:val="50"/>
        </w:numPr>
      </w:pPr>
      <w:r>
        <w:t>crossing cache levels;</w:t>
      </w:r>
    </w:p>
    <w:p w14:paraId="4083085B" w14:textId="77777777" w:rsidR="00057EE2" w:rsidRDefault="00000000">
      <w:pPr>
        <w:pStyle w:val="Compact"/>
        <w:numPr>
          <w:ilvl w:val="0"/>
          <w:numId w:val="50"/>
        </w:numPr>
      </w:pPr>
      <w:r>
        <w:t>communicating across devices;</w:t>
      </w:r>
    </w:p>
    <w:p w14:paraId="7DE44ECB" w14:textId="77777777" w:rsidR="00057EE2" w:rsidRDefault="00000000">
      <w:pPr>
        <w:pStyle w:val="Compact"/>
        <w:numPr>
          <w:ilvl w:val="0"/>
          <w:numId w:val="50"/>
        </w:numPr>
      </w:pPr>
      <w:r>
        <w:t>changing representation of the same mathematical object.</w:t>
      </w:r>
    </w:p>
    <w:p w14:paraId="3AAFBA62" w14:textId="77777777" w:rsidR="00057EE2" w:rsidRDefault="00000000">
      <w:pPr>
        <w:pStyle w:val="FirstParagraph"/>
      </w:pPr>
      <w:r>
        <w:t>ALPHA Compute seeks to identify and reduce these boundary crossings where possible. ALPHA Core seeks to embed boundary-aware design into future hardware and IP.</w:t>
      </w:r>
    </w:p>
    <w:p w14:paraId="028E062A" w14:textId="77777777" w:rsidR="00057EE2" w:rsidRDefault="00000000">
      <w:pPr>
        <w:pStyle w:val="2"/>
      </w:pPr>
      <w:bookmarkStart w:id="97" w:name="appendix-d-claims-discipline"/>
      <w:bookmarkEnd w:id="96"/>
      <w:r>
        <w:t>Appendix D — Claims Discipline</w:t>
      </w:r>
    </w:p>
    <w:p w14:paraId="1D8F3474" w14:textId="77777777" w:rsidR="00057EE2" w:rsidRDefault="00000000">
      <w:pPr>
        <w:pStyle w:val="FirstParagraph"/>
      </w:pPr>
      <w:r>
        <w:t>For professional sales use, iTrix classifies claims into three categories.</w:t>
      </w:r>
    </w:p>
    <w:p w14:paraId="19DC0CA7" w14:textId="77777777" w:rsidR="00057EE2" w:rsidRDefault="00000000">
      <w:pPr>
        <w:pStyle w:val="3"/>
      </w:pPr>
      <w:bookmarkStart w:id="98" w:name="d.1-mathematically-supported-claims"/>
      <w:r>
        <w:lastRenderedPageBreak/>
        <w:t>D.1 Mathematically Supported Claims</w:t>
      </w:r>
    </w:p>
    <w:p w14:paraId="29DE2A3A" w14:textId="77777777" w:rsidR="00057EE2" w:rsidRDefault="00000000">
      <w:pPr>
        <w:pStyle w:val="FirstParagraph"/>
      </w:pPr>
      <w:r>
        <w:t>These include structure-preservation claims for applicable transformations, such as preservation of spectra, norms, adjoints, and conditioning under CRE-style embeddings.</w:t>
      </w:r>
    </w:p>
    <w:p w14:paraId="4B06B874" w14:textId="77777777" w:rsidR="00057EE2" w:rsidRDefault="00000000">
      <w:pPr>
        <w:pStyle w:val="3"/>
      </w:pPr>
      <w:bookmarkStart w:id="99" w:name="d.2-experimentally-supported-claims"/>
      <w:bookmarkEnd w:id="98"/>
      <w:r>
        <w:t>D.2 Experimentally Supported Claims</w:t>
      </w:r>
    </w:p>
    <w:p w14:paraId="5BDF1B9F" w14:textId="77777777" w:rsidR="00057EE2" w:rsidRDefault="00000000">
      <w:pPr>
        <w:pStyle w:val="FirstParagraph"/>
      </w:pPr>
      <w:r>
        <w:t>These include benchmarked runtime, residual, conservation, or memory results under specified conditions.</w:t>
      </w:r>
    </w:p>
    <w:p w14:paraId="193388AB" w14:textId="77777777" w:rsidR="00057EE2" w:rsidRDefault="00000000">
      <w:pPr>
        <w:pStyle w:val="3"/>
      </w:pPr>
      <w:bookmarkStart w:id="100" w:name="d.3-commercially-projected-claims"/>
      <w:bookmarkEnd w:id="99"/>
      <w:r>
        <w:t>D.3 Commercially Projected Claims</w:t>
      </w:r>
    </w:p>
    <w:p w14:paraId="690EBCCB" w14:textId="77777777" w:rsidR="00057EE2" w:rsidRDefault="00000000">
      <w:pPr>
        <w:pStyle w:val="FirstParagraph"/>
      </w:pPr>
      <w:r>
        <w:t>These include energy savings, cost reduction, TCO improvement, and hardware dependency reduction. These should always be validated through customer-specific PoCs.</w:t>
      </w:r>
    </w:p>
    <w:p w14:paraId="756DAC2F" w14:textId="77777777" w:rsidR="00057EE2" w:rsidRDefault="00000000">
      <w:pPr>
        <w:pStyle w:val="2"/>
      </w:pPr>
      <w:bookmarkStart w:id="101" w:name="appendix-e-recommended-poc-metrics"/>
      <w:bookmarkEnd w:id="97"/>
      <w:bookmarkEnd w:id="100"/>
      <w:r>
        <w:t>Appendix E — Recommended PoC Metrics</w:t>
      </w:r>
    </w:p>
    <w:p w14:paraId="0B736B42" w14:textId="77777777" w:rsidR="00057EE2" w:rsidRDefault="00000000">
      <w:pPr>
        <w:pStyle w:val="FirstParagraph"/>
      </w:pPr>
      <w:r>
        <w:t>Every ALPHA Compute PoC measures:</w:t>
      </w:r>
    </w:p>
    <w:p w14:paraId="65E670E8" w14:textId="77777777" w:rsidR="00057EE2" w:rsidRDefault="00000000">
      <w:pPr>
        <w:pStyle w:val="Compact"/>
        <w:numPr>
          <w:ilvl w:val="0"/>
          <w:numId w:val="51"/>
        </w:numPr>
      </w:pPr>
      <w:r>
        <w:t>workload compatibility;</w:t>
      </w:r>
    </w:p>
    <w:p w14:paraId="54865B62" w14:textId="77777777" w:rsidR="00057EE2" w:rsidRDefault="00000000">
      <w:pPr>
        <w:pStyle w:val="Compact"/>
        <w:numPr>
          <w:ilvl w:val="0"/>
          <w:numId w:val="51"/>
        </w:numPr>
      </w:pPr>
      <w:r>
        <w:t>baseline runtime;</w:t>
      </w:r>
    </w:p>
    <w:p w14:paraId="416C960B" w14:textId="77777777" w:rsidR="00057EE2" w:rsidRDefault="00000000">
      <w:pPr>
        <w:pStyle w:val="Compact"/>
        <w:numPr>
          <w:ilvl w:val="0"/>
          <w:numId w:val="51"/>
        </w:numPr>
      </w:pPr>
      <w:r>
        <w:t>transformed runtime;</w:t>
      </w:r>
    </w:p>
    <w:p w14:paraId="7DC4FCDC" w14:textId="77777777" w:rsidR="00057EE2" w:rsidRDefault="00000000">
      <w:pPr>
        <w:pStyle w:val="Compact"/>
        <w:numPr>
          <w:ilvl w:val="0"/>
          <w:numId w:val="51"/>
        </w:numPr>
      </w:pPr>
      <w:r>
        <w:t>speedup ratio;</w:t>
      </w:r>
    </w:p>
    <w:p w14:paraId="09256E19" w14:textId="77777777" w:rsidR="00057EE2" w:rsidRDefault="00000000">
      <w:pPr>
        <w:pStyle w:val="Compact"/>
        <w:numPr>
          <w:ilvl w:val="0"/>
          <w:numId w:val="51"/>
        </w:numPr>
      </w:pPr>
      <w:r>
        <w:t>peak memory;</w:t>
      </w:r>
    </w:p>
    <w:p w14:paraId="7BFD7764" w14:textId="77777777" w:rsidR="00057EE2" w:rsidRDefault="00000000">
      <w:pPr>
        <w:pStyle w:val="Compact"/>
        <w:numPr>
          <w:ilvl w:val="0"/>
          <w:numId w:val="51"/>
        </w:numPr>
      </w:pPr>
      <w:r>
        <w:t>data movement proxy;</w:t>
      </w:r>
    </w:p>
    <w:p w14:paraId="45DA2E04" w14:textId="77777777" w:rsidR="00057EE2" w:rsidRDefault="00000000">
      <w:pPr>
        <w:pStyle w:val="Compact"/>
        <w:numPr>
          <w:ilvl w:val="0"/>
          <w:numId w:val="51"/>
        </w:numPr>
      </w:pPr>
      <w:r>
        <w:t>numerical residual;</w:t>
      </w:r>
    </w:p>
    <w:p w14:paraId="5E241E80" w14:textId="77777777" w:rsidR="00057EE2" w:rsidRDefault="00000000">
      <w:pPr>
        <w:pStyle w:val="Compact"/>
        <w:numPr>
          <w:ilvl w:val="0"/>
          <w:numId w:val="51"/>
        </w:numPr>
      </w:pPr>
      <w:r>
        <w:t>conservation drift;</w:t>
      </w:r>
    </w:p>
    <w:p w14:paraId="2AB3068B" w14:textId="77777777" w:rsidR="00057EE2" w:rsidRDefault="00000000">
      <w:pPr>
        <w:pStyle w:val="Compact"/>
        <w:numPr>
          <w:ilvl w:val="0"/>
          <w:numId w:val="51"/>
        </w:numPr>
      </w:pPr>
      <w:r>
        <w:t>energy proxy or measured power;</w:t>
      </w:r>
    </w:p>
    <w:p w14:paraId="310EC782" w14:textId="77777777" w:rsidR="00057EE2" w:rsidRDefault="00000000">
      <w:pPr>
        <w:pStyle w:val="Compact"/>
        <w:numPr>
          <w:ilvl w:val="0"/>
          <w:numId w:val="51"/>
        </w:numPr>
      </w:pPr>
      <w:r>
        <w:t>integration complexity;</w:t>
      </w:r>
    </w:p>
    <w:p w14:paraId="1F0884DE" w14:textId="77777777" w:rsidR="00057EE2" w:rsidRDefault="00000000">
      <w:pPr>
        <w:pStyle w:val="Compact"/>
        <w:numPr>
          <w:ilvl w:val="0"/>
          <w:numId w:val="51"/>
        </w:numPr>
      </w:pPr>
      <w:r>
        <w:t>production deployment path.</w:t>
      </w:r>
    </w:p>
    <w:p w14:paraId="24DE0CCB" w14:textId="77777777" w:rsidR="00057EE2" w:rsidRDefault="00000000">
      <w:pPr>
        <w:pStyle w:val="2"/>
      </w:pPr>
      <w:bookmarkStart w:id="102" w:name="appendix-f-limitations-and-risk-factors"/>
      <w:bookmarkEnd w:id="101"/>
      <w:r>
        <w:t>Appendix F — Limitations and Risk Factors</w:t>
      </w:r>
    </w:p>
    <w:p w14:paraId="759DA0E8" w14:textId="77777777" w:rsidR="00057EE2" w:rsidRDefault="00000000">
      <w:pPr>
        <w:pStyle w:val="FirstParagraph"/>
      </w:pPr>
      <w:r>
        <w:t>A credible white paper must include limitations.</w:t>
      </w:r>
    </w:p>
    <w:p w14:paraId="3B32EA54" w14:textId="77777777" w:rsidR="00057EE2" w:rsidRDefault="00000000">
      <w:pPr>
        <w:pStyle w:val="a0"/>
      </w:pPr>
      <w:r>
        <w:t>ALPHA Compute and ALPHA Core are not universal accelerators for every workload. Their value depends on workload structure, compatibility, matrix size, hardware platform, kernel implementation, memory hierarchy, and integration quality.</w:t>
      </w:r>
    </w:p>
    <w:p w14:paraId="2B5470B5" w14:textId="77777777" w:rsidR="00057EE2" w:rsidRDefault="00000000">
      <w:pPr>
        <w:pStyle w:val="a0"/>
      </w:pPr>
      <w:r>
        <w:t>Important limitations include:</w:t>
      </w:r>
    </w:p>
    <w:p w14:paraId="6174A193" w14:textId="77777777" w:rsidR="00057EE2" w:rsidRDefault="00000000">
      <w:pPr>
        <w:pStyle w:val="Compact"/>
        <w:numPr>
          <w:ilvl w:val="0"/>
          <w:numId w:val="52"/>
        </w:numPr>
      </w:pPr>
      <w:r>
        <w:t>CRE benefits are strongest for compatible complex, Hermitian, SPD, tensor, or related structures;</w:t>
      </w:r>
    </w:p>
    <w:p w14:paraId="52676BBA" w14:textId="77777777" w:rsidR="00057EE2" w:rsidRDefault="00000000">
      <w:pPr>
        <w:pStyle w:val="Compact"/>
        <w:numPr>
          <w:ilvl w:val="0"/>
          <w:numId w:val="52"/>
        </w:numPr>
      </w:pPr>
      <w:r>
        <w:t>small problem sizes may not benefit if overhead dominates;</w:t>
      </w:r>
    </w:p>
    <w:p w14:paraId="649CAAEA" w14:textId="77777777" w:rsidR="00057EE2" w:rsidRDefault="00000000">
      <w:pPr>
        <w:pStyle w:val="Compact"/>
        <w:numPr>
          <w:ilvl w:val="0"/>
          <w:numId w:val="52"/>
        </w:numPr>
      </w:pPr>
      <w:r>
        <w:lastRenderedPageBreak/>
        <w:t>hardware vendor library changes can shift performance crossover points;</w:t>
      </w:r>
    </w:p>
    <w:p w14:paraId="6955C5DF" w14:textId="77777777" w:rsidR="00057EE2" w:rsidRDefault="00000000">
      <w:pPr>
        <w:pStyle w:val="Compact"/>
        <w:numPr>
          <w:ilvl w:val="0"/>
          <w:numId w:val="52"/>
        </w:numPr>
      </w:pPr>
      <w:r>
        <w:t>FQNM requires careful mapping of physical quantities into quantised integer form;</w:t>
      </w:r>
    </w:p>
    <w:p w14:paraId="1A94E750" w14:textId="77777777" w:rsidR="00057EE2" w:rsidRDefault="00000000">
      <w:pPr>
        <w:pStyle w:val="Compact"/>
        <w:numPr>
          <w:ilvl w:val="0"/>
          <w:numId w:val="52"/>
        </w:numPr>
      </w:pPr>
      <w:r>
        <w:t>energy savings must be validated on actual hardware;</w:t>
      </w:r>
    </w:p>
    <w:p w14:paraId="5D7A9FBC" w14:textId="77777777" w:rsidR="00057EE2" w:rsidRDefault="00000000">
      <w:pPr>
        <w:pStyle w:val="Compact"/>
        <w:numPr>
          <w:ilvl w:val="0"/>
          <w:numId w:val="52"/>
        </w:numPr>
      </w:pPr>
      <w:r>
        <w:t>production deployment requires integration with customer software stacks;</w:t>
      </w:r>
    </w:p>
    <w:p w14:paraId="444EC790" w14:textId="77777777" w:rsidR="00057EE2" w:rsidRDefault="00000000">
      <w:pPr>
        <w:pStyle w:val="Compact"/>
        <w:numPr>
          <w:ilvl w:val="0"/>
          <w:numId w:val="52"/>
        </w:numPr>
      </w:pPr>
      <w:r>
        <w:t>ALPHA Core requires longer-term hardware co-design and partner validation.</w:t>
      </w:r>
    </w:p>
    <w:p w14:paraId="1D4AB81B" w14:textId="77777777" w:rsidR="00057EE2" w:rsidRDefault="00000000">
      <w:pPr>
        <w:pStyle w:val="FirstParagraph"/>
      </w:pPr>
      <w:r>
        <w:t>These limitations do not weaken the thesis. They make the commercialization path more disciplined.</w:t>
      </w:r>
    </w:p>
    <w:p w14:paraId="5685A0A6" w14:textId="77777777" w:rsidR="00057EE2" w:rsidRDefault="00000000">
      <w:pPr>
        <w:pStyle w:val="2"/>
      </w:pPr>
      <w:bookmarkStart w:id="103" w:name="X332fdc9c420aa53a99b1adb680cd204514af87e"/>
      <w:bookmarkEnd w:id="102"/>
      <w:r>
        <w:t>Appendix G — Visual Framework for the Designed Version</w:t>
      </w:r>
    </w:p>
    <w:p w14:paraId="5F70ED06" w14:textId="77777777" w:rsidR="00057EE2" w:rsidRDefault="00000000">
      <w:pPr>
        <w:pStyle w:val="FirstParagraph"/>
      </w:pPr>
      <w:r>
        <w:t>The final designed white paper should include the following visuals:</w:t>
      </w:r>
    </w:p>
    <w:p w14:paraId="0A41EE87" w14:textId="77777777" w:rsidR="00057EE2" w:rsidRDefault="00000000">
      <w:pPr>
        <w:pStyle w:val="Compact"/>
        <w:numPr>
          <w:ilvl w:val="0"/>
          <w:numId w:val="53"/>
        </w:numPr>
      </w:pPr>
      <w:r>
        <w:rPr>
          <w:b/>
          <w:bCs/>
        </w:rPr>
        <w:t>AI Compute Wall</w:t>
      </w:r>
      <w:r>
        <w:t xml:space="preserve"> — power, hardware dependency, memory movement, numerical drift.</w:t>
      </w:r>
    </w:p>
    <w:p w14:paraId="1E686160" w14:textId="77777777" w:rsidR="00057EE2" w:rsidRDefault="00000000">
      <w:pPr>
        <w:pStyle w:val="Compact"/>
        <w:numPr>
          <w:ilvl w:val="0"/>
          <w:numId w:val="53"/>
        </w:numPr>
      </w:pPr>
      <w:r>
        <w:rPr>
          <w:b/>
          <w:bCs/>
        </w:rPr>
        <w:t>Computation Stack Before and After ALPHA Compute</w:t>
      </w:r>
      <w:r>
        <w:t xml:space="preserve"> — model/framework/kernel/hardware with ALPHA Compute inserted as structural layer.</w:t>
      </w:r>
    </w:p>
    <w:p w14:paraId="256C596C" w14:textId="77777777" w:rsidR="00057EE2" w:rsidRDefault="00000000">
      <w:pPr>
        <w:pStyle w:val="Compact"/>
        <w:numPr>
          <w:ilvl w:val="0"/>
          <w:numId w:val="53"/>
        </w:numPr>
      </w:pPr>
      <w:r>
        <w:rPr>
          <w:b/>
          <w:bCs/>
        </w:rPr>
        <w:t>ALPHA Compute vs ALPHA Core</w:t>
      </w:r>
      <w:r>
        <w:t xml:space="preserve"> — software adoption path and hardware/IP path.</w:t>
      </w:r>
    </w:p>
    <w:p w14:paraId="48AF4AE4" w14:textId="77777777" w:rsidR="00057EE2" w:rsidRDefault="00000000">
      <w:pPr>
        <w:pStyle w:val="Compact"/>
        <w:numPr>
          <w:ilvl w:val="0"/>
          <w:numId w:val="53"/>
        </w:numPr>
      </w:pPr>
      <w:r>
        <w:rPr>
          <w:b/>
          <w:bCs/>
        </w:rPr>
        <w:t>AXIOM/CRE Transformation Diagram</w:t>
      </w:r>
      <w:r>
        <w:t xml:space="preserve"> — complex/tensor operator to real block execution to recovered result.</w:t>
      </w:r>
    </w:p>
    <w:p w14:paraId="07D8F1AF" w14:textId="77777777" w:rsidR="00057EE2" w:rsidRDefault="00000000">
      <w:pPr>
        <w:pStyle w:val="Compact"/>
        <w:numPr>
          <w:ilvl w:val="0"/>
          <w:numId w:val="53"/>
        </w:numPr>
      </w:pPr>
      <w:r>
        <w:rPr>
          <w:b/>
          <w:bCs/>
        </w:rPr>
        <w:t>FQNM Conservation Diagram</w:t>
      </w:r>
      <w:r>
        <w:t xml:space="preserve"> — floating-point drift versus integer-conserved flux.</w:t>
      </w:r>
    </w:p>
    <w:p w14:paraId="28BC8CC9" w14:textId="77777777" w:rsidR="00057EE2" w:rsidRDefault="00000000">
      <w:pPr>
        <w:pStyle w:val="Compact"/>
        <w:numPr>
          <w:ilvl w:val="0"/>
          <w:numId w:val="53"/>
        </w:numPr>
      </w:pPr>
      <w:r>
        <w:rPr>
          <w:b/>
          <w:bCs/>
        </w:rPr>
        <w:t>Boundary Crossing Diagram</w:t>
      </w:r>
      <w:r>
        <w:t xml:space="preserve"> — conventional execution crossing many boundaries versus state-preserving execution.</w:t>
      </w:r>
    </w:p>
    <w:p w14:paraId="6471B610" w14:textId="77777777" w:rsidR="00057EE2" w:rsidRDefault="00000000">
      <w:pPr>
        <w:pStyle w:val="Compact"/>
        <w:numPr>
          <w:ilvl w:val="0"/>
          <w:numId w:val="53"/>
        </w:numPr>
      </w:pPr>
      <w:r>
        <w:rPr>
          <w:b/>
          <w:bCs/>
        </w:rPr>
        <w:t>PoC Funnel</w:t>
      </w:r>
      <w:r>
        <w:t xml:space="preserve"> — diagnosis, compatibility, benchmark, transformation, ROI, deployment.</w:t>
      </w:r>
    </w:p>
    <w:p w14:paraId="796262BE" w14:textId="77777777" w:rsidR="00057EE2" w:rsidRDefault="00000000">
      <w:pPr>
        <w:pStyle w:val="Compact"/>
        <w:numPr>
          <w:ilvl w:val="0"/>
          <w:numId w:val="53"/>
        </w:numPr>
      </w:pPr>
      <w:r>
        <w:rPr>
          <w:b/>
          <w:bCs/>
        </w:rPr>
        <w:t>Market Map</w:t>
      </w:r>
      <w:r>
        <w:t xml:space="preserve"> — hyperscaler, semiconductor, HPC, smart manufacturing, robotics, simulation.</w:t>
      </w:r>
    </w:p>
    <w:p w14:paraId="4E73188C" w14:textId="77777777" w:rsidR="00057EE2" w:rsidRDefault="00000000">
      <w:pPr>
        <w:pStyle w:val="2"/>
      </w:pPr>
      <w:bookmarkStart w:id="104" w:name="appendix-h-one-page-executive-summary"/>
      <w:bookmarkEnd w:id="103"/>
      <w:r>
        <w:t>Appendix H — One-Page Executive Summary</w:t>
      </w:r>
    </w:p>
    <w:p w14:paraId="308180B6" w14:textId="77777777" w:rsidR="00057EE2" w:rsidRDefault="00000000">
      <w:pPr>
        <w:pStyle w:val="FirstParagraph"/>
      </w:pPr>
      <w:r>
        <w:rPr>
          <w:b/>
          <w:bCs/>
        </w:rPr>
        <w:t>Problem</w:t>
      </w:r>
      <w:r>
        <w:br/>
        <w:t>AI infrastructure is becoming constrained by energy, memory movement, hardware dependency, and numerical inefficiency.</w:t>
      </w:r>
    </w:p>
    <w:p w14:paraId="73339563" w14:textId="77777777" w:rsidR="00057EE2" w:rsidRDefault="00000000">
      <w:pPr>
        <w:pStyle w:val="a0"/>
      </w:pPr>
      <w:r>
        <w:rPr>
          <w:b/>
          <w:bCs/>
        </w:rPr>
        <w:t>Solution</w:t>
      </w:r>
      <w:r>
        <w:br/>
        <w:t>ALPHA Compute and ALPHA Core redesign the computation substrate beneath AI workloads.</w:t>
      </w:r>
    </w:p>
    <w:p w14:paraId="1CF6FDEA" w14:textId="77777777" w:rsidR="00057EE2" w:rsidRDefault="00000000">
      <w:pPr>
        <w:pStyle w:val="a0"/>
      </w:pPr>
      <w:r>
        <w:rPr>
          <w:b/>
          <w:bCs/>
        </w:rPr>
        <w:t>ALPHA Compute</w:t>
      </w:r>
      <w:r>
        <w:br/>
        <w:t>A software/runtime layer for transforming eligible workloads into more efficient real, integer, and boundary-aware execution pathways.</w:t>
      </w:r>
    </w:p>
    <w:p w14:paraId="4A77B2BA" w14:textId="77777777" w:rsidR="00057EE2" w:rsidRDefault="00000000">
      <w:pPr>
        <w:pStyle w:val="a0"/>
      </w:pPr>
      <w:r>
        <w:rPr>
          <w:b/>
          <w:bCs/>
        </w:rPr>
        <w:lastRenderedPageBreak/>
        <w:t>ALPHA Core</w:t>
      </w:r>
      <w:r>
        <w:br/>
        <w:t>A hardware/IP layer for embedding structural computation advantages into chips, accelerators, and edge devices.</w:t>
      </w:r>
    </w:p>
    <w:p w14:paraId="6D1076AA" w14:textId="77777777" w:rsidR="00057EE2" w:rsidRDefault="00000000">
      <w:pPr>
        <w:pStyle w:val="a0"/>
      </w:pPr>
      <w:r>
        <w:rPr>
          <w:b/>
          <w:bCs/>
        </w:rPr>
        <w:t>Technical Foundation</w:t>
      </w:r>
      <w:r>
        <w:br/>
        <w:t>AXIOM, CRE, FQNM, and boundary-aware execution.</w:t>
      </w:r>
    </w:p>
    <w:p w14:paraId="2BA54395" w14:textId="77777777" w:rsidR="00057EE2" w:rsidRDefault="00000000">
      <w:pPr>
        <w:pStyle w:val="a0"/>
      </w:pPr>
      <w:r>
        <w:rPr>
          <w:b/>
          <w:bCs/>
        </w:rPr>
        <w:t>Commercial Value</w:t>
      </w:r>
      <w:r>
        <w:br/>
        <w:t>Lower runtime, lower energy, reduced memory movement, improved numerical reliability, better hardware utilization, and reduced dependence on brute-force GPU scaling.</w:t>
      </w:r>
    </w:p>
    <w:p w14:paraId="7E1E6D4A" w14:textId="77777777" w:rsidR="00057EE2" w:rsidRDefault="00000000">
      <w:pPr>
        <w:pStyle w:val="a0"/>
      </w:pPr>
      <w:r>
        <w:rPr>
          <w:b/>
          <w:bCs/>
        </w:rPr>
        <w:t>Adoption Path</w:t>
      </w:r>
      <w:r>
        <w:br/>
        <w:t>Customer workload PoC → benchmark validation → ALPHA Compute deployment → ALPHA Core partnership.</w:t>
      </w:r>
    </w:p>
    <w:p w14:paraId="705398A1" w14:textId="77777777" w:rsidR="00057EE2" w:rsidRDefault="00000000">
      <w:pPr>
        <w:pStyle w:val="a0"/>
      </w:pPr>
      <w:r>
        <w:rPr>
          <w:b/>
          <w:bCs/>
        </w:rPr>
        <w:t>Strategic Message</w:t>
      </w:r>
      <w:r>
        <w:br/>
        <w:t>The future of AI infrastructure will not be determined only by who owns the most compute, but by who computes with the best structure.</w:t>
      </w:r>
      <w:bookmarkEnd w:id="93"/>
      <w:bookmarkEnd w:id="104"/>
    </w:p>
    <w:sectPr w:rsidR="00057EE2">
      <w:headerReference w:type="default" r:id="rId7"/>
      <w:footerReference w:type="default" r:id="rId8"/>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D1A18" w14:textId="77777777" w:rsidR="00763C99" w:rsidRDefault="00763C99" w:rsidP="008A7A69">
      <w:pPr>
        <w:spacing w:after="0"/>
      </w:pPr>
      <w:r>
        <w:separator/>
      </w:r>
    </w:p>
  </w:endnote>
  <w:endnote w:type="continuationSeparator" w:id="0">
    <w:p w14:paraId="2E0ACB08" w14:textId="77777777" w:rsidR="00763C99" w:rsidRDefault="00763C99" w:rsidP="008A7A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419232"/>
      <w:docPartObj>
        <w:docPartGallery w:val="Page Numbers (Bottom of Page)"/>
        <w:docPartUnique/>
      </w:docPartObj>
    </w:sdtPr>
    <w:sdtContent>
      <w:p w14:paraId="7C53C6E2" w14:textId="59675A22" w:rsidR="00697C92" w:rsidRDefault="00697C92">
        <w:pPr>
          <w:pStyle w:val="ae"/>
          <w:jc w:val="center"/>
        </w:pPr>
        <w:r>
          <w:fldChar w:fldCharType="begin"/>
        </w:r>
        <w:r>
          <w:instrText>PAGE   \* MERGEFORMAT</w:instrText>
        </w:r>
        <w:r>
          <w:fldChar w:fldCharType="separate"/>
        </w:r>
        <w:r>
          <w:rPr>
            <w:lang w:val="ko-KR" w:eastAsia="ko-KR"/>
          </w:rPr>
          <w:t>2</w:t>
        </w:r>
        <w:r>
          <w:fldChar w:fldCharType="end"/>
        </w:r>
      </w:p>
    </w:sdtContent>
  </w:sdt>
  <w:p w14:paraId="303B0E3B" w14:textId="77777777" w:rsidR="00697C92" w:rsidRDefault="00697C9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0F907" w14:textId="77777777" w:rsidR="00763C99" w:rsidRDefault="00763C99" w:rsidP="008A7A69">
      <w:pPr>
        <w:spacing w:after="0"/>
      </w:pPr>
      <w:r>
        <w:separator/>
      </w:r>
    </w:p>
  </w:footnote>
  <w:footnote w:type="continuationSeparator" w:id="0">
    <w:p w14:paraId="3A0E0176" w14:textId="77777777" w:rsidR="00763C99" w:rsidRDefault="00763C99" w:rsidP="008A7A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BA79" w14:textId="71DEFED1" w:rsidR="008A7A69" w:rsidRPr="008A7A69" w:rsidRDefault="008A7A69">
    <w:pPr>
      <w:pStyle w:val="ad"/>
      <w:rPr>
        <w:rFonts w:hint="eastAsia"/>
        <w:color w:val="F69933"/>
        <w:sz w:val="21"/>
        <w:szCs w:val="21"/>
        <w:lang w:eastAsia="ko-KR"/>
      </w:rPr>
    </w:pPr>
    <w:r w:rsidRPr="008A7A69">
      <w:rPr>
        <w:color w:val="F69933"/>
        <w:sz w:val="21"/>
        <w:szCs w:val="21"/>
      </w:rPr>
      <w:t>Confidential — For strategic customer and partner discussions</w:t>
    </w:r>
    <w:r w:rsidR="00697C92">
      <w:rPr>
        <w:rFonts w:hint="eastAsia"/>
        <w:color w:val="F69933"/>
        <w:sz w:val="21"/>
        <w:szCs w:val="21"/>
        <w:lang w:eastAsia="ko-KR"/>
      </w:rPr>
      <w:t xml:space="preserv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E4AFB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0C85E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4532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0923779">
    <w:abstractNumId w:val="0"/>
  </w:num>
  <w:num w:numId="3" w16cid:durableId="280574590">
    <w:abstractNumId w:val="0"/>
  </w:num>
  <w:num w:numId="4" w16cid:durableId="1876312003">
    <w:abstractNumId w:val="0"/>
  </w:num>
  <w:num w:numId="5" w16cid:durableId="432282421">
    <w:abstractNumId w:val="0"/>
  </w:num>
  <w:num w:numId="6" w16cid:durableId="788163352">
    <w:abstractNumId w:val="0"/>
  </w:num>
  <w:num w:numId="7" w16cid:durableId="288240622">
    <w:abstractNumId w:val="0"/>
  </w:num>
  <w:num w:numId="8" w16cid:durableId="663239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4391649">
    <w:abstractNumId w:val="0"/>
  </w:num>
  <w:num w:numId="10" w16cid:durableId="209099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4381313">
    <w:abstractNumId w:val="0"/>
  </w:num>
  <w:num w:numId="12" w16cid:durableId="679432118">
    <w:abstractNumId w:val="0"/>
  </w:num>
  <w:num w:numId="13" w16cid:durableId="663244287">
    <w:abstractNumId w:val="0"/>
  </w:num>
  <w:num w:numId="14" w16cid:durableId="655033665">
    <w:abstractNumId w:val="0"/>
  </w:num>
  <w:num w:numId="15" w16cid:durableId="105202588">
    <w:abstractNumId w:val="0"/>
  </w:num>
  <w:num w:numId="16" w16cid:durableId="733313992">
    <w:abstractNumId w:val="0"/>
  </w:num>
  <w:num w:numId="17" w16cid:durableId="1936597256">
    <w:abstractNumId w:val="0"/>
  </w:num>
  <w:num w:numId="18" w16cid:durableId="483594322">
    <w:abstractNumId w:val="0"/>
  </w:num>
  <w:num w:numId="19" w16cid:durableId="358628561">
    <w:abstractNumId w:val="0"/>
  </w:num>
  <w:num w:numId="20" w16cid:durableId="95444990">
    <w:abstractNumId w:val="0"/>
  </w:num>
  <w:num w:numId="21" w16cid:durableId="1203906914">
    <w:abstractNumId w:val="0"/>
  </w:num>
  <w:num w:numId="22" w16cid:durableId="626591351">
    <w:abstractNumId w:val="0"/>
  </w:num>
  <w:num w:numId="23" w16cid:durableId="519853576">
    <w:abstractNumId w:val="0"/>
  </w:num>
  <w:num w:numId="24" w16cid:durableId="809133839">
    <w:abstractNumId w:val="0"/>
  </w:num>
  <w:num w:numId="25" w16cid:durableId="1467039888">
    <w:abstractNumId w:val="0"/>
  </w:num>
  <w:num w:numId="26" w16cid:durableId="277419519">
    <w:abstractNumId w:val="0"/>
  </w:num>
  <w:num w:numId="27" w16cid:durableId="1533885927">
    <w:abstractNumId w:val="0"/>
  </w:num>
  <w:num w:numId="28" w16cid:durableId="332147856">
    <w:abstractNumId w:val="0"/>
  </w:num>
  <w:num w:numId="29" w16cid:durableId="799030605">
    <w:abstractNumId w:val="0"/>
  </w:num>
  <w:num w:numId="30" w16cid:durableId="1586567395">
    <w:abstractNumId w:val="0"/>
  </w:num>
  <w:num w:numId="31" w16cid:durableId="2096392955">
    <w:abstractNumId w:val="0"/>
  </w:num>
  <w:num w:numId="32" w16cid:durableId="1724794397">
    <w:abstractNumId w:val="0"/>
  </w:num>
  <w:num w:numId="33" w16cid:durableId="7566939">
    <w:abstractNumId w:val="0"/>
  </w:num>
  <w:num w:numId="34" w16cid:durableId="1551382324">
    <w:abstractNumId w:val="0"/>
  </w:num>
  <w:num w:numId="35" w16cid:durableId="298070682">
    <w:abstractNumId w:val="0"/>
  </w:num>
  <w:num w:numId="36" w16cid:durableId="289210763">
    <w:abstractNumId w:val="0"/>
  </w:num>
  <w:num w:numId="37" w16cid:durableId="536428997">
    <w:abstractNumId w:val="0"/>
  </w:num>
  <w:num w:numId="38" w16cid:durableId="1998528800">
    <w:abstractNumId w:val="0"/>
  </w:num>
  <w:num w:numId="39" w16cid:durableId="794836636">
    <w:abstractNumId w:val="0"/>
  </w:num>
  <w:num w:numId="40" w16cid:durableId="1056591665">
    <w:abstractNumId w:val="0"/>
  </w:num>
  <w:num w:numId="41" w16cid:durableId="222765543">
    <w:abstractNumId w:val="0"/>
  </w:num>
  <w:num w:numId="42" w16cid:durableId="1427308994">
    <w:abstractNumId w:val="0"/>
  </w:num>
  <w:num w:numId="43" w16cid:durableId="1148353871">
    <w:abstractNumId w:val="0"/>
  </w:num>
  <w:num w:numId="44" w16cid:durableId="718163653">
    <w:abstractNumId w:val="0"/>
  </w:num>
  <w:num w:numId="45" w16cid:durableId="551354725">
    <w:abstractNumId w:val="0"/>
  </w:num>
  <w:num w:numId="46" w16cid:durableId="813840164">
    <w:abstractNumId w:val="0"/>
  </w:num>
  <w:num w:numId="47" w16cid:durableId="259606243">
    <w:abstractNumId w:val="0"/>
  </w:num>
  <w:num w:numId="48" w16cid:durableId="2037851332">
    <w:abstractNumId w:val="0"/>
  </w:num>
  <w:num w:numId="49" w16cid:durableId="1514684956">
    <w:abstractNumId w:val="0"/>
  </w:num>
  <w:num w:numId="50" w16cid:durableId="1662927398">
    <w:abstractNumId w:val="0"/>
  </w:num>
  <w:num w:numId="51" w16cid:durableId="1864707593">
    <w:abstractNumId w:val="0"/>
  </w:num>
  <w:num w:numId="52" w16cid:durableId="238180161">
    <w:abstractNumId w:val="0"/>
  </w:num>
  <w:num w:numId="53" w16cid:durableId="802698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E2"/>
    <w:rsid w:val="00057EE2"/>
    <w:rsid w:val="00697C92"/>
    <w:rsid w:val="00763C99"/>
    <w:rsid w:val="008A7A69"/>
    <w:rsid w:val="00EB79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1095"/>
  <w15:docId w15:val="{2C803B81-EEEF-4BE4-90B3-41BCDA6B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uiPriority w:val="99"/>
    <w:rsid w:val="008A7A69"/>
    <w:pPr>
      <w:tabs>
        <w:tab w:val="center" w:pos="4513"/>
        <w:tab w:val="right" w:pos="9026"/>
      </w:tabs>
      <w:snapToGrid w:val="0"/>
    </w:pPr>
  </w:style>
  <w:style w:type="character" w:customStyle="1" w:styleId="Char2">
    <w:name w:val="머리글 Char"/>
    <w:basedOn w:val="a1"/>
    <w:link w:val="ad"/>
    <w:uiPriority w:val="99"/>
    <w:rsid w:val="008A7A69"/>
  </w:style>
  <w:style w:type="paragraph" w:styleId="ae">
    <w:name w:val="footer"/>
    <w:basedOn w:val="a"/>
    <w:link w:val="Char3"/>
    <w:uiPriority w:val="99"/>
    <w:rsid w:val="008A7A69"/>
    <w:pPr>
      <w:tabs>
        <w:tab w:val="center" w:pos="4513"/>
        <w:tab w:val="right" w:pos="9026"/>
      </w:tabs>
      <w:snapToGrid w:val="0"/>
    </w:pPr>
  </w:style>
  <w:style w:type="character" w:customStyle="1" w:styleId="Char3">
    <w:name w:val="바닥글 Char"/>
    <w:basedOn w:val="a1"/>
    <w:link w:val="ae"/>
    <w:uiPriority w:val="99"/>
    <w:rsid w:val="008A7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6130</Words>
  <Characters>41072</Characters>
  <Application>Microsoft Office Word</Application>
  <DocSecurity>0</DocSecurity>
  <Lines>1001</Lines>
  <Paragraphs>761</Paragraphs>
  <ScaleCrop>false</ScaleCrop>
  <Company/>
  <LinksUpToDate>false</LinksUpToDate>
  <CharactersWithSpaces>46441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2026-05-21T15:57:00Z</dcterms:created>
  <dcterms:modified xsi:type="dcterms:W3CDTF">2026-05-21T15:57:00Z</dcterms:modified>
</cp:coreProperties>
</file>