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spacing w:after="40"/>
      </w:pPr>
      <w:r>
        <w:rPr>
          <w:b/>
          <w:i w:val="0"/>
          <w:color w:val="2F6F6A"/>
          <w:sz w:val="26"/>
        </w:rPr>
        <w:t>AICFD</w:t>
      </w:r>
    </w:p>
    <w:p>
      <w:pPr>
        <w:spacing w:after="1200"/>
      </w:pPr>
      <w:r>
        <w:rPr>
          <w:b w:val="0"/>
          <w:i w:val="0"/>
          <w:color w:val="898781"/>
          <w:sz w:val="15"/>
        </w:rPr>
        <w:t>AI-ASSISTED CFD FOR DATA CENTRE COOLING</w:t>
      </w:r>
    </w:p>
    <w:p>
      <w:pPr>
        <w:spacing w:after="120"/>
      </w:pPr>
      <w:r>
        <w:rPr>
          <w:b/>
          <w:i w:val="0"/>
          <w:color w:val="2F6F6A"/>
          <w:sz w:val="16"/>
        </w:rPr>
        <w:t>TECHNICAL REPORT · STEADY-STATE ANALYSIS</w:t>
      </w:r>
    </w:p>
    <w:p>
      <w:pPr>
        <w:spacing w:after="600"/>
      </w:pPr>
      <w:r>
        <w:rPr>
          <w:rFonts w:ascii="Georgia" w:hAnsi="Georgia"/>
          <w:b w:val="0"/>
          <w:i w:val="0"/>
          <w:color w:val="0B0B0B"/>
          <w:sz w:val="52"/>
        </w:rPr>
        <w:t>CFD Analysis of the hall-double-gallery Data Hall</w:t>
      </w:r>
    </w:p>
    <w:p>
      <w:pPr>
        <w:spacing w:after="80"/>
      </w:pPr>
      <w:r>
        <w:rPr>
          <w:b w:val="0"/>
          <w:i w:val="0"/>
          <w:color w:val="0B0B0B"/>
          <w:sz w:val="26"/>
        </w:rPr>
        <w:t>Ascenty</w:t>
      </w:r>
    </w:p>
    <w:p>
      <w:pPr>
        <w:spacing w:after="40"/>
      </w:pPr>
      <w:r>
        <w:rPr>
          <w:b w:val="0"/>
          <w:i w:val="0"/>
          <w:color w:val="52514E"/>
          <w:sz w:val="20"/>
        </w:rPr>
        <w:t>AICFD</w:t>
      </w:r>
    </w:p>
    <w:p>
      <w:pPr>
        <w:spacing w:after="800"/>
      </w:pPr>
      <w:r>
        <w:rPr>
          <w:b w:val="0"/>
          <w:i w:val="0"/>
          <w:color w:val="898781"/>
          <w:sz w:val="20"/>
        </w:rPr>
        <w:t>September 2026</w:t>
      </w:r>
    </w:p>
    <w:p>
      <w:pPr>
        <w:spacing w:after="120"/>
      </w:pPr>
      <w:r>
        <w:rPr>
          <w:b w:val="0"/>
          <w:i w:val="0"/>
          <w:color w:val="898781"/>
          <w:sz w:val="16"/>
        </w:rPr>
        <w:t>Case hall-double-gallery · solved to iteration 1700 · 275,400 cells · all checks passed</w:t>
      </w:r>
    </w:p>
    <w:p>
      <w:r>
        <w:br w:type="page"/>
      </w:r>
    </w:p>
    <w:p>
      <w:pPr>
        <w:spacing w:before="320" w:after="80"/>
      </w:pPr>
      <w:r>
        <w:rPr>
          <w:rFonts w:ascii="Georgia" w:hAnsi="Georgia"/>
          <w:b/>
          <w:i w:val="0"/>
          <w:color w:val="0B0B0B"/>
          <w:sz w:val="30"/>
        </w:rPr>
        <w:t>Contents</w:t>
      </w:r>
    </w:p>
    <w:p>
      <w:pPr>
        <w:spacing w:after="0"/>
      </w:pPr>
    </w:p>
    <w:p>
      <w:r>
        <w:rPr>
          <w:b/>
          <w:i w:val="0"/>
          <w:color w:val="2F6F6A"/>
          <w:sz w:val="22"/>
        </w:rPr>
        <w:t xml:space="preserve">1   </w:t>
      </w:r>
      <w:r>
        <w:rPr>
          <w:b/>
          <w:i w:val="0"/>
          <w:color w:val="0B0B0B"/>
          <w:sz w:val="22"/>
        </w:rPr>
        <w:t>Summary</w:t>
      </w:r>
      <w:r>
        <w:rPr>
          <w:b w:val="0"/>
          <w:i w:val="0"/>
          <w:color w:val="898781"/>
          <w:sz w:val="17"/>
        </w:rPr>
        <w:br/>
        <w:t xml:space="preserve">      Scope, objectives, basis of design and headline results</w:t>
      </w:r>
    </w:p>
    <w:p>
      <w:r>
        <w:rPr>
          <w:b/>
          <w:i w:val="0"/>
          <w:color w:val="2F6F6A"/>
          <w:sz w:val="22"/>
        </w:rPr>
        <w:t xml:space="preserve">2   </w:t>
      </w:r>
      <w:r>
        <w:rPr>
          <w:b/>
          <w:i w:val="0"/>
          <w:color w:val="0B0B0B"/>
          <w:sz w:val="22"/>
        </w:rPr>
        <w:t>Methodology</w:t>
      </w:r>
      <w:r>
        <w:rPr>
          <w:b w:val="0"/>
          <w:i w:val="0"/>
          <w:color w:val="898781"/>
          <w:sz w:val="17"/>
        </w:rPr>
        <w:br/>
        <w:t xml:space="preserve">      Geometry, mesh, models and boundary conditions</w:t>
      </w:r>
    </w:p>
    <w:p>
      <w:r>
        <w:rPr>
          <w:b/>
          <w:i w:val="0"/>
          <w:color w:val="2F6F6A"/>
          <w:sz w:val="22"/>
        </w:rPr>
        <w:t xml:space="preserve">3   </w:t>
      </w:r>
      <w:r>
        <w:rPr>
          <w:b/>
          <w:i w:val="0"/>
          <w:color w:val="0B0B0B"/>
          <w:sz w:val="22"/>
        </w:rPr>
        <w:t>Results</w:t>
      </w:r>
      <w:r>
        <w:rPr>
          <w:b w:val="0"/>
          <w:i w:val="0"/>
          <w:color w:val="898781"/>
          <w:sz w:val="17"/>
        </w:rPr>
        <w:br/>
        <w:t xml:space="preserve">      Verification, temperature and airflow fields, unit by unit</w:t>
      </w:r>
    </w:p>
    <w:p>
      <w:r>
        <w:rPr>
          <w:b/>
          <w:i w:val="0"/>
          <w:color w:val="2F6F6A"/>
          <w:sz w:val="22"/>
        </w:rPr>
        <w:t xml:space="preserve">4   </w:t>
      </w:r>
      <w:r>
        <w:rPr>
          <w:b/>
          <w:i w:val="0"/>
          <w:color w:val="0B0B0B"/>
          <w:sz w:val="22"/>
        </w:rPr>
        <w:t>Conclusions</w:t>
      </w:r>
      <w:r>
        <w:rPr>
          <w:b w:val="0"/>
          <w:i w:val="0"/>
          <w:color w:val="898781"/>
          <w:sz w:val="17"/>
        </w:rPr>
        <w:br/>
        <w:t xml:space="preserve">      Findings and what they do and do not support</w:t>
      </w:r>
    </w:p>
    <w:p>
      <w:r>
        <w:rPr>
          <w:b/>
          <w:i w:val="0"/>
          <w:color w:val="2F6F6A"/>
          <w:sz w:val="22"/>
        </w:rPr>
        <w:t xml:space="preserve">5   </w:t>
      </w:r>
      <w:r>
        <w:rPr>
          <w:b/>
          <w:i w:val="0"/>
          <w:color w:val="0B0B0B"/>
          <w:sz w:val="22"/>
        </w:rPr>
        <w:t>Limitations</w:t>
      </w:r>
      <w:r>
        <w:rPr>
          <w:b w:val="0"/>
          <w:i w:val="0"/>
          <w:color w:val="898781"/>
          <w:sz w:val="17"/>
        </w:rPr>
        <w:br/>
        <w:t xml:space="preserve">      What this model cannot be asked</w:t>
      </w:r>
    </w:p>
    <w:p>
      <w:r>
        <w:br w:type="page"/>
      </w:r>
    </w:p>
    <w:p>
      <w:pPr>
        <w:spacing w:before="320" w:after="80"/>
      </w:pPr>
      <w:r>
        <w:rPr>
          <w:rFonts w:ascii="Georgia" w:hAnsi="Georgia"/>
          <w:b/>
          <w:i w:val="0"/>
          <w:color w:val="0B0B0B"/>
          <w:sz w:val="30"/>
        </w:rPr>
        <w:t>1  Summary</w:t>
      </w:r>
    </w:p>
    <w:p>
      <w:pPr>
        <w:spacing w:after="0"/>
      </w:pPr>
    </w:p>
    <w:p>
      <w:pPr>
        <w:spacing w:before="240" w:after="80"/>
      </w:pPr>
      <w:r>
        <w:rPr>
          <w:rFonts w:ascii="DejaVu Sans" w:hAnsi="DejaVu Sans"/>
          <w:b/>
          <w:i w:val="0"/>
          <w:color w:val="2F6F6A"/>
          <w:sz w:val="23"/>
        </w:rPr>
        <w:t>Overview</w:t>
      </w:r>
    </w:p>
    <w:p>
      <w:pPr>
        <w:pStyle w:val="ListBullet"/>
        <w:spacing w:after="60"/>
      </w:pPr>
      <w:r>
        <w:rPr>
          <w:b w:val="0"/>
          <w:i w:val="0"/>
          <w:color w:val="0B0B0B"/>
          <w:sz w:val="20"/>
        </w:rPr>
        <w:t>This report presents the modelling approach and the results of a steady-state CFD simulation of the hall-double-gallery data hall under the IT load described in its case specification.</w:t>
      </w:r>
    </w:p>
    <w:p>
      <w:pPr>
        <w:pStyle w:val="ListBullet"/>
        <w:spacing w:after="60"/>
      </w:pPr>
      <w:r>
        <w:rPr>
          <w:b w:val="0"/>
          <w:i w:val="0"/>
          <w:color w:val="0B0B0B"/>
          <w:sz w:val="20"/>
        </w:rPr>
        <w:t>The simulation resolves the temperature and airflow fields through the room, to identify where the air entering the IT equipment is warmest and to establish whether the cooling plant removes the heat the equipment releases.</w:t>
      </w:r>
    </w:p>
    <w:p>
      <w:pPr>
        <w:pStyle w:val="ListBullet"/>
        <w:spacing w:after="60"/>
      </w:pPr>
      <w:r>
        <w:rPr>
          <w:b w:val="0"/>
          <w:i w:val="0"/>
          <w:color w:val="0B0B0B"/>
          <w:sz w:val="20"/>
        </w:rPr>
        <w:t>The hall carries 440 rack positions in 20 row segments and 14 fan wall units, against an installed IT load of 5,100 kW.</w:t>
      </w:r>
    </w:p>
    <w:p>
      <w:pPr>
        <w:spacing w:before="240" w:after="80"/>
      </w:pPr>
      <w:r>
        <w:rPr>
          <w:rFonts w:ascii="DejaVu Sans" w:hAnsi="DejaVu Sans"/>
          <w:b/>
          <w:i w:val="0"/>
          <w:color w:val="2F6F6A"/>
          <w:sz w:val="23"/>
        </w:rPr>
        <w:t>Objectives</w:t>
      </w:r>
    </w:p>
    <w:p>
      <w:pPr>
        <w:pStyle w:val="ListBullet"/>
        <w:spacing w:after="60"/>
      </w:pPr>
      <w:r>
        <w:rPr>
          <w:b w:val="0"/>
          <w:i w:val="0"/>
          <w:color w:val="0B0B0B"/>
          <w:sz w:val="20"/>
        </w:rPr>
        <w:t>Establish the temperature of the air entering each rack, and check it against the ASHRAE class A1 recommended range of 18 °C to 27 °C.</w:t>
      </w:r>
    </w:p>
    <w:p>
      <w:pPr>
        <w:pStyle w:val="ListBullet"/>
        <w:spacing w:after="60"/>
      </w:pPr>
      <w:r>
        <w:rPr>
          <w:b w:val="0"/>
          <w:i w:val="0"/>
          <w:color w:val="0B0B0B"/>
          <w:sz w:val="20"/>
        </w:rPr>
        <w:t>Confirm that the air loop closes: that the fan walls move the mass they are given, that nothing leaks through a wall or reverses through an intake, and that the return air carries the installed load.</w:t>
      </w:r>
    </w:p>
    <w:p>
      <w:pPr>
        <w:pStyle w:val="ListBullet"/>
        <w:spacing w:after="60"/>
      </w:pPr>
      <w:r>
        <w:rPr>
          <w:b w:val="0"/>
          <w:i w:val="0"/>
          <w:color w:val="0B0B0B"/>
          <w:sz w:val="20"/>
        </w:rPr>
        <w:t>Quantify the resistance the room presents to the units, against the external static pressure their datasheet offers.</w:t>
      </w:r>
    </w:p>
    <w:p>
      <w:pPr>
        <w:pStyle w:val="ListBullet"/>
        <w:spacing w:after="60"/>
      </w:pPr>
      <w:r>
        <w:rPr>
          <w:b w:val="0"/>
          <w:i w:val="0"/>
          <w:color w:val="0B0B0B"/>
          <w:sz w:val="20"/>
        </w:rPr>
        <w:t>Size the plant against the design office's rules — installed capacity in kilowatts and installed airflow at the design CFM/kW — before any CFD result is quoted.</w:t>
      </w:r>
    </w:p>
    <w:p>
      <w:pPr>
        <w:spacing w:before="240" w:after="80"/>
      </w:pPr>
      <w:r>
        <w:rPr>
          <w:rFonts w:ascii="DejaVu Sans" w:hAnsi="DejaVu Sans"/>
          <w:b/>
          <w:i w:val="0"/>
          <w:color w:val="2F6F6A"/>
          <w:sz w:val="23"/>
        </w:rPr>
        <w:t>Basis of design — fan wall selection point</w:t>
      </w:r>
    </w:p>
    <w:tbl>
      <w:tblPr>
        <w:tblStyle w:val="TableGrid"/>
        <w:tblW w:type="auto" w:w="0"/>
        <w:tblLook w:firstColumn="1" w:firstRow="1" w:lastColumn="0" w:lastRow="0" w:noHBand="0" w:noVBand="1" w:val="04A0"/>
      </w:tblPr>
      <w:tblGrid>
        <w:gridCol w:w="4759"/>
        <w:gridCol w:w="4759"/>
      </w:tblGrid>
      <w:tr>
        <w:tc>
          <w:tcPr>
            <w:tcW w:type="dxa" w:w="4535"/>
            <w:shd w:val="clear" w:fill="2F6F6A"/>
          </w:tcPr>
          <w:p>
            <w:pPr>
              <w:spacing w:after="40"/>
            </w:pPr>
            <w:r>
              <w:rPr>
                <w:b/>
                <w:i w:val="0"/>
                <w:color w:val="FFFFFF"/>
                <w:sz w:val="17"/>
              </w:rPr>
              <w:t>Quantity</w:t>
            </w:r>
          </w:p>
        </w:tc>
        <w:tc>
          <w:tcPr>
            <w:tcW w:type="dxa" w:w="4535"/>
            <w:shd w:val="clear" w:fill="2F6F6A"/>
          </w:tcPr>
          <w:p>
            <w:pPr>
              <w:spacing w:after="40"/>
            </w:pPr>
            <w:r>
              <w:rPr>
                <w:b/>
                <w:i w:val="0"/>
                <w:color w:val="FFFFFF"/>
                <w:sz w:val="17"/>
              </w:rPr>
              <w:t>Value</w:t>
            </w:r>
          </w:p>
        </w:tc>
      </w:tr>
      <w:tr>
        <w:tc>
          <w:tcPr>
            <w:tcW w:type="dxa" w:w="4535"/>
          </w:tcPr>
          <w:p>
            <w:pPr>
              <w:spacing w:after="40"/>
            </w:pPr>
            <w:r>
              <w:rPr>
                <w:b/>
                <w:i w:val="0"/>
                <w:color w:val="0B0B0B"/>
                <w:sz w:val="17"/>
              </w:rPr>
              <w:t>Units installed</w:t>
            </w:r>
          </w:p>
        </w:tc>
        <w:tc>
          <w:tcPr>
            <w:tcW w:type="dxa" w:w="4535"/>
          </w:tcPr>
          <w:p>
            <w:pPr>
              <w:spacing w:after="40"/>
            </w:pPr>
            <w:r>
              <w:rPr>
                <w:b w:val="0"/>
                <w:i w:val="0"/>
                <w:color w:val="0B0B0B"/>
                <w:sz w:val="17"/>
              </w:rPr>
              <w:t>14</w:t>
            </w:r>
          </w:p>
        </w:tc>
      </w:tr>
      <w:tr>
        <w:tc>
          <w:tcPr>
            <w:tcW w:type="dxa" w:w="4535"/>
          </w:tcPr>
          <w:p>
            <w:pPr>
              <w:spacing w:after="40"/>
            </w:pPr>
            <w:r>
              <w:rPr>
                <w:b/>
                <w:i w:val="0"/>
                <w:color w:val="0B0B0B"/>
                <w:sz w:val="17"/>
              </w:rPr>
              <w:t>Airflow per unit</w:t>
            </w:r>
          </w:p>
        </w:tc>
        <w:tc>
          <w:tcPr>
            <w:tcW w:type="dxa" w:w="4535"/>
          </w:tcPr>
          <w:p>
            <w:pPr>
              <w:spacing w:after="40"/>
            </w:pPr>
            <w:r>
              <w:rPr>
                <w:b w:val="0"/>
                <w:i w:val="0"/>
                <w:color w:val="0B0B0B"/>
                <w:sz w:val="17"/>
              </w:rPr>
              <w:t>104,181 m³/h</w:t>
            </w:r>
          </w:p>
        </w:tc>
      </w:tr>
      <w:tr>
        <w:tc>
          <w:tcPr>
            <w:tcW w:type="dxa" w:w="4535"/>
          </w:tcPr>
          <w:p>
            <w:pPr>
              <w:spacing w:after="40"/>
            </w:pPr>
            <w:r>
              <w:rPr>
                <w:b/>
                <w:i w:val="0"/>
                <w:color w:val="0B0B0B"/>
                <w:sz w:val="17"/>
              </w:rPr>
              <w:t>Total airflow to the room</w:t>
            </w:r>
          </w:p>
        </w:tc>
        <w:tc>
          <w:tcPr>
            <w:tcW w:type="dxa" w:w="4535"/>
          </w:tcPr>
          <w:p>
            <w:pPr>
              <w:spacing w:after="40"/>
            </w:pPr>
            <w:r>
              <w:rPr>
                <w:b w:val="0"/>
                <w:i w:val="0"/>
                <w:color w:val="0B0B0B"/>
                <w:sz w:val="17"/>
              </w:rPr>
              <w:t>1,458,533 m³/h</w:t>
            </w:r>
          </w:p>
        </w:tc>
      </w:tr>
      <w:tr>
        <w:tc>
          <w:tcPr>
            <w:tcW w:type="dxa" w:w="4535"/>
          </w:tcPr>
          <w:p>
            <w:pPr>
              <w:spacing w:after="40"/>
            </w:pPr>
            <w:r>
              <w:rPr>
                <w:b/>
                <w:i w:val="0"/>
                <w:color w:val="0B0B0B"/>
                <w:sz w:val="17"/>
              </w:rPr>
              <w:t>Supply air temperature</w:t>
            </w:r>
          </w:p>
        </w:tc>
        <w:tc>
          <w:tcPr>
            <w:tcW w:type="dxa" w:w="4535"/>
          </w:tcPr>
          <w:p>
            <w:pPr>
              <w:spacing w:after="40"/>
            </w:pPr>
            <w:r>
              <w:rPr>
                <w:b w:val="0"/>
                <w:i w:val="0"/>
                <w:color w:val="0B0B0B"/>
                <w:sz w:val="17"/>
              </w:rPr>
              <w:t>21.9 °C</w:t>
            </w:r>
          </w:p>
        </w:tc>
      </w:tr>
      <w:tr>
        <w:tc>
          <w:tcPr>
            <w:tcW w:type="dxa" w:w="4535"/>
          </w:tcPr>
          <w:p>
            <w:pPr>
              <w:spacing w:after="40"/>
            </w:pPr>
            <w:r>
              <w:rPr>
                <w:b/>
                <w:i w:val="0"/>
                <w:color w:val="0B0B0B"/>
                <w:sz w:val="17"/>
              </w:rPr>
              <w:t>Net sensible capacity per unit</w:t>
            </w:r>
          </w:p>
        </w:tc>
        <w:tc>
          <w:tcPr>
            <w:tcW w:type="dxa" w:w="4535"/>
          </w:tcPr>
          <w:p>
            <w:pPr>
              <w:spacing w:after="40"/>
            </w:pPr>
            <w:r>
              <w:rPr>
                <w:b w:val="0"/>
                <w:i w:val="0"/>
                <w:color w:val="0B0B0B"/>
                <w:sz w:val="17"/>
              </w:rPr>
              <w:t>432.6 kW</w:t>
            </w:r>
          </w:p>
        </w:tc>
      </w:tr>
      <w:tr>
        <w:tc>
          <w:tcPr>
            <w:tcW w:type="dxa" w:w="4535"/>
          </w:tcPr>
          <w:p>
            <w:pPr>
              <w:spacing w:after="40"/>
            </w:pPr>
            <w:r>
              <w:rPr>
                <w:b/>
                <w:i w:val="0"/>
                <w:color w:val="0B0B0B"/>
                <w:sz w:val="17"/>
              </w:rPr>
              <w:t>Electrical input per unit</w:t>
            </w:r>
          </w:p>
        </w:tc>
        <w:tc>
          <w:tcPr>
            <w:tcW w:type="dxa" w:w="4535"/>
          </w:tcPr>
          <w:p>
            <w:pPr>
              <w:spacing w:after="40"/>
            </w:pPr>
            <w:r>
              <w:rPr>
                <w:b w:val="0"/>
                <w:i w:val="0"/>
                <w:color w:val="0B0B0B"/>
                <w:sz w:val="17"/>
              </w:rPr>
              <w:t>21.4 kW</w:t>
            </w:r>
          </w:p>
        </w:tc>
      </w:tr>
      <w:tr>
        <w:tc>
          <w:tcPr>
            <w:tcW w:type="dxa" w:w="4535"/>
          </w:tcPr>
          <w:p>
            <w:pPr>
              <w:spacing w:after="40"/>
            </w:pPr>
            <w:r>
              <w:rPr>
                <w:b/>
                <w:i w:val="0"/>
                <w:color w:val="0B0B0B"/>
                <w:sz w:val="17"/>
              </w:rPr>
              <w:t>External static pressure</w:t>
            </w:r>
          </w:p>
        </w:tc>
        <w:tc>
          <w:tcPr>
            <w:tcW w:type="dxa" w:w="4535"/>
          </w:tcPr>
          <w:p>
            <w:pPr>
              <w:spacing w:after="40"/>
            </w:pPr>
            <w:r>
              <w:rPr>
                <w:b w:val="0"/>
                <w:i w:val="0"/>
                <w:color w:val="0B0B0B"/>
                <w:sz w:val="17"/>
              </w:rPr>
              <w:t>131 Pa</w:t>
            </w:r>
          </w:p>
        </w:tc>
      </w:tr>
      <w:tr>
        <w:tc>
          <w:tcPr>
            <w:tcW w:type="dxa" w:w="4535"/>
          </w:tcPr>
          <w:p>
            <w:pPr>
              <w:spacing w:after="40"/>
            </w:pPr>
            <w:r>
              <w:rPr>
                <w:b/>
                <w:i w:val="0"/>
                <w:color w:val="0B0B0B"/>
                <w:sz w:val="17"/>
              </w:rPr>
              <w:t>Site elevation</w:t>
            </w:r>
          </w:p>
        </w:tc>
        <w:tc>
          <w:tcPr>
            <w:tcW w:type="dxa" w:w="4535"/>
          </w:tcPr>
          <w:p>
            <w:pPr>
              <w:spacing w:after="40"/>
            </w:pPr>
            <w:r>
              <w:rPr>
                <w:b w:val="0"/>
                <w:i w:val="0"/>
                <w:color w:val="0B0B0B"/>
                <w:sz w:val="17"/>
              </w:rPr>
              <w:t>750 m</w:t>
            </w:r>
          </w:p>
        </w:tc>
      </w:tr>
      <w:tr>
        <w:tc>
          <w:tcPr>
            <w:tcW w:type="dxa" w:w="4535"/>
          </w:tcPr>
          <w:p>
            <w:pPr>
              <w:spacing w:after="40"/>
            </w:pPr>
            <w:r>
              <w:rPr>
                <w:b/>
                <w:i w:val="0"/>
                <w:color w:val="0B0B0B"/>
                <w:sz w:val="17"/>
              </w:rPr>
              <w:t>Operating pressure</w:t>
            </w:r>
          </w:p>
        </w:tc>
        <w:tc>
          <w:tcPr>
            <w:tcW w:type="dxa" w:w="4535"/>
          </w:tcPr>
          <w:p>
            <w:pPr>
              <w:spacing w:after="40"/>
            </w:pPr>
            <w:r>
              <w:rPr>
                <w:b w:val="0"/>
                <w:i w:val="0"/>
                <w:color w:val="0B0B0B"/>
                <w:sz w:val="17"/>
              </w:rPr>
              <w:t>92.6 kPa</w:t>
            </w:r>
          </w:p>
        </w:tc>
      </w:tr>
      <w:tr>
        <w:tc>
          <w:tcPr>
            <w:tcW w:type="dxa" w:w="4535"/>
          </w:tcPr>
          <w:p>
            <w:pPr>
              <w:spacing w:after="40"/>
            </w:pPr>
            <w:r>
              <w:rPr>
                <w:b/>
                <w:i w:val="0"/>
                <w:color w:val="0B0B0B"/>
                <w:sz w:val="17"/>
              </w:rPr>
              <w:t>Supply air density</w:t>
            </w:r>
          </w:p>
        </w:tc>
        <w:tc>
          <w:tcPr>
            <w:tcW w:type="dxa" w:w="4535"/>
          </w:tcPr>
          <w:p>
            <w:pPr>
              <w:spacing w:after="40"/>
            </w:pPr>
            <w:r>
              <w:rPr>
                <w:b w:val="0"/>
                <w:i w:val="0"/>
                <w:color w:val="0B0B0B"/>
                <w:sz w:val="17"/>
              </w:rPr>
              <w:t>1.094 kg/m³</w:t>
            </w:r>
          </w:p>
        </w:tc>
      </w:tr>
    </w:tbl>
    <w:p>
      <w:pPr>
        <w:spacing w:after="200"/>
      </w:pPr>
      <w:r>
        <w:rPr>
          <w:b w:val="0"/>
          <w:i w:val="0"/>
          <w:color w:val="898781"/>
          <w:sz w:val="16"/>
        </w:rPr>
        <w:t>The solve runs at the site's operating pressure, so the airflow and the mass flow agree with the unit's selection at that elevation.</w:t>
      </w:r>
    </w:p>
    <w:p>
      <w:pPr>
        <w:spacing w:before="240" w:after="80"/>
      </w:pPr>
      <w:r>
        <w:rPr>
          <w:rFonts w:ascii="DejaVu Sans" w:hAnsi="DejaVu Sans"/>
          <w:b/>
          <w:i w:val="0"/>
          <w:color w:val="2F6F6A"/>
          <w:sz w:val="23"/>
        </w:rPr>
        <w:t>Results summary</w:t>
      </w:r>
    </w:p>
    <w:tbl>
      <w:tblPr>
        <w:tblStyle w:val="TableGrid"/>
        <w:tblW w:type="auto" w:w="0"/>
        <w:tblLook w:firstColumn="1" w:firstRow="1" w:lastColumn="0" w:lastRow="0" w:noHBand="0" w:noVBand="1" w:val="04A0"/>
      </w:tblPr>
      <w:tblGrid>
        <w:gridCol w:w="3173"/>
        <w:gridCol w:w="3173"/>
        <w:gridCol w:w="3173"/>
      </w:tblGrid>
      <w:tr>
        <w:tc>
          <w:tcPr>
            <w:tcW w:type="dxa" w:w="3402"/>
            <w:shd w:val="clear" w:fill="2F6F6A"/>
          </w:tcPr>
          <w:p>
            <w:pPr>
              <w:spacing w:after="40"/>
            </w:pPr>
            <w:r>
              <w:rPr>
                <w:b/>
                <w:i w:val="0"/>
                <w:color w:val="FFFFFF"/>
                <w:sz w:val="17"/>
              </w:rPr>
              <w:t>Quantity</w:t>
            </w:r>
          </w:p>
        </w:tc>
        <w:tc>
          <w:tcPr>
            <w:tcW w:type="dxa" w:w="2041"/>
            <w:shd w:val="clear" w:fill="2F6F6A"/>
          </w:tcPr>
          <w:p>
            <w:pPr>
              <w:spacing w:after="40"/>
            </w:pPr>
            <w:r>
              <w:rPr>
                <w:b/>
                <w:i w:val="0"/>
                <w:color w:val="FFFFFF"/>
                <w:sz w:val="17"/>
              </w:rPr>
              <w:t>Value</w:t>
            </w:r>
          </w:p>
        </w:tc>
        <w:tc>
          <w:tcPr>
            <w:tcW w:type="dxa" w:w="3628"/>
            <w:shd w:val="clear" w:fill="2F6F6A"/>
          </w:tcPr>
          <w:p>
            <w:pPr>
              <w:spacing w:after="40"/>
            </w:pPr>
            <w:r>
              <w:rPr>
                <w:b/>
                <w:i w:val="0"/>
                <w:color w:val="FFFFFF"/>
                <w:sz w:val="17"/>
              </w:rPr>
              <w:t>Against what</w:t>
            </w:r>
          </w:p>
        </w:tc>
      </w:tr>
      <w:tr>
        <w:tc>
          <w:tcPr>
            <w:tcW w:type="dxa" w:w="3402"/>
          </w:tcPr>
          <w:p>
            <w:pPr>
              <w:spacing w:after="40"/>
            </w:pPr>
            <w:r>
              <w:rPr>
                <w:b w:val="0"/>
                <w:i w:val="0"/>
                <w:color w:val="0B0B0B"/>
                <w:sz w:val="17"/>
              </w:rPr>
              <w:t>Warmest rack intake (top of rack)</w:t>
            </w:r>
          </w:p>
        </w:tc>
        <w:tc>
          <w:tcPr>
            <w:tcW w:type="dxa" w:w="2041"/>
          </w:tcPr>
          <w:p>
            <w:pPr>
              <w:spacing w:after="40"/>
            </w:pPr>
            <w:r>
              <w:rPr>
                <w:b w:val="0"/>
                <w:i w:val="0"/>
                <w:color w:val="0B0B0B"/>
                <w:sz w:val="17"/>
              </w:rPr>
              <w:t>22.43 °C</w:t>
            </w:r>
          </w:p>
        </w:tc>
        <w:tc>
          <w:tcPr>
            <w:tcW w:type="dxa" w:w="3628"/>
          </w:tcPr>
          <w:p>
            <w:pPr>
              <w:spacing w:after="40"/>
            </w:pPr>
            <w:r>
              <w:rPr>
                <w:b w:val="0"/>
                <w:i w:val="0"/>
                <w:color w:val="0B0B0B"/>
                <w:sz w:val="17"/>
              </w:rPr>
              <w:t>rack F5B2-04, against the 27 °C ASHRAE recommended limit</w:t>
            </w:r>
          </w:p>
        </w:tc>
      </w:tr>
      <w:tr>
        <w:tc>
          <w:tcPr>
            <w:tcW w:type="dxa" w:w="3402"/>
          </w:tcPr>
          <w:p>
            <w:pPr>
              <w:spacing w:after="40"/>
            </w:pPr>
            <w:r>
              <w:rPr>
                <w:b w:val="0"/>
                <w:i w:val="0"/>
                <w:color w:val="0B0B0B"/>
                <w:sz w:val="17"/>
              </w:rPr>
              <w:t>Mixed return air temperature</w:t>
            </w:r>
          </w:p>
        </w:tc>
        <w:tc>
          <w:tcPr>
            <w:tcW w:type="dxa" w:w="2041"/>
          </w:tcPr>
          <w:p>
            <w:pPr>
              <w:spacing w:after="40"/>
            </w:pPr>
            <w:r>
              <w:rPr>
                <w:b w:val="0"/>
                <w:i w:val="0"/>
                <w:color w:val="0B0B0B"/>
                <w:sz w:val="17"/>
              </w:rPr>
              <w:t>33.35 °C</w:t>
            </w:r>
          </w:p>
        </w:tc>
        <w:tc>
          <w:tcPr>
            <w:tcW w:type="dxa" w:w="3628"/>
          </w:tcPr>
          <w:p>
            <w:pPr>
              <w:spacing w:after="40"/>
            </w:pPr>
            <w:r>
              <w:rPr>
                <w:b w:val="0"/>
                <w:i w:val="0"/>
                <w:color w:val="0B0B0B"/>
                <w:sz w:val="17"/>
              </w:rPr>
              <w:t>11.45 K above the supply</w:t>
            </w:r>
          </w:p>
        </w:tc>
      </w:tr>
      <w:tr>
        <w:tc>
          <w:tcPr>
            <w:tcW w:type="dxa" w:w="3402"/>
          </w:tcPr>
          <w:p>
            <w:pPr>
              <w:spacing w:after="40"/>
            </w:pPr>
            <w:r>
              <w:rPr>
                <w:b w:val="0"/>
                <w:i w:val="0"/>
                <w:color w:val="0B0B0B"/>
                <w:sz w:val="17"/>
              </w:rPr>
              <w:t>Energy closure</w:t>
            </w:r>
          </w:p>
        </w:tc>
        <w:tc>
          <w:tcPr>
            <w:tcW w:type="dxa" w:w="2041"/>
          </w:tcPr>
          <w:p>
            <w:pPr>
              <w:spacing w:after="40"/>
            </w:pPr>
            <w:r>
              <w:rPr>
                <w:b w:val="0"/>
                <w:i w:val="0"/>
                <w:color w:val="0B0B0B"/>
                <w:sz w:val="17"/>
              </w:rPr>
              <w:t>100.0 %</w:t>
            </w:r>
          </w:p>
        </w:tc>
        <w:tc>
          <w:tcPr>
            <w:tcW w:type="dxa" w:w="3628"/>
          </w:tcPr>
          <w:p>
            <w:pPr>
              <w:spacing w:after="40"/>
            </w:pPr>
            <w:r>
              <w:rPr>
                <w:b w:val="0"/>
                <w:i w:val="0"/>
                <w:color w:val="0B0B0B"/>
                <w:sz w:val="17"/>
              </w:rPr>
              <w:t>heat carried out by the return air, against the installed load</w:t>
            </w:r>
          </w:p>
        </w:tc>
      </w:tr>
      <w:tr>
        <w:tc>
          <w:tcPr>
            <w:tcW w:type="dxa" w:w="3402"/>
          </w:tcPr>
          <w:p>
            <w:pPr>
              <w:spacing w:after="40"/>
            </w:pPr>
            <w:r>
              <w:rPr>
                <w:b w:val="0"/>
                <w:i w:val="0"/>
                <w:color w:val="0B0B0B"/>
                <w:sz w:val="17"/>
              </w:rPr>
              <w:t>Rise across the most loaded unit</w:t>
            </w:r>
          </w:p>
        </w:tc>
        <w:tc>
          <w:tcPr>
            <w:tcW w:type="dxa" w:w="2041"/>
          </w:tcPr>
          <w:p>
            <w:pPr>
              <w:spacing w:after="40"/>
            </w:pPr>
            <w:r>
              <w:rPr>
                <w:b w:val="0"/>
                <w:i w:val="0"/>
                <w:color w:val="0B0B0B"/>
                <w:sz w:val="17"/>
              </w:rPr>
              <w:t>56.1 Pa</w:t>
            </w:r>
          </w:p>
        </w:tc>
        <w:tc>
          <w:tcPr>
            <w:tcW w:type="dxa" w:w="3628"/>
          </w:tcPr>
          <w:p>
            <w:pPr>
              <w:spacing w:after="40"/>
            </w:pPr>
            <w:r>
              <w:rPr>
                <w:b w:val="0"/>
                <w:i w:val="0"/>
                <w:color w:val="0B0B0B"/>
                <w:sz w:val="17"/>
              </w:rPr>
              <w:t>of 131 Pa available</w:t>
            </w:r>
          </w:p>
        </w:tc>
      </w:tr>
      <w:tr>
        <w:tc>
          <w:tcPr>
            <w:tcW w:type="dxa" w:w="3402"/>
          </w:tcPr>
          <w:p>
            <w:pPr>
              <w:spacing w:after="40"/>
            </w:pPr>
            <w:r>
              <w:rPr>
                <w:b w:val="0"/>
                <w:i w:val="0"/>
                <w:color w:val="0B0B0B"/>
                <w:sz w:val="17"/>
              </w:rPr>
              <w:t>Plant against the design rules</w:t>
            </w:r>
          </w:p>
        </w:tc>
        <w:tc>
          <w:tcPr>
            <w:tcW w:type="dxa" w:w="2041"/>
          </w:tcPr>
          <w:p>
            <w:pPr>
              <w:spacing w:after="40"/>
            </w:pPr>
            <w:r>
              <w:rPr>
                <w:b w:val="0"/>
                <w:i w:val="0"/>
                <w:color w:val="0B0B0B"/>
                <w:sz w:val="17"/>
              </w:rPr>
              <w:t>119 % capacity · 106 % airflow</w:t>
            </w:r>
          </w:p>
        </w:tc>
        <w:tc>
          <w:tcPr>
            <w:tcW w:type="dxa" w:w="3628"/>
          </w:tcPr>
          <w:p>
            <w:pPr>
              <w:spacing w:after="40"/>
            </w:pPr>
            <w:r>
              <w:rPr>
                <w:b w:val="0"/>
                <w:i w:val="0"/>
                <w:color w:val="0B0B0B"/>
                <w:sz w:val="17"/>
              </w:rPr>
              <w:t>installed against the load in kW and against the racks' demand at 158 CFM/kW</w:t>
            </w:r>
          </w:p>
        </w:tc>
      </w:tr>
    </w:tbl>
    <w:p>
      <w:pPr>
        <w:spacing w:after="120"/>
      </w:pPr>
    </w:p>
    <w:p>
      <w:pPr>
        <w:spacing w:after="120"/>
      </w:pPr>
      <w:r>
        <w:rPr>
          <w:b/>
          <w:i w:val="0"/>
          <w:color w:val="0B0B0B"/>
          <w:sz w:val="20"/>
        </w:rPr>
        <w:t>All physical checks pass. The numbers below may be quoted.</w:t>
      </w:r>
    </w:p>
    <w:p>
      <w:r>
        <w:br w:type="page"/>
      </w:r>
    </w:p>
    <w:p>
      <w:pPr>
        <w:spacing w:before="320" w:after="80"/>
      </w:pPr>
      <w:r>
        <w:rPr>
          <w:rFonts w:ascii="Georgia" w:hAnsi="Georgia"/>
          <w:b/>
          <w:i w:val="0"/>
          <w:color w:val="0B0B0B"/>
          <w:sz w:val="30"/>
        </w:rPr>
        <w:t>2  Methodology</w:t>
      </w:r>
    </w:p>
    <w:p>
      <w:pPr>
        <w:spacing w:after="0"/>
      </w:pPr>
    </w:p>
    <w:p>
      <w:pPr>
        <w:spacing w:before="240" w:after="80"/>
      </w:pPr>
      <w:r>
        <w:rPr>
          <w:rFonts w:ascii="DejaVu Sans" w:hAnsi="DejaVu Sans"/>
          <w:b/>
          <w:i w:val="0"/>
          <w:color w:val="2F6F6A"/>
          <w:sz w:val="23"/>
        </w:rPr>
        <w:t>Geometry</w:t>
      </w:r>
    </w:p>
    <w:p>
      <w:pPr>
        <w:spacing w:after="120"/>
      </w:pPr>
      <w:r>
        <w:rPr>
          <w:b w:val="0"/>
          <w:i w:val="0"/>
          <w:color w:val="0B0B0B"/>
          <w:sz w:val="20"/>
        </w:rPr>
        <w:t>The room is derived from the case specification, not drawn: every dimension below follows from the equipment sizes, the aisle widths and the clearances the engineer typed. The arrangement is a mechanical gallery at each end of the hall, 14 units shared between them, with hot-aisle containment and a ceiling-plenum return.</w:t>
      </w:r>
    </w:p>
    <w:p>
      <w:pPr>
        <w:spacing w:after="120"/>
      </w:pPr>
      <w:r>
        <w:rPr>
          <w:b w:val="0"/>
          <w:i w:val="0"/>
          <w:color w:val="0B0B0B"/>
          <w:sz w:val="20"/>
        </w:rPr>
        <w:t>The false ceiling covers the whole hall and stops at each dividing wall, so the return plenum above it is one continuous volume: it collects from every hot aisle and opens into both galleries. Two supplies, one return — which is what allows a block whose own gallery is short of capacity to be drawn on by the other.</w:t>
      </w:r>
    </w:p>
    <w:tbl>
      <w:tblPr>
        <w:tblStyle w:val="TableGrid"/>
        <w:tblW w:type="auto" w:w="0"/>
        <w:tblLook w:firstColumn="1" w:firstRow="1" w:lastColumn="0" w:lastRow="0" w:noHBand="0" w:noVBand="1" w:val="04A0"/>
      </w:tblPr>
      <w:tblGrid>
        <w:gridCol w:w="4759"/>
        <w:gridCol w:w="4759"/>
      </w:tblGrid>
      <w:tr>
        <w:tc>
          <w:tcPr>
            <w:tcW w:type="dxa" w:w="3969"/>
            <w:shd w:val="clear" w:fill="2F6F6A"/>
          </w:tcPr>
          <w:p>
            <w:pPr>
              <w:spacing w:after="40"/>
            </w:pPr>
            <w:r>
              <w:rPr>
                <w:b/>
                <w:i w:val="0"/>
                <w:color w:val="FFFFFF"/>
                <w:sz w:val="17"/>
              </w:rPr>
              <w:t>Feature</w:t>
            </w:r>
          </w:p>
        </w:tc>
        <w:tc>
          <w:tcPr>
            <w:tcW w:type="dxa" w:w="5102"/>
            <w:shd w:val="clear" w:fill="2F6F6A"/>
          </w:tcPr>
          <w:p>
            <w:pPr>
              <w:spacing w:after="40"/>
            </w:pPr>
            <w:r>
              <w:rPr>
                <w:b/>
                <w:i w:val="0"/>
                <w:color w:val="FFFFFF"/>
                <w:sz w:val="17"/>
              </w:rPr>
              <w:t>As built in the model</w:t>
            </w:r>
          </w:p>
        </w:tc>
      </w:tr>
      <w:tr>
        <w:tc>
          <w:tcPr>
            <w:tcW w:type="dxa" w:w="3969"/>
          </w:tcPr>
          <w:p>
            <w:pPr>
              <w:spacing w:after="40"/>
            </w:pPr>
            <w:r>
              <w:rPr>
                <w:b/>
                <w:i w:val="0"/>
                <w:color w:val="0B0B0B"/>
                <w:sz w:val="17"/>
              </w:rPr>
              <w:t>Hall, internal</w:t>
            </w:r>
          </w:p>
        </w:tc>
        <w:tc>
          <w:tcPr>
            <w:tcW w:type="dxa" w:w="5102"/>
          </w:tcPr>
          <w:p>
            <w:pPr>
              <w:spacing w:after="40"/>
            </w:pPr>
            <w:r>
              <w:rPr>
                <w:b w:val="0"/>
                <w:i w:val="0"/>
                <w:color w:val="0B0B0B"/>
                <w:sz w:val="17"/>
              </w:rPr>
              <w:t>33.0 × 32.4 m</w:t>
            </w:r>
          </w:p>
        </w:tc>
      </w:tr>
      <w:tr>
        <w:tc>
          <w:tcPr>
            <w:tcW w:type="dxa" w:w="3969"/>
          </w:tcPr>
          <w:p>
            <w:pPr>
              <w:spacing w:after="40"/>
            </w:pPr>
            <w:r>
              <w:rPr>
                <w:b/>
                <w:i w:val="0"/>
                <w:color w:val="0B0B0B"/>
                <w:sz w:val="17"/>
              </w:rPr>
              <w:t>Floor to slab</w:t>
            </w:r>
          </w:p>
        </w:tc>
        <w:tc>
          <w:tcPr>
            <w:tcW w:type="dxa" w:w="5102"/>
          </w:tcPr>
          <w:p>
            <w:pPr>
              <w:spacing w:after="40"/>
            </w:pPr>
            <w:r>
              <w:rPr>
                <w:b w:val="0"/>
                <w:i w:val="0"/>
                <w:color w:val="0B0B0B"/>
                <w:sz w:val="17"/>
              </w:rPr>
              <w:t>7.5 m</w:t>
            </w:r>
          </w:p>
        </w:tc>
      </w:tr>
      <w:tr>
        <w:tc>
          <w:tcPr>
            <w:tcW w:type="dxa" w:w="3969"/>
          </w:tcPr>
          <w:p>
            <w:pPr>
              <w:spacing w:after="40"/>
            </w:pPr>
            <w:r>
              <w:rPr>
                <w:b/>
                <w:i w:val="0"/>
                <w:color w:val="0B0B0B"/>
                <w:sz w:val="17"/>
              </w:rPr>
              <w:t>False ceiling</w:t>
            </w:r>
          </w:p>
        </w:tc>
        <w:tc>
          <w:tcPr>
            <w:tcW w:type="dxa" w:w="5102"/>
          </w:tcPr>
          <w:p>
            <w:pPr>
              <w:spacing w:after="40"/>
            </w:pPr>
            <w:r>
              <w:rPr>
                <w:b w:val="0"/>
                <w:i w:val="0"/>
                <w:color w:val="0B0B0B"/>
                <w:sz w:val="17"/>
              </w:rPr>
              <w:t>5.5 m</w:t>
            </w:r>
          </w:p>
        </w:tc>
      </w:tr>
      <w:tr>
        <w:tc>
          <w:tcPr>
            <w:tcW w:type="dxa" w:w="3969"/>
          </w:tcPr>
          <w:p>
            <w:pPr>
              <w:spacing w:after="40"/>
            </w:pPr>
            <w:r>
              <w:rPr>
                <w:b/>
                <w:i w:val="0"/>
                <w:color w:val="0B0B0B"/>
                <w:sz w:val="17"/>
              </w:rPr>
              <w:t>Mechanical galleries</w:t>
            </w:r>
          </w:p>
        </w:tc>
        <w:tc>
          <w:tcPr>
            <w:tcW w:type="dxa" w:w="5102"/>
          </w:tcPr>
          <w:p>
            <w:pPr>
              <w:spacing w:after="40"/>
            </w:pPr>
            <w:r>
              <w:rPr>
                <w:b w:val="0"/>
                <w:i w:val="0"/>
                <w:color w:val="0B0B0B"/>
                <w:sz w:val="17"/>
              </w:rPr>
              <w:t>2 × 9.0 m deep</w:t>
            </w:r>
          </w:p>
        </w:tc>
      </w:tr>
      <w:tr>
        <w:tc>
          <w:tcPr>
            <w:tcW w:type="dxa" w:w="3969"/>
          </w:tcPr>
          <w:p>
            <w:pPr>
              <w:spacing w:after="40"/>
            </w:pPr>
            <w:r>
              <w:rPr>
                <w:b/>
                <w:i w:val="0"/>
                <w:color w:val="0B0B0B"/>
                <w:sz w:val="17"/>
              </w:rPr>
              <w:t>Rack rows</w:t>
            </w:r>
          </w:p>
        </w:tc>
        <w:tc>
          <w:tcPr>
            <w:tcW w:type="dxa" w:w="5102"/>
          </w:tcPr>
          <w:p>
            <w:pPr>
              <w:spacing w:after="40"/>
            </w:pPr>
            <w:r>
              <w:rPr>
                <w:b w:val="0"/>
                <w:i w:val="0"/>
                <w:color w:val="0B0B0B"/>
                <w:sz w:val="17"/>
              </w:rPr>
              <w:t>20 row segments — 10 rows in 2 blocks</w:t>
            </w:r>
          </w:p>
        </w:tc>
      </w:tr>
      <w:tr>
        <w:tc>
          <w:tcPr>
            <w:tcW w:type="dxa" w:w="3969"/>
          </w:tcPr>
          <w:p>
            <w:pPr>
              <w:spacing w:after="40"/>
            </w:pPr>
            <w:r>
              <w:rPr>
                <w:b/>
                <w:i w:val="0"/>
                <w:color w:val="0B0B0B"/>
                <w:sz w:val="17"/>
              </w:rPr>
              <w:t>Rack positions</w:t>
            </w:r>
          </w:p>
        </w:tc>
        <w:tc>
          <w:tcPr>
            <w:tcW w:type="dxa" w:w="5102"/>
          </w:tcPr>
          <w:p>
            <w:pPr>
              <w:spacing w:after="40"/>
            </w:pPr>
            <w:r>
              <w:rPr>
                <w:b w:val="0"/>
                <w:i w:val="0"/>
                <w:color w:val="0B0B0B"/>
                <w:sz w:val="17"/>
              </w:rPr>
              <w:t>440</w:t>
            </w:r>
          </w:p>
        </w:tc>
      </w:tr>
      <w:tr>
        <w:tc>
          <w:tcPr>
            <w:tcW w:type="dxa" w:w="3969"/>
          </w:tcPr>
          <w:p>
            <w:pPr>
              <w:spacing w:after="40"/>
            </w:pPr>
            <w:r>
              <w:rPr>
                <w:b/>
                <w:i w:val="0"/>
                <w:color w:val="0B0B0B"/>
                <w:sz w:val="17"/>
              </w:rPr>
              <w:t>Contained hot aisles</w:t>
            </w:r>
          </w:p>
        </w:tc>
        <w:tc>
          <w:tcPr>
            <w:tcW w:type="dxa" w:w="5102"/>
          </w:tcPr>
          <w:p>
            <w:pPr>
              <w:spacing w:after="40"/>
            </w:pPr>
            <w:r>
              <w:rPr>
                <w:b w:val="0"/>
                <w:i w:val="0"/>
                <w:color w:val="0B0B0B"/>
                <w:sz w:val="17"/>
              </w:rPr>
              <w:t>5 in plan, 10 separate containment volumes</w:t>
            </w:r>
          </w:p>
        </w:tc>
      </w:tr>
      <w:tr>
        <w:tc>
          <w:tcPr>
            <w:tcW w:type="dxa" w:w="3969"/>
          </w:tcPr>
          <w:p>
            <w:pPr>
              <w:spacing w:after="40"/>
            </w:pPr>
            <w:r>
              <w:rPr>
                <w:b/>
                <w:i w:val="0"/>
                <w:color w:val="0B0B0B"/>
                <w:sz w:val="17"/>
              </w:rPr>
              <w:t>Cold aisles</w:t>
            </w:r>
          </w:p>
        </w:tc>
        <w:tc>
          <w:tcPr>
            <w:tcW w:type="dxa" w:w="5102"/>
          </w:tcPr>
          <w:p>
            <w:pPr>
              <w:spacing w:after="40"/>
            </w:pPr>
            <w:r>
              <w:rPr>
                <w:b w:val="0"/>
                <w:i w:val="0"/>
                <w:color w:val="0B0B0B"/>
                <w:sz w:val="17"/>
              </w:rPr>
              <w:t>6</w:t>
            </w:r>
          </w:p>
        </w:tc>
      </w:tr>
      <w:tr>
        <w:tc>
          <w:tcPr>
            <w:tcW w:type="dxa" w:w="3969"/>
          </w:tcPr>
          <w:p>
            <w:pPr>
              <w:spacing w:after="40"/>
            </w:pPr>
            <w:r>
              <w:rPr>
                <w:b/>
                <w:i w:val="0"/>
                <w:color w:val="0B0B0B"/>
                <w:sz w:val="17"/>
              </w:rPr>
              <w:t>Fan wall units</w:t>
            </w:r>
          </w:p>
        </w:tc>
        <w:tc>
          <w:tcPr>
            <w:tcW w:type="dxa" w:w="5102"/>
          </w:tcPr>
          <w:p>
            <w:pPr>
              <w:spacing w:after="40"/>
            </w:pPr>
            <w:r>
              <w:rPr>
                <w:b w:val="0"/>
                <w:i w:val="0"/>
                <w:color w:val="0B0B0B"/>
                <w:sz w:val="17"/>
              </w:rPr>
              <w:t>14</w:t>
            </w:r>
          </w:p>
        </w:tc>
      </w:tr>
    </w:tbl>
    <w:p>
      <w:pPr>
        <w:spacing w:after="120"/>
      </w:pPr>
    </w:p>
    <w:p>
      <w:pPr>
        <w:spacing w:before="240" w:after="80"/>
      </w:pPr>
      <w:r>
        <w:rPr>
          <w:rFonts w:ascii="DejaVu Sans" w:hAnsi="DejaVu Sans"/>
          <w:b/>
          <w:i w:val="0"/>
          <w:color w:val="2F6F6A"/>
          <w:sz w:val="23"/>
        </w:rPr>
        <w:t>Computational mesh</w:t>
      </w:r>
    </w:p>
    <w:p>
      <w:pPr>
        <w:spacing w:after="120"/>
      </w:pPr>
      <w:r>
        <w:rPr>
          <w:b w:val="0"/>
          <w:i w:val="0"/>
          <w:color w:val="0B0B0B"/>
          <w:sz w:val="20"/>
        </w:rPr>
        <w:t>A single structured hexahedral block of 275,400 cells, 0.60 × 0.30 × 0.25 m, with every internal surface cut into it afterwards as a two-sided baffle: the containment panels, the false ceiling, the row ends and tops, the return grilles and the fan walls. The room's air loop closes inside the box, so none of those surfaces is a domain boundary.</w:t>
      </w:r>
    </w:p>
    <w:p>
      <w:pPr>
        <w:spacing w:after="120"/>
      </w:pPr>
      <w:r>
        <w:rPr>
          <w:b w:val="0"/>
          <w:i w:val="0"/>
          <w:color w:val="0B0B0B"/>
          <w:sz w:val="20"/>
        </w:rPr>
        <w:t>The cell sizes differ by axis on purpose. In plan the cell is one rack wide, which is the resolution a conceptual study needs and no more. In the vertical it is fine enough that the false ceiling, the fan wall top and the rack tops land on cell faces — a plane that falls mid-cell produces a ragged surface that leaks silently.</w:t>
      </w:r>
    </w:p>
    <w:p>
      <w:pPr>
        <w:spacing w:after="120"/>
      </w:pPr>
      <w:r>
        <w:rPr>
          <w:b/>
          <w:i w:val="0"/>
          <w:color w:val="0B0B0B"/>
          <w:sz w:val="20"/>
        </w:rPr>
        <w:t>What this resolution supports: the ranking of racks, the aisle-to-aisle temperatures and the hall-scale pressure field. What it does not: signing off ASHRAE compliance rack by rack, since a single rack's intake carries 1 to 2 K of uncertainty at this cell size.</w:t>
      </w:r>
    </w:p>
    <w:p>
      <w:pPr>
        <w:spacing w:after="40"/>
      </w:pPr>
      <w:r>
        <w:rPr>
          <w:b w:val="0"/>
          <w:i w:val="0"/>
          <w:color w:val="52514E"/>
          <w:sz w:val="18"/>
        </w:rPr>
        <w:t>Dimensions that did not land on the mesh and were snapped:</w:t>
      </w:r>
    </w:p>
    <w:p>
      <w:pPr>
        <w:pStyle w:val="ListBullet"/>
        <w:spacing w:after="60"/>
      </w:pPr>
      <w:r>
        <w:rPr>
          <w:b w:val="0"/>
          <w:i w:val="0"/>
          <w:color w:val="0B0B0B"/>
          <w:sz w:val="20"/>
        </w:rPr>
        <w:t>fan wall width: 3.960 m is not on the 0.30 m grid; the mesh will use 3.90 m (-60 mm).</w:t>
      </w:r>
    </w:p>
    <w:p>
      <w:pPr>
        <w:pStyle w:val="ListBullet"/>
        <w:spacing w:after="60"/>
      </w:pPr>
      <w:r>
        <w:rPr>
          <w:b w:val="0"/>
          <w:i w:val="0"/>
          <w:color w:val="0B0B0B"/>
          <w:sz w:val="20"/>
        </w:rPr>
        <w:t>rack height: 2.200 m is not on the 0.25 m grid; the mesh will use 2.25 m (+50 mm).</w:t>
      </w:r>
    </w:p>
    <w:p>
      <w:pPr>
        <w:pStyle w:val="ListBullet"/>
        <w:spacing w:after="60"/>
      </w:pPr>
      <w:r>
        <w:rPr>
          <w:b w:val="0"/>
          <w:i w:val="0"/>
          <w:color w:val="0B0B0B"/>
          <w:sz w:val="20"/>
        </w:rPr>
        <w:t>fan wall edge: 3.670 m is not on the 0.25 m grid; the mesh will use 3.75 m (+80 mm).</w:t>
      </w:r>
    </w:p>
    <w:p>
      <w:pPr>
        <w:pStyle w:val="ListBullet"/>
        <w:spacing w:after="60"/>
      </w:pPr>
      <w:r>
        <w:rPr>
          <w:b w:val="0"/>
          <w:i w:val="0"/>
          <w:color w:val="0B0B0B"/>
          <w:sz w:val="20"/>
        </w:rPr>
        <w:t>rack top position: 2.200 m is not on the 0.25 m grid; the mesh will use 2.25 m (+50 mm).</w:t>
      </w:r>
    </w:p>
    <w:p>
      <w:pPr>
        <w:pStyle w:val="ListBullet"/>
        <w:spacing w:after="60"/>
      </w:pPr>
      <w:r>
        <w:rPr>
          <w:b w:val="0"/>
          <w:i w:val="0"/>
          <w:color w:val="0B0B0B"/>
          <w:sz w:val="20"/>
        </w:rPr>
        <w:t>row end edge: 2.200 m is not on the 0.25 m grid; the mesh will use 2.25 m (+50 mm).</w:t>
      </w:r>
    </w:p>
    <w:p>
      <w:pPr>
        <w:spacing w:before="240" w:after="80"/>
      </w:pPr>
      <w:r>
        <w:rPr>
          <w:rFonts w:ascii="DejaVu Sans" w:hAnsi="DejaVu Sans"/>
          <w:b/>
          <w:i w:val="0"/>
          <w:color w:val="2F6F6A"/>
          <w:sz w:val="23"/>
        </w:rPr>
        <w:t>Boundary conditions and models</w:t>
      </w:r>
    </w:p>
    <w:tbl>
      <w:tblPr>
        <w:tblStyle w:val="TableGrid"/>
        <w:tblW w:type="auto" w:w="0"/>
        <w:tblLook w:firstColumn="1" w:firstRow="1" w:lastColumn="0" w:lastRow="0" w:noHBand="0" w:noVBand="1" w:val="04A0"/>
      </w:tblPr>
      <w:tblGrid>
        <w:gridCol w:w="4759"/>
        <w:gridCol w:w="4759"/>
      </w:tblGrid>
      <w:tr>
        <w:tc>
          <w:tcPr>
            <w:tcW w:type="dxa" w:w="2608"/>
            <w:shd w:val="clear" w:fill="2F6F6A"/>
          </w:tcPr>
          <w:p>
            <w:pPr>
              <w:spacing w:after="40"/>
            </w:pPr>
            <w:r>
              <w:rPr>
                <w:b/>
                <w:i w:val="0"/>
                <w:color w:val="FFFFFF"/>
                <w:sz w:val="17"/>
              </w:rPr>
              <w:t>Feature</w:t>
            </w:r>
          </w:p>
        </w:tc>
        <w:tc>
          <w:tcPr>
            <w:tcW w:type="dxa" w:w="6463"/>
            <w:shd w:val="clear" w:fill="2F6F6A"/>
          </w:tcPr>
          <w:p>
            <w:pPr>
              <w:spacing w:after="40"/>
            </w:pPr>
            <w:r>
              <w:rPr>
                <w:b/>
                <w:i w:val="0"/>
                <w:color w:val="FFFFFF"/>
                <w:sz w:val="17"/>
              </w:rPr>
              <w:t>How it is modelled</w:t>
            </w:r>
          </w:p>
        </w:tc>
      </w:tr>
      <w:tr>
        <w:tc>
          <w:tcPr>
            <w:tcW w:type="dxa" w:w="2608"/>
          </w:tcPr>
          <w:p>
            <w:pPr>
              <w:spacing w:after="40"/>
            </w:pPr>
            <w:r>
              <w:rPr>
                <w:b/>
                <w:i w:val="0"/>
                <w:color w:val="0B0B0B"/>
                <w:sz w:val="17"/>
              </w:rPr>
              <w:t>Fan wall</w:t>
            </w:r>
          </w:p>
        </w:tc>
        <w:tc>
          <w:tcPr>
            <w:tcW w:type="dxa" w:w="6463"/>
          </w:tcPr>
          <w:p>
            <w:pPr>
              <w:spacing w:after="40"/>
            </w:pPr>
            <w:r>
              <w:rPr>
                <w:b w:val="0"/>
                <w:i w:val="0"/>
                <w:color w:val="0B0B0B"/>
                <w:sz w:val="17"/>
              </w:rPr>
              <w:t>A pair of patches on the same internal faces: air leaves the gallery through the intake and re-enters the cold aisle through the supply. Both are set by MASS flow, not volume — the air leaving is warmer and thinner than the air arriving, and in a closed loop a 1 % mismatch has nowhere to go.</w:t>
            </w:r>
          </w:p>
        </w:tc>
      </w:tr>
      <w:tr>
        <w:tc>
          <w:tcPr>
            <w:tcW w:type="dxa" w:w="2608"/>
          </w:tcPr>
          <w:p>
            <w:pPr>
              <w:spacing w:after="40"/>
            </w:pPr>
            <w:r>
              <w:rPr>
                <w:b/>
                <w:i w:val="0"/>
                <w:color w:val="0B0B0B"/>
                <w:sz w:val="17"/>
              </w:rPr>
              <w:t>Rack</w:t>
            </w:r>
          </w:p>
        </w:tc>
        <w:tc>
          <w:tcPr>
            <w:tcW w:type="dxa" w:w="6463"/>
          </w:tcPr>
          <w:p>
            <w:pPr>
              <w:spacing w:after="40"/>
            </w:pPr>
            <w:r>
              <w:rPr>
                <w:b w:val="0"/>
                <w:i w:val="0"/>
                <w:color w:val="0B0B0B"/>
                <w:sz w:val="17"/>
              </w:rPr>
              <w:t>Darcy–Forchheimer porous block with a volumetric enthalpy source. The rack has no fan: what passes through it is an outcome of the room's pressure field, so the temperature rise across a rack is a result and not an input.</w:t>
            </w:r>
          </w:p>
        </w:tc>
      </w:tr>
      <w:tr>
        <w:tc>
          <w:tcPr>
            <w:tcW w:type="dxa" w:w="2608"/>
          </w:tcPr>
          <w:p>
            <w:pPr>
              <w:spacing w:after="40"/>
            </w:pPr>
            <w:r>
              <w:rPr>
                <w:b/>
                <w:i w:val="0"/>
                <w:color w:val="0B0B0B"/>
                <w:sz w:val="17"/>
              </w:rPr>
              <w:t>Return grille</w:t>
            </w:r>
          </w:p>
        </w:tc>
        <w:tc>
          <w:tcPr>
            <w:tcW w:type="dxa" w:w="6463"/>
          </w:tcPr>
          <w:p>
            <w:pPr>
              <w:spacing w:after="40"/>
            </w:pPr>
            <w:r>
              <w:rPr>
                <w:b w:val="0"/>
                <w:i w:val="0"/>
                <w:color w:val="0B0B0B"/>
                <w:sz w:val="17"/>
              </w:rPr>
              <w:t>Cyclic pair carrying the datasheet's loss coefficient as a pressure jump, then checked against the field.</w:t>
            </w:r>
          </w:p>
        </w:tc>
      </w:tr>
      <w:tr>
        <w:tc>
          <w:tcPr>
            <w:tcW w:type="dxa" w:w="2608"/>
          </w:tcPr>
          <w:p>
            <w:pPr>
              <w:spacing w:after="40"/>
            </w:pPr>
            <w:r>
              <w:rPr>
                <w:b/>
                <w:i w:val="0"/>
                <w:color w:val="0B0B0B"/>
                <w:sz w:val="17"/>
              </w:rPr>
              <w:t>Containment, false ceiling, row ends</w:t>
            </w:r>
          </w:p>
        </w:tc>
        <w:tc>
          <w:tcPr>
            <w:tcW w:type="dxa" w:w="6463"/>
          </w:tcPr>
          <w:p>
            <w:pPr>
              <w:spacing w:after="40"/>
            </w:pPr>
            <w:r>
              <w:rPr>
                <w:b w:val="0"/>
                <w:i w:val="0"/>
                <w:color w:val="0B0B0B"/>
                <w:sz w:val="17"/>
              </w:rPr>
              <w:t>Two-sided adiabatic wall baffles. A row not closed on five sides leaks most of its air sideways.</w:t>
            </w:r>
          </w:p>
        </w:tc>
      </w:tr>
      <w:tr>
        <w:tc>
          <w:tcPr>
            <w:tcW w:type="dxa" w:w="2608"/>
          </w:tcPr>
          <w:p>
            <w:pPr>
              <w:spacing w:after="40"/>
            </w:pPr>
            <w:r>
              <w:rPr>
                <w:b/>
                <w:i w:val="0"/>
                <w:color w:val="0B0B0B"/>
                <w:sz w:val="17"/>
              </w:rPr>
              <w:t>Building envelope</w:t>
            </w:r>
          </w:p>
        </w:tc>
        <w:tc>
          <w:tcPr>
            <w:tcW w:type="dxa" w:w="6463"/>
          </w:tcPr>
          <w:p>
            <w:pPr>
              <w:spacing w:after="40"/>
            </w:pPr>
            <w:r>
              <w:rPr>
                <w:b w:val="0"/>
                <w:i w:val="0"/>
                <w:color w:val="0B0B0B"/>
                <w:sz w:val="17"/>
              </w:rPr>
              <w:t>No-slip, adiabatic. Conservative for sizing the plant: no heat is assumed to leave through it.</w:t>
            </w:r>
          </w:p>
        </w:tc>
      </w:tr>
      <w:tr>
        <w:tc>
          <w:tcPr>
            <w:tcW w:type="dxa" w:w="2608"/>
          </w:tcPr>
          <w:p>
            <w:pPr>
              <w:spacing w:after="40"/>
            </w:pPr>
            <w:r>
              <w:rPr>
                <w:b/>
                <w:i w:val="0"/>
                <w:color w:val="0B0B0B"/>
                <w:sz w:val="17"/>
              </w:rPr>
              <w:t>Turbulence</w:t>
            </w:r>
          </w:p>
        </w:tc>
        <w:tc>
          <w:tcPr>
            <w:tcW w:type="dxa" w:w="6463"/>
          </w:tcPr>
          <w:p>
            <w:pPr>
              <w:spacing w:after="40"/>
            </w:pPr>
            <w:r>
              <w:rPr>
                <w:b w:val="0"/>
                <w:i w:val="0"/>
                <w:color w:val="0B0B0B"/>
                <w:sz w:val="17"/>
              </w:rPr>
              <w:t>Steady RANS, k-epsilon, with buoyancy (buoyantSimpleFoam, OpenFOAM v1912).</w:t>
            </w:r>
          </w:p>
        </w:tc>
      </w:tr>
    </w:tbl>
    <w:p>
      <w:pPr>
        <w:spacing w:after="120"/>
      </w:pPr>
    </w:p>
    <w:p>
      <w:pPr>
        <w:spacing w:before="240" w:after="80"/>
      </w:pPr>
      <w:r>
        <w:rPr>
          <w:rFonts w:ascii="DejaVu Sans" w:hAnsi="DejaVu Sans"/>
          <w:b/>
          <w:i w:val="0"/>
          <w:color w:val="2F6F6A"/>
          <w:sz w:val="23"/>
        </w:rPr>
        <w:t>How the airflow per unit is obtained</w:t>
      </w:r>
    </w:p>
    <w:tbl>
      <w:tblPr>
        <w:tblStyle w:val="TableGrid"/>
        <w:tblW w:type="auto" w:w="0"/>
        <w:tblLook w:firstColumn="1" w:firstRow="1" w:lastColumn="0" w:lastRow="0" w:noHBand="0" w:noVBand="1" w:val="04A0"/>
      </w:tblPr>
      <w:tblGrid>
        <w:gridCol w:w="4759"/>
        <w:gridCol w:w="4759"/>
      </w:tblGrid>
      <w:tr>
        <w:tc>
          <w:tcPr>
            <w:tcW w:type="dxa" w:w="5102"/>
            <w:shd w:val="clear" w:fill="2F6F6A"/>
          </w:tcPr>
          <w:p>
            <w:pPr>
              <w:spacing w:after="40"/>
            </w:pPr>
            <w:r>
              <w:rPr>
                <w:b/>
                <w:i w:val="0"/>
                <w:color w:val="FFFFFF"/>
                <w:sz w:val="17"/>
              </w:rPr>
              <w:t>Step</w:t>
            </w:r>
          </w:p>
        </w:tc>
        <w:tc>
          <w:tcPr>
            <w:tcW w:type="dxa" w:w="3969"/>
            <w:shd w:val="clear" w:fill="2F6F6A"/>
          </w:tcPr>
          <w:p>
            <w:pPr>
              <w:spacing w:after="40"/>
            </w:pPr>
            <w:r>
              <w:rPr>
                <w:b/>
                <w:i w:val="0"/>
                <w:color w:val="FFFFFF"/>
                <w:sz w:val="17"/>
              </w:rPr>
              <w:t>Value</w:t>
            </w:r>
          </w:p>
        </w:tc>
      </w:tr>
      <w:tr>
        <w:tc>
          <w:tcPr>
            <w:tcW w:type="dxa" w:w="5102"/>
          </w:tcPr>
          <w:p>
            <w:pPr>
              <w:spacing w:after="40"/>
            </w:pPr>
            <w:r>
              <w:rPr>
                <w:b/>
                <w:i w:val="0"/>
                <w:color w:val="0B0B0B"/>
                <w:sz w:val="17"/>
              </w:rPr>
              <w:t>1 — the unit's airflow, from the datasheet</w:t>
            </w:r>
          </w:p>
        </w:tc>
        <w:tc>
          <w:tcPr>
            <w:tcW w:type="dxa" w:w="3969"/>
          </w:tcPr>
          <w:p>
            <w:pPr>
              <w:spacing w:after="40"/>
            </w:pPr>
            <w:r>
              <w:rPr>
                <w:b w:val="0"/>
                <w:i w:val="0"/>
                <w:color w:val="0B0B0B"/>
                <w:sz w:val="17"/>
              </w:rPr>
              <w:t>104,181 m³/h</w:t>
            </w:r>
          </w:p>
        </w:tc>
      </w:tr>
      <w:tr>
        <w:tc>
          <w:tcPr>
            <w:tcW w:type="dxa" w:w="5102"/>
          </w:tcPr>
          <w:p>
            <w:pPr>
              <w:spacing w:after="40"/>
            </w:pPr>
            <w:r>
              <w:rPr>
                <w:b/>
                <w:i w:val="0"/>
                <w:color w:val="0B0B0B"/>
                <w:sz w:val="17"/>
              </w:rPr>
              <w:t>2 — units installed</w:t>
            </w:r>
          </w:p>
        </w:tc>
        <w:tc>
          <w:tcPr>
            <w:tcW w:type="dxa" w:w="3969"/>
          </w:tcPr>
          <w:p>
            <w:pPr>
              <w:spacing w:after="40"/>
            </w:pPr>
            <w:r>
              <w:rPr>
                <w:b w:val="0"/>
                <w:i w:val="0"/>
                <w:color w:val="0B0B0B"/>
                <w:sz w:val="17"/>
              </w:rPr>
              <w:t>14</w:t>
            </w:r>
          </w:p>
        </w:tc>
      </w:tr>
      <w:tr>
        <w:tc>
          <w:tcPr>
            <w:tcW w:type="dxa" w:w="5102"/>
          </w:tcPr>
          <w:p>
            <w:pPr>
              <w:spacing w:after="40"/>
            </w:pPr>
            <w:r>
              <w:rPr>
                <w:b/>
                <w:i w:val="0"/>
                <w:color w:val="0B0B0B"/>
                <w:sz w:val="17"/>
              </w:rPr>
              <w:t>3 — total delivered to the room</w:t>
            </w:r>
          </w:p>
        </w:tc>
        <w:tc>
          <w:tcPr>
            <w:tcW w:type="dxa" w:w="3969"/>
          </w:tcPr>
          <w:p>
            <w:pPr>
              <w:spacing w:after="40"/>
            </w:pPr>
            <w:r>
              <w:rPr>
                <w:b w:val="0"/>
                <w:i w:val="0"/>
                <w:color w:val="0B0B0B"/>
                <w:sz w:val="17"/>
              </w:rPr>
              <w:t>1,458,533 m³/h</w:t>
            </w:r>
          </w:p>
        </w:tc>
      </w:tr>
      <w:tr>
        <w:tc>
          <w:tcPr>
            <w:tcW w:type="dxa" w:w="5102"/>
          </w:tcPr>
          <w:p>
            <w:pPr>
              <w:spacing w:after="40"/>
            </w:pPr>
            <w:r>
              <w:rPr>
                <w:b/>
                <w:i w:val="0"/>
                <w:color w:val="0B0B0B"/>
                <w:sz w:val="17"/>
              </w:rPr>
              <w:t>4 — at the supply density</w:t>
            </w:r>
          </w:p>
        </w:tc>
        <w:tc>
          <w:tcPr>
            <w:tcW w:type="dxa" w:w="3969"/>
          </w:tcPr>
          <w:p>
            <w:pPr>
              <w:spacing w:after="40"/>
            </w:pPr>
            <w:r>
              <w:rPr>
                <w:b w:val="0"/>
                <w:i w:val="0"/>
                <w:color w:val="0B0B0B"/>
                <w:sz w:val="17"/>
              </w:rPr>
              <w:t>1.094 kg/m³</w:t>
            </w:r>
          </w:p>
        </w:tc>
      </w:tr>
      <w:tr>
        <w:tc>
          <w:tcPr>
            <w:tcW w:type="dxa" w:w="5102"/>
          </w:tcPr>
          <w:p>
            <w:pPr>
              <w:spacing w:after="40"/>
            </w:pPr>
            <w:r>
              <w:rPr>
                <w:b/>
                <w:i w:val="0"/>
                <w:color w:val="0B0B0B"/>
                <w:sz w:val="17"/>
              </w:rPr>
              <w:t>5 — mass flow imposed at each unit</w:t>
            </w:r>
          </w:p>
        </w:tc>
        <w:tc>
          <w:tcPr>
            <w:tcW w:type="dxa" w:w="3969"/>
          </w:tcPr>
          <w:p>
            <w:pPr>
              <w:spacing w:after="40"/>
            </w:pPr>
            <w:r>
              <w:rPr>
                <w:b w:val="0"/>
                <w:i w:val="0"/>
                <w:color w:val="0B0B0B"/>
                <w:sz w:val="17"/>
              </w:rPr>
              <w:t>31.65 kg/s</w:t>
            </w:r>
          </w:p>
        </w:tc>
      </w:tr>
    </w:tbl>
    <w:p>
      <w:pPr>
        <w:spacing w:after="200"/>
      </w:pPr>
      <w:r>
        <w:rPr>
          <w:b w:val="0"/>
          <w:i w:val="0"/>
          <w:color w:val="898781"/>
          <w:sz w:val="16"/>
        </w:rPr>
        <w:t>Every unit is given the same duty. A unit that is really on a pressure boundary would draw more or less than this and is not modelled here; see section 5.</w:t>
      </w:r>
    </w:p>
    <w:p>
      <w:r>
        <w:br w:type="page"/>
      </w:r>
    </w:p>
    <w:p>
      <w:pPr>
        <w:spacing w:before="320" w:after="80"/>
      </w:pPr>
      <w:r>
        <w:rPr>
          <w:rFonts w:ascii="Georgia" w:hAnsi="Georgia"/>
          <w:b/>
          <w:i w:val="0"/>
          <w:color w:val="0B0B0B"/>
          <w:sz w:val="30"/>
        </w:rPr>
        <w:t>3  Results</w:t>
      </w:r>
    </w:p>
    <w:p>
      <w:pPr>
        <w:spacing w:after="0"/>
      </w:pPr>
    </w:p>
    <w:p>
      <w:pPr>
        <w:spacing w:before="240" w:after="80"/>
      </w:pPr>
      <w:r>
        <w:rPr>
          <w:rFonts w:ascii="DejaVu Sans" w:hAnsi="DejaVu Sans"/>
          <w:b/>
          <w:i w:val="0"/>
          <w:color w:val="2F6F6A"/>
          <w:sz w:val="23"/>
        </w:rPr>
        <w:t>3.1  Verification — the checks the field has to pass</w:t>
      </w:r>
    </w:p>
    <w:p>
      <w:pPr>
        <w:spacing w:after="120"/>
      </w:pPr>
      <w:r>
        <w:rPr>
          <w:b w:val="0"/>
          <w:i w:val="0"/>
          <w:color w:val="0B0B0B"/>
          <w:sz w:val="20"/>
        </w:rPr>
        <w:t>A steady solver's residuals say how much the last iteration moved, not whether the answer means anything. Every run is therefore judged against identities the physics has to satisfy. All of them have to pass before a temperature is quoted.</w:t>
      </w:r>
    </w:p>
    <w:tbl>
      <w:tblPr>
        <w:tblStyle w:val="TableGrid"/>
        <w:tblW w:type="auto" w:w="0"/>
        <w:tblLook w:firstColumn="1" w:firstRow="1" w:lastColumn="0" w:lastRow="0" w:noHBand="0" w:noVBand="1" w:val="04A0"/>
      </w:tblPr>
      <w:tblGrid>
        <w:gridCol w:w="3173"/>
        <w:gridCol w:w="3173"/>
        <w:gridCol w:w="3173"/>
      </w:tblGrid>
      <w:tr>
        <w:tc>
          <w:tcPr>
            <w:tcW w:type="dxa" w:w="1928"/>
            <w:shd w:val="clear" w:fill="2F6F6A"/>
          </w:tcPr>
          <w:p>
            <w:pPr>
              <w:spacing w:after="40"/>
            </w:pPr>
            <w:r>
              <w:rPr>
                <w:b/>
                <w:i w:val="0"/>
                <w:color w:val="FFFFFF"/>
                <w:sz w:val="17"/>
              </w:rPr>
              <w:t>Check</w:t>
            </w:r>
          </w:p>
        </w:tc>
        <w:tc>
          <w:tcPr>
            <w:tcW w:type="dxa" w:w="3855"/>
            <w:shd w:val="clear" w:fill="2F6F6A"/>
          </w:tcPr>
          <w:p>
            <w:pPr>
              <w:spacing w:after="40"/>
            </w:pPr>
            <w:r>
              <w:rPr>
                <w:b/>
                <w:i w:val="0"/>
                <w:color w:val="FFFFFF"/>
                <w:sz w:val="17"/>
              </w:rPr>
              <w:t>Result</w:t>
            </w:r>
          </w:p>
        </w:tc>
        <w:tc>
          <w:tcPr>
            <w:tcW w:type="dxa" w:w="3288"/>
            <w:shd w:val="clear" w:fill="2F6F6A"/>
          </w:tcPr>
          <w:p>
            <w:pPr>
              <w:spacing w:after="40"/>
            </w:pPr>
            <w:r>
              <w:rPr>
                <w:b/>
                <w:i w:val="0"/>
                <w:color w:val="FFFFFF"/>
                <w:sz w:val="17"/>
              </w:rPr>
              <w:t>What it would have caught</w:t>
            </w:r>
          </w:p>
        </w:tc>
      </w:tr>
      <w:tr>
        <w:tc>
          <w:tcPr>
            <w:tcW w:type="dxa" w:w="1928"/>
          </w:tcPr>
          <w:p>
            <w:pPr>
              <w:spacing w:after="40"/>
            </w:pPr>
            <w:r>
              <w:rPr>
                <w:b w:val="0"/>
                <w:i w:val="0"/>
                <w:color w:val="0B0B0B"/>
                <w:sz w:val="17"/>
              </w:rPr>
              <w:t>mass_balance</w:t>
            </w:r>
          </w:p>
        </w:tc>
        <w:tc>
          <w:tcPr>
            <w:tcW w:type="dxa" w:w="3855"/>
          </w:tcPr>
          <w:p>
            <w:pPr>
              <w:spacing w:after="40"/>
            </w:pPr>
            <w:r>
              <w:rPr>
                <w:b w:val="0"/>
                <w:i w:val="0"/>
                <w:color w:val="0CA30C"/>
                <w:sz w:val="17"/>
              </w:rPr>
              <w:t>PASS — fan supplies 443.12804 kg/s and draws 443.12799 kg/s (0.000% apart)</w:t>
            </w:r>
          </w:p>
        </w:tc>
        <w:tc>
          <w:tcPr>
            <w:tcW w:type="dxa" w:w="3288"/>
          </w:tcPr>
          <w:p>
            <w:pPr>
              <w:spacing w:after="40"/>
            </w:pPr>
            <w:r>
              <w:rPr>
                <w:b w:val="0"/>
                <w:i w:val="0"/>
                <w:color w:val="0B0B0B"/>
                <w:sz w:val="17"/>
              </w:rPr>
              <w:t>the fan walls supplying and drawing different masses</w:t>
            </w:r>
          </w:p>
        </w:tc>
      </w:tr>
      <w:tr>
        <w:tc>
          <w:tcPr>
            <w:tcW w:type="dxa" w:w="1928"/>
          </w:tcPr>
          <w:p>
            <w:pPr>
              <w:spacing w:after="40"/>
            </w:pPr>
            <w:r>
              <w:rPr>
                <w:b w:val="0"/>
                <w:i w:val="0"/>
                <w:color w:val="0B0B0B"/>
                <w:sz w:val="17"/>
              </w:rPr>
              <w:t>sealed_envelope</w:t>
            </w:r>
          </w:p>
        </w:tc>
        <w:tc>
          <w:tcPr>
            <w:tcW w:type="dxa" w:w="3855"/>
          </w:tcPr>
          <w:p>
            <w:pPr>
              <w:spacing w:after="40"/>
            </w:pPr>
            <w:r>
              <w:rPr>
                <w:b w:val="0"/>
                <w:i w:val="0"/>
                <w:color w:val="0CA30C"/>
                <w:sz w:val="17"/>
              </w:rPr>
              <w:t>PASS — every wall and baffle carries zero flow</w:t>
            </w:r>
          </w:p>
        </w:tc>
        <w:tc>
          <w:tcPr>
            <w:tcW w:type="dxa" w:w="3288"/>
          </w:tcPr>
          <w:p>
            <w:pPr>
              <w:spacing w:after="40"/>
            </w:pPr>
            <w:r>
              <w:rPr>
                <w:b w:val="0"/>
                <w:i w:val="0"/>
                <w:color w:val="0B0B0B"/>
                <w:sz w:val="17"/>
              </w:rPr>
              <w:t>any wall or baffle passing air</w:t>
            </w:r>
          </w:p>
        </w:tc>
      </w:tr>
      <w:tr>
        <w:tc>
          <w:tcPr>
            <w:tcW w:type="dxa" w:w="1928"/>
          </w:tcPr>
          <w:p>
            <w:pPr>
              <w:spacing w:after="40"/>
            </w:pPr>
            <w:r>
              <w:rPr>
                <w:b w:val="0"/>
                <w:i w:val="0"/>
                <w:color w:val="0B0B0B"/>
                <w:sz w:val="17"/>
              </w:rPr>
              <w:t>no_backflow</w:t>
            </w:r>
          </w:p>
        </w:tc>
        <w:tc>
          <w:tcPr>
            <w:tcW w:type="dxa" w:w="3855"/>
          </w:tcPr>
          <w:p>
            <w:pPr>
              <w:spacing w:after="40"/>
            </w:pPr>
            <w:r>
              <w:rPr>
                <w:b w:val="0"/>
                <w:i w:val="0"/>
                <w:color w:val="0CA30C"/>
                <w:sz w:val="17"/>
              </w:rPr>
              <w:t>PASS — 0.00000 kg/s reverses through the fan intakes (14 units), 0.0% of the 443.128 kg/s they move</w:t>
            </w:r>
          </w:p>
        </w:tc>
        <w:tc>
          <w:tcPr>
            <w:tcW w:type="dxa" w:w="3288"/>
          </w:tcPr>
          <w:p>
            <w:pPr>
              <w:spacing w:after="40"/>
            </w:pPr>
            <w:r>
              <w:rPr>
                <w:b w:val="0"/>
                <w:i w:val="0"/>
                <w:color w:val="0B0B0B"/>
                <w:sz w:val="17"/>
              </w:rPr>
              <w:t>air reversing through a fan intake</w:t>
            </w:r>
          </w:p>
        </w:tc>
      </w:tr>
      <w:tr>
        <w:tc>
          <w:tcPr>
            <w:tcW w:type="dxa" w:w="1928"/>
          </w:tcPr>
          <w:p>
            <w:pPr>
              <w:spacing w:after="40"/>
            </w:pPr>
            <w:r>
              <w:rPr>
                <w:b w:val="0"/>
                <w:i w:val="0"/>
                <w:color w:val="0B0B0B"/>
                <w:sz w:val="17"/>
              </w:rPr>
              <w:t>energy_closure</w:t>
            </w:r>
          </w:p>
        </w:tc>
        <w:tc>
          <w:tcPr>
            <w:tcW w:type="dxa" w:w="3855"/>
          </w:tcPr>
          <w:p>
            <w:pPr>
              <w:spacing w:after="40"/>
            </w:pPr>
            <w:r>
              <w:rPr>
                <w:b w:val="0"/>
                <w:i w:val="0"/>
                <w:color w:val="0CA30C"/>
                <w:sz w:val="17"/>
              </w:rPr>
              <w:t>PASS — the return air carries 5099.62 kW of the 5099.60 kW installed (100%)</w:t>
            </w:r>
          </w:p>
        </w:tc>
        <w:tc>
          <w:tcPr>
            <w:tcW w:type="dxa" w:w="3288"/>
          </w:tcPr>
          <w:p>
            <w:pPr>
              <w:spacing w:after="40"/>
            </w:pPr>
            <w:r>
              <w:rPr>
                <w:b w:val="0"/>
                <w:i w:val="0"/>
                <w:color w:val="0B0B0B"/>
                <w:sz w:val="17"/>
              </w:rPr>
              <w:t>the return air not carrying the installed load</w:t>
            </w:r>
          </w:p>
        </w:tc>
      </w:tr>
      <w:tr>
        <w:tc>
          <w:tcPr>
            <w:tcW w:type="dxa" w:w="1928"/>
          </w:tcPr>
          <w:p>
            <w:pPr>
              <w:spacing w:after="40"/>
            </w:pPr>
            <w:r>
              <w:rPr>
                <w:b w:val="0"/>
                <w:i w:val="0"/>
                <w:color w:val="0B0B0B"/>
                <w:sz w:val="17"/>
              </w:rPr>
              <w:t>return_path</w:t>
            </w:r>
          </w:p>
        </w:tc>
        <w:tc>
          <w:tcPr>
            <w:tcW w:type="dxa" w:w="3855"/>
          </w:tcPr>
          <w:p>
            <w:pPr>
              <w:spacing w:after="40"/>
            </w:pPr>
            <w:r>
              <w:rPr>
                <w:b w:val="0"/>
                <w:i w:val="0"/>
                <w:color w:val="0CA30C"/>
                <w:sz w:val="17"/>
              </w:rPr>
              <w:t>PASS — nothing heats or cools the air between the rack outlet and the fan intake, so these have to agree: hot_aisle 33.5, plenum 33.2, fan_back 33.3 degC (0.29 K apart)</w:t>
            </w:r>
          </w:p>
        </w:tc>
        <w:tc>
          <w:tcPr>
            <w:tcW w:type="dxa" w:w="3288"/>
          </w:tcPr>
          <w:p>
            <w:pPr>
              <w:spacing w:after="40"/>
            </w:pPr>
            <w:r>
              <w:rPr>
                <w:b w:val="0"/>
                <w:i w:val="0"/>
                <w:color w:val="0B0B0B"/>
                <w:sz w:val="17"/>
              </w:rPr>
              <w:t>a volume still filling — the plenum, usually</w:t>
            </w:r>
          </w:p>
        </w:tc>
      </w:tr>
      <w:tr>
        <w:tc>
          <w:tcPr>
            <w:tcW w:type="dxa" w:w="1928"/>
          </w:tcPr>
          <w:p>
            <w:pPr>
              <w:spacing w:after="40"/>
            </w:pPr>
            <w:r>
              <w:rPr>
                <w:b w:val="0"/>
                <w:i w:val="0"/>
                <w:color w:val="0B0B0B"/>
                <w:sz w:val="17"/>
              </w:rPr>
              <w:t>rack_resistance</w:t>
            </w:r>
          </w:p>
        </w:tc>
        <w:tc>
          <w:tcPr>
            <w:tcW w:type="dxa" w:w="3855"/>
          </w:tcPr>
          <w:p>
            <w:pPr>
              <w:spacing w:after="40"/>
            </w:pPr>
            <w:r>
              <w:rPr>
                <w:b w:val="0"/>
                <w:i w:val="0"/>
                <w:color w:val="0CA30C"/>
                <w:sz w:val="17"/>
              </w:rPr>
              <w:t>PASS — the field drops 29.4 Pa across the rows where the rack curve at 1,458,534 m3/h asks for 28.4 Pa (104%) (rows 29.2 to 30.0 Pa)</w:t>
            </w:r>
          </w:p>
        </w:tc>
        <w:tc>
          <w:tcPr>
            <w:tcW w:type="dxa" w:w="3288"/>
          </w:tcPr>
          <w:p>
            <w:pPr>
              <w:spacing w:after="40"/>
            </w:pPr>
            <w:r>
              <w:rPr>
                <w:b w:val="0"/>
                <w:i w:val="0"/>
                <w:color w:val="0B0B0B"/>
                <w:sz w:val="17"/>
              </w:rPr>
              <w:t>the porous zones not delivering the pressure drop given</w:t>
            </w:r>
          </w:p>
        </w:tc>
      </w:tr>
      <w:tr>
        <w:tc>
          <w:tcPr>
            <w:tcW w:type="dxa" w:w="1928"/>
          </w:tcPr>
          <w:p>
            <w:pPr>
              <w:spacing w:after="40"/>
            </w:pPr>
            <w:r>
              <w:rPr>
                <w:b w:val="0"/>
                <w:i w:val="0"/>
                <w:color w:val="0B0B0B"/>
                <w:sz w:val="17"/>
              </w:rPr>
              <w:t>grille_resistance</w:t>
            </w:r>
          </w:p>
        </w:tc>
        <w:tc>
          <w:tcPr>
            <w:tcW w:type="dxa" w:w="3855"/>
          </w:tcPr>
          <w:p>
            <w:pPr>
              <w:spacing w:after="40"/>
            </w:pPr>
            <w:r>
              <w:rPr>
                <w:b w:val="0"/>
                <w:i w:val="0"/>
                <w:color w:val="0CA30C"/>
                <w:sz w:val="17"/>
              </w:rPr>
              <w:t>PASS — the field drops 8.99 Pa across the return grilles where their K at 1,458,534 m3/h asks for 8.59 Pa (105%)</w:t>
            </w:r>
          </w:p>
        </w:tc>
        <w:tc>
          <w:tcPr>
            <w:tcW w:type="dxa" w:w="3288"/>
          </w:tcPr>
          <w:p>
            <w:pPr>
              <w:spacing w:after="40"/>
            </w:pPr>
            <w:r>
              <w:rPr>
                <w:b w:val="0"/>
                <w:i w:val="0"/>
                <w:color w:val="0B0B0B"/>
                <w:sz w:val="17"/>
              </w:rPr>
              <w:t>the same, for the ceiling grilles</w:t>
            </w:r>
          </w:p>
        </w:tc>
      </w:tr>
      <w:tr>
        <w:tc>
          <w:tcPr>
            <w:tcW w:type="dxa" w:w="1928"/>
          </w:tcPr>
          <w:p>
            <w:pPr>
              <w:spacing w:after="40"/>
            </w:pPr>
            <w:r>
              <w:rPr>
                <w:b w:val="0"/>
                <w:i w:val="0"/>
                <w:color w:val="0B0B0B"/>
                <w:sz w:val="17"/>
              </w:rPr>
              <w:t>fan_capacity</w:t>
            </w:r>
          </w:p>
        </w:tc>
        <w:tc>
          <w:tcPr>
            <w:tcW w:type="dxa" w:w="3855"/>
          </w:tcPr>
          <w:p>
            <w:pPr>
              <w:spacing w:after="40"/>
            </w:pPr>
            <w:r>
              <w:rPr>
                <w:b w:val="0"/>
                <w:i w:val="0"/>
                <w:color w:val="0CA30C"/>
                <w:sz w:val="17"/>
              </w:rPr>
              <w:t>PASS — the most loaded unit (fan5) costs 56.1 Pa, the least 52.8 Pa, and the fan wall's datasheet offers 131 Pa at 104,181 m3/h per unit (43%); uncontrolled at full speed it would run at 128,854 m3/h and 85.9 Pa</w:t>
            </w:r>
          </w:p>
        </w:tc>
        <w:tc>
          <w:tcPr>
            <w:tcW w:type="dxa" w:w="3288"/>
          </w:tcPr>
          <w:p>
            <w:pPr>
              <w:spacing w:after="40"/>
            </w:pPr>
            <w:r>
              <w:rPr>
                <w:b w:val="0"/>
                <w:i w:val="0"/>
                <w:color w:val="0B0B0B"/>
                <w:sz w:val="17"/>
              </w:rPr>
              <w:t>the room costing more than the unit's datasheet offers</w:t>
            </w:r>
          </w:p>
        </w:tc>
      </w:tr>
      <w:tr>
        <w:tc>
          <w:tcPr>
            <w:tcW w:type="dxa" w:w="1928"/>
          </w:tcPr>
          <w:p>
            <w:pPr>
              <w:spacing w:after="40"/>
            </w:pPr>
            <w:r>
              <w:rPr>
                <w:b w:val="0"/>
                <w:i w:val="0"/>
                <w:color w:val="0B0B0B"/>
                <w:sz w:val="17"/>
              </w:rPr>
              <w:t>settled</w:t>
            </w:r>
          </w:p>
        </w:tc>
        <w:tc>
          <w:tcPr>
            <w:tcW w:type="dxa" w:w="3855"/>
          </w:tcPr>
          <w:p>
            <w:pPr>
              <w:spacing w:after="40"/>
            </w:pPr>
            <w:r>
              <w:rPr>
                <w:b w:val="0"/>
                <w:i w:val="0"/>
                <w:color w:val="0CA30C"/>
                <w:sz w:val="17"/>
              </w:rPr>
              <w:t>PASS — the places moved at most 0.00 K since the previous sample (settled below 0.25 K)</w:t>
            </w:r>
          </w:p>
        </w:tc>
        <w:tc>
          <w:tcPr>
            <w:tcW w:type="dxa" w:w="3288"/>
          </w:tcPr>
          <w:p>
            <w:pPr>
              <w:spacing w:after="40"/>
            </w:pPr>
            <w:r>
              <w:rPr>
                <w:b w:val="0"/>
                <w:i w:val="0"/>
                <w:color w:val="0B0B0B"/>
                <w:sz w:val="17"/>
              </w:rPr>
              <w:t>a field still moving between samples</w:t>
            </w:r>
          </w:p>
        </w:tc>
      </w:tr>
      <w:tr>
        <w:tc>
          <w:tcPr>
            <w:tcW w:type="dxa" w:w="1928"/>
          </w:tcPr>
          <w:p>
            <w:pPr>
              <w:spacing w:after="40"/>
            </w:pPr>
            <w:r>
              <w:rPr>
                <w:b w:val="0"/>
                <w:i w:val="0"/>
                <w:color w:val="0B0B0B"/>
                <w:sz w:val="17"/>
              </w:rPr>
              <w:t>ashrae_inlet</w:t>
            </w:r>
          </w:p>
        </w:tc>
        <w:tc>
          <w:tcPr>
            <w:tcW w:type="dxa" w:w="3855"/>
          </w:tcPr>
          <w:p>
            <w:pPr>
              <w:spacing w:after="40"/>
            </w:pPr>
            <w:r>
              <w:rPr>
                <w:b w:val="0"/>
                <w:i w:val="0"/>
                <w:color w:val="0CA30C"/>
                <w:sz w:val="17"/>
              </w:rPr>
              <w:t>PASS — warmest rack inlet 22.4 degC at the top of F5B2-04 -- within ASHRAE recommended (18.0-27.0 degC)</w:t>
            </w:r>
          </w:p>
        </w:tc>
        <w:tc>
          <w:tcPr>
            <w:tcW w:type="dxa" w:w="3288"/>
          </w:tcPr>
          <w:p>
            <w:pPr>
              <w:spacing w:after="40"/>
            </w:pPr>
            <w:r>
              <w:rPr>
                <w:b w:val="0"/>
                <w:i w:val="0"/>
                <w:color w:val="0B0B0B"/>
                <w:sz w:val="17"/>
              </w:rPr>
              <w:t>a rack breathing air above the recommended band</w:t>
            </w:r>
          </w:p>
        </w:tc>
      </w:tr>
      <w:tr>
        <w:tc>
          <w:tcPr>
            <w:tcW w:type="dxa" w:w="1928"/>
          </w:tcPr>
          <w:p>
            <w:pPr>
              <w:spacing w:after="40"/>
            </w:pPr>
            <w:r>
              <w:rPr>
                <w:b w:val="0"/>
                <w:i w:val="0"/>
                <w:color w:val="0B0B0B"/>
                <w:sz w:val="17"/>
              </w:rPr>
              <w:t>plausible_velocity</w:t>
            </w:r>
          </w:p>
        </w:tc>
        <w:tc>
          <w:tcPr>
            <w:tcW w:type="dxa" w:w="3855"/>
          </w:tcPr>
          <w:p>
            <w:pPr>
              <w:spacing w:after="40"/>
            </w:pPr>
            <w:r>
              <w:rPr>
                <w:b w:val="0"/>
                <w:i w:val="0"/>
                <w:color w:val="0CA30C"/>
                <w:sz w:val="17"/>
              </w:rPr>
              <w:t>PASS — peak 5.47 m/s against a plausible 11.99 m/s (peak air 38.4 degC)</w:t>
            </w:r>
          </w:p>
        </w:tc>
        <w:tc>
          <w:tcPr>
            <w:tcW w:type="dxa" w:w="3288"/>
          </w:tcPr>
          <w:p>
            <w:pPr>
              <w:spacing w:after="40"/>
            </w:pPr>
            <w:r>
              <w:rPr>
                <w:b w:val="0"/>
                <w:i w:val="0"/>
                <w:color w:val="0B0B0B"/>
                <w:sz w:val="17"/>
              </w:rPr>
              <w:t>a velocity field no fan or buoyancy could produce</w:t>
            </w:r>
          </w:p>
        </w:tc>
      </w:tr>
    </w:tbl>
    <w:p>
      <w:pPr>
        <w:spacing w:after="120"/>
      </w:pPr>
    </w:p>
    <w:p>
      <w:pPr>
        <w:spacing w:before="240" w:after="80"/>
      </w:pPr>
      <w:r>
        <w:rPr>
          <w:rFonts w:ascii="DejaVu Sans" w:hAnsi="DejaVu Sans"/>
          <w:b/>
          <w:i w:val="0"/>
          <w:color w:val="2F6F6A"/>
          <w:sz w:val="23"/>
        </w:rPr>
        <w:t>3.2  Convergence</w:t>
      </w:r>
    </w:p>
    <w:p>
      <w:pPr>
        <w:jc w:val="center"/>
      </w:pPr>
      <w:r>
        <w:drawing>
          <wp:inline xmlns:a="http://schemas.openxmlformats.org/drawingml/2006/main" xmlns:pic="http://schemas.openxmlformats.org/drawingml/2006/picture">
            <wp:extent cx="5760000" cy="2034112"/>
            <wp:docPr id="1" name="Picture 1"/>
            <wp:cNvGraphicFramePr>
              <a:graphicFrameLocks noChangeAspect="1"/>
            </wp:cNvGraphicFramePr>
            <a:graphic>
              <a:graphicData uri="http://schemas.openxmlformats.org/drawingml/2006/picture">
                <pic:pic>
                  <pic:nvPicPr>
                    <pic:cNvPr id="0" name="convergence.png"/>
                    <pic:cNvPicPr/>
                  </pic:nvPicPr>
                  <pic:blipFill>
                    <a:blip r:embed="rId9"/>
                    <a:stretch>
                      <a:fillRect/>
                    </a:stretch>
                  </pic:blipFill>
                  <pic:spPr>
                    <a:xfrm>
                      <a:off x="0" y="0"/>
                      <a:ext cx="5760000" cy="2034112"/>
                    </a:xfrm>
                    <a:prstGeom prst="rect"/>
                  </pic:spPr>
                </pic:pic>
              </a:graphicData>
            </a:graphic>
          </wp:inline>
        </w:drawing>
      </w:r>
    </w:p>
    <w:p>
      <w:pPr>
        <w:spacing w:after="240"/>
        <w:jc w:val="center"/>
      </w:pPr>
      <w:r>
        <w:rPr>
          <w:b w:val="0"/>
          <w:i w:val="0"/>
          <w:color w:val="898781"/>
          <w:sz w:val="16"/>
        </w:rPr>
        <w:t>Left: initial residuals per iteration. Right: the instrumented places — cold aisle, hot aisle, ceiling plenum and behind the fan walls — recorded while the field settled.</w:t>
      </w:r>
    </w:p>
    <w:p>
      <w:pPr>
        <w:spacing w:before="240" w:after="80"/>
      </w:pPr>
      <w:r>
        <w:rPr>
          <w:rFonts w:ascii="DejaVu Sans" w:hAnsi="DejaVu Sans"/>
          <w:b/>
          <w:i w:val="0"/>
          <w:color w:val="2F6F6A"/>
          <w:sz w:val="23"/>
        </w:rPr>
        <w:t>3.3  Temperature field</w:t>
      </w:r>
    </w:p>
    <w:p>
      <w:pPr>
        <w:spacing w:after="120"/>
      </w:pPr>
      <w:r>
        <w:rPr>
          <w:b w:val="0"/>
          <w:i w:val="0"/>
          <w:color w:val="0B0B0B"/>
          <w:sz w:val="20"/>
        </w:rPr>
        <w:t>All maps share one fixed colour band, 10 °C to 40 °C in 2,5 K contours, with the ASHRAE limits marked on the bar. Fixed rather than fitted to each field: a scale stretched to a field's own extremes answers a different question in every picture.</w:t>
      </w:r>
    </w:p>
    <w:p>
      <w:pPr>
        <w:jc w:val="center"/>
      </w:pPr>
      <w:r>
        <w:drawing>
          <wp:inline xmlns:a="http://schemas.openxmlformats.org/drawingml/2006/main" xmlns:pic="http://schemas.openxmlformats.org/drawingml/2006/picture">
            <wp:extent cx="5760000" cy="4539130"/>
            <wp:docPr id="2" name="Picture 2"/>
            <wp:cNvGraphicFramePr>
              <a:graphicFrameLocks noChangeAspect="1"/>
            </wp:cNvGraphicFramePr>
            <a:graphic>
              <a:graphicData uri="http://schemas.openxmlformats.org/drawingml/2006/picture">
                <pic:pic>
                  <pic:nvPicPr>
                    <pic:cNvPr id="0" name="plan-rack-mid.png"/>
                    <pic:cNvPicPr/>
                  </pic:nvPicPr>
                  <pic:blipFill>
                    <a:blip r:embed="rId10"/>
                    <a:stretch>
                      <a:fillRect/>
                    </a:stretch>
                  </pic:blipFill>
                  <pic:spPr>
                    <a:xfrm>
                      <a:off x="0" y="0"/>
                      <a:ext cx="5760000" cy="4539130"/>
                    </a:xfrm>
                    <a:prstGeom prst="rect"/>
                  </pic:spPr>
                </pic:pic>
              </a:graphicData>
            </a:graphic>
          </wp:inline>
        </w:drawing>
      </w:r>
    </w:p>
    <w:p>
      <w:pPr>
        <w:spacing w:after="240"/>
        <w:jc w:val="center"/>
      </w:pPr>
      <w:r>
        <w:rPr>
          <w:b w:val="0"/>
          <w:i w:val="0"/>
          <w:color w:val="898781"/>
          <w:sz w:val="16"/>
        </w:rPr>
        <w:t>Plan at rack mid-height — the plane that governs the intake condition of the IT equipment. Each outlined rectangle is one rack; the heavy lines are the containment and the dividing walls; the blue bars in the dividing walls are the fan wall units.</w:t>
      </w:r>
    </w:p>
    <w:p>
      <w:pPr>
        <w:jc w:val="center"/>
      </w:pPr>
      <w:r>
        <w:drawing>
          <wp:inline xmlns:a="http://schemas.openxmlformats.org/drawingml/2006/main" xmlns:pic="http://schemas.openxmlformats.org/drawingml/2006/picture">
            <wp:extent cx="5760000" cy="4539130"/>
            <wp:docPr id="3" name="Picture 3"/>
            <wp:cNvGraphicFramePr>
              <a:graphicFrameLocks noChangeAspect="1"/>
            </wp:cNvGraphicFramePr>
            <a:graphic>
              <a:graphicData uri="http://schemas.openxmlformats.org/drawingml/2006/picture">
                <pic:pic>
                  <pic:nvPicPr>
                    <pic:cNvPr id="0" name="plan-rack-top.png"/>
                    <pic:cNvPicPr/>
                  </pic:nvPicPr>
                  <pic:blipFill>
                    <a:blip r:embed="rId11"/>
                    <a:stretch>
                      <a:fillRect/>
                    </a:stretch>
                  </pic:blipFill>
                  <pic:spPr>
                    <a:xfrm>
                      <a:off x="0" y="0"/>
                      <a:ext cx="5760000" cy="4539130"/>
                    </a:xfrm>
                    <a:prstGeom prst="rect"/>
                  </pic:spPr>
                </pic:pic>
              </a:graphicData>
            </a:graphic>
          </wp:inline>
        </w:drawing>
      </w:r>
    </w:p>
    <w:p>
      <w:pPr>
        <w:spacing w:after="240"/>
        <w:jc w:val="center"/>
      </w:pPr>
      <w:r>
        <w:rPr>
          <w:b w:val="0"/>
          <w:i w:val="0"/>
          <w:color w:val="898781"/>
          <w:sz w:val="16"/>
        </w:rPr>
        <w:t>Plan just below the top of the racks, at the mouth of the contained hot aisles — where recirculating or leaking air arrives first.</w:t>
      </w:r>
    </w:p>
    <w:p>
      <w:pPr>
        <w:jc w:val="center"/>
      </w:pPr>
      <w:r>
        <w:drawing>
          <wp:inline xmlns:a="http://schemas.openxmlformats.org/drawingml/2006/main" xmlns:pic="http://schemas.openxmlformats.org/drawingml/2006/picture">
            <wp:extent cx="5760000" cy="4539130"/>
            <wp:docPr id="4" name="Picture 4"/>
            <wp:cNvGraphicFramePr>
              <a:graphicFrameLocks noChangeAspect="1"/>
            </wp:cNvGraphicFramePr>
            <a:graphic>
              <a:graphicData uri="http://schemas.openxmlformats.org/drawingml/2006/picture">
                <pic:pic>
                  <pic:nvPicPr>
                    <pic:cNvPr id="0" name="plan-plenum.png"/>
                    <pic:cNvPicPr/>
                  </pic:nvPicPr>
                  <pic:blipFill>
                    <a:blip r:embed="rId12"/>
                    <a:stretch>
                      <a:fillRect/>
                    </a:stretch>
                  </pic:blipFill>
                  <pic:spPr>
                    <a:xfrm>
                      <a:off x="0" y="0"/>
                      <a:ext cx="5760000" cy="4539130"/>
                    </a:xfrm>
                    <a:prstGeom prst="rect"/>
                  </pic:spPr>
                </pic:pic>
              </a:graphicData>
            </a:graphic>
          </wp:inline>
        </w:drawing>
      </w:r>
    </w:p>
    <w:p>
      <w:pPr>
        <w:spacing w:after="240"/>
        <w:jc w:val="center"/>
      </w:pPr>
      <w:r>
        <w:rPr>
          <w:b w:val="0"/>
          <w:i w:val="0"/>
          <w:color w:val="898781"/>
          <w:sz w:val="16"/>
        </w:rPr>
        <w:t>Plan inside the return plenum, above the false ceiling. One volume across the whole hall, feeding every gallery.</w:t>
      </w:r>
    </w:p>
    <w:p>
      <w:pPr>
        <w:jc w:val="center"/>
      </w:pPr>
      <w:r>
        <w:drawing>
          <wp:inline xmlns:a="http://schemas.openxmlformats.org/drawingml/2006/main" xmlns:pic="http://schemas.openxmlformats.org/drawingml/2006/picture">
            <wp:extent cx="5760000" cy="2356181"/>
            <wp:docPr id="5" name="Picture 5"/>
            <wp:cNvGraphicFramePr>
              <a:graphicFrameLocks noChangeAspect="1"/>
            </wp:cNvGraphicFramePr>
            <a:graphic>
              <a:graphicData uri="http://schemas.openxmlformats.org/drawingml/2006/picture">
                <pic:pic>
                  <pic:nvPicPr>
                    <pic:cNvPr id="0" name="section-across.png"/>
                    <pic:cNvPicPr/>
                  </pic:nvPicPr>
                  <pic:blipFill>
                    <a:blip r:embed="rId13"/>
                    <a:stretch>
                      <a:fillRect/>
                    </a:stretch>
                  </pic:blipFill>
                  <pic:spPr>
                    <a:xfrm>
                      <a:off x="0" y="0"/>
                      <a:ext cx="5760000" cy="2356181"/>
                    </a:xfrm>
                    <a:prstGeom prst="rect"/>
                  </pic:spPr>
                </pic:pic>
              </a:graphicData>
            </a:graphic>
          </wp:inline>
        </w:drawing>
      </w:r>
    </w:p>
    <w:p>
      <w:pPr>
        <w:spacing w:after="240"/>
        <w:jc w:val="center"/>
      </w:pPr>
      <w:r>
        <w:rPr>
          <w:b w:val="0"/>
          <w:i w:val="0"/>
          <w:color w:val="898781"/>
          <w:sz w:val="16"/>
        </w:rPr>
        <w:t>Section across the hall, through a rack block: cold aisle, rack row, contained hot aisle and the chimney up to the false ceiling.</w:t>
      </w:r>
    </w:p>
    <w:p>
      <w:pPr>
        <w:jc w:val="center"/>
      </w:pPr>
      <w:r>
        <w:drawing>
          <wp:inline xmlns:a="http://schemas.openxmlformats.org/drawingml/2006/main" xmlns:pic="http://schemas.openxmlformats.org/drawingml/2006/picture">
            <wp:extent cx="5760000" cy="1960435"/>
            <wp:docPr id="6" name="Picture 6"/>
            <wp:cNvGraphicFramePr>
              <a:graphicFrameLocks noChangeAspect="1"/>
            </wp:cNvGraphicFramePr>
            <a:graphic>
              <a:graphicData uri="http://schemas.openxmlformats.org/drawingml/2006/picture">
                <pic:pic>
                  <pic:nvPicPr>
                    <pic:cNvPr id="0" name="section-along-cold.png"/>
                    <pic:cNvPicPr/>
                  </pic:nvPicPr>
                  <pic:blipFill>
                    <a:blip r:embed="rId14"/>
                    <a:stretch>
                      <a:fillRect/>
                    </a:stretch>
                  </pic:blipFill>
                  <pic:spPr>
                    <a:xfrm>
                      <a:off x="0" y="0"/>
                      <a:ext cx="5760000" cy="1960435"/>
                    </a:xfrm>
                    <a:prstGeom prst="rect"/>
                  </pic:spPr>
                </pic:pic>
              </a:graphicData>
            </a:graphic>
          </wp:inline>
        </w:drawing>
      </w:r>
    </w:p>
    <w:p>
      <w:pPr>
        <w:spacing w:after="240"/>
        <w:jc w:val="center"/>
      </w:pPr>
      <w:r>
        <w:rPr>
          <w:b w:val="0"/>
          <w:i w:val="0"/>
          <w:color w:val="898781"/>
          <w:sz w:val="16"/>
        </w:rPr>
        <w:t>Section along the hall, through a cold aisle: the supply air leaving the units, the length it has to travel, and the mechanical gallery behind each dividing wall.</w:t>
      </w:r>
    </w:p>
    <w:p>
      <w:pPr>
        <w:jc w:val="center"/>
      </w:pPr>
      <w:r>
        <w:drawing>
          <wp:inline xmlns:a="http://schemas.openxmlformats.org/drawingml/2006/main" xmlns:pic="http://schemas.openxmlformats.org/drawingml/2006/picture">
            <wp:extent cx="5760000" cy="1960435"/>
            <wp:docPr id="7" name="Picture 7"/>
            <wp:cNvGraphicFramePr>
              <a:graphicFrameLocks noChangeAspect="1"/>
            </wp:cNvGraphicFramePr>
            <a:graphic>
              <a:graphicData uri="http://schemas.openxmlformats.org/drawingml/2006/picture">
                <pic:pic>
                  <pic:nvPicPr>
                    <pic:cNvPr id="0" name="section-along-hot.png"/>
                    <pic:cNvPicPr/>
                  </pic:nvPicPr>
                  <pic:blipFill>
                    <a:blip r:embed="rId15"/>
                    <a:stretch>
                      <a:fillRect/>
                    </a:stretch>
                  </pic:blipFill>
                  <pic:spPr>
                    <a:xfrm>
                      <a:off x="0" y="0"/>
                      <a:ext cx="5760000" cy="1960435"/>
                    </a:xfrm>
                    <a:prstGeom prst="rect"/>
                  </pic:spPr>
                </pic:pic>
              </a:graphicData>
            </a:graphic>
          </wp:inline>
        </w:drawing>
      </w:r>
    </w:p>
    <w:p>
      <w:pPr>
        <w:spacing w:after="240"/>
        <w:jc w:val="center"/>
      </w:pPr>
      <w:r>
        <w:rPr>
          <w:b w:val="0"/>
          <w:i w:val="0"/>
          <w:color w:val="898781"/>
          <w:sz w:val="16"/>
        </w:rPr>
        <w:t>The same section through a contained hot aisle. The containment is doing its job when this plane is hot from floor to ceiling and the one above is not — the cold plane is where a containment leak shows first.</w:t>
      </w:r>
    </w:p>
    <w:p>
      <w:pPr>
        <w:spacing w:before="240" w:after="80"/>
      </w:pPr>
      <w:r>
        <w:rPr>
          <w:rFonts w:ascii="DejaVu Sans" w:hAnsi="DejaVu Sans"/>
          <w:b/>
          <w:i w:val="0"/>
          <w:color w:val="2F6F6A"/>
          <w:sz w:val="23"/>
        </w:rPr>
        <w:t>3.4  Rack intake temperature</w:t>
      </w:r>
    </w:p>
    <w:p>
      <w:pPr>
        <w:jc w:val="center"/>
      </w:pPr>
      <w:r>
        <w:drawing>
          <wp:inline xmlns:a="http://schemas.openxmlformats.org/drawingml/2006/main" xmlns:pic="http://schemas.openxmlformats.org/drawingml/2006/picture">
            <wp:extent cx="5760000" cy="4500000"/>
            <wp:docPr id="8" name="Picture 8"/>
            <wp:cNvGraphicFramePr>
              <a:graphicFrameLocks noChangeAspect="1"/>
            </wp:cNvGraphicFramePr>
            <a:graphic>
              <a:graphicData uri="http://schemas.openxmlformats.org/drawingml/2006/picture">
                <pic:pic>
                  <pic:nvPicPr>
                    <pic:cNvPr id="0" name="rack-intake.png"/>
                    <pic:cNvPicPr/>
                  </pic:nvPicPr>
                  <pic:blipFill>
                    <a:blip r:embed="rId16"/>
                    <a:stretch>
                      <a:fillRect/>
                    </a:stretch>
                  </pic:blipFill>
                  <pic:spPr>
                    <a:xfrm>
                      <a:off x="0" y="0"/>
                      <a:ext cx="5760000" cy="4500000"/>
                    </a:xfrm>
                    <a:prstGeom prst="rect"/>
                  </pic:spPr>
                </pic:pic>
              </a:graphicData>
            </a:graphic>
          </wp:inline>
        </w:drawing>
      </w:r>
    </w:p>
    <w:p>
      <w:pPr>
        <w:spacing w:after="240"/>
        <w:jc w:val="center"/>
      </w:pPr>
      <w:r>
        <w:rPr>
          <w:b w:val="0"/>
          <w:i w:val="0"/>
          <w:color w:val="898781"/>
          <w:sz w:val="16"/>
        </w:rPr>
        <w:t>Every rack coloured by the temperature of the air it breathes, measured at the top of the rack. The scale here is FITTED to this hall, not the fixed band used for the field maps above: on the fixed band every rack in a healthy hall falls inside one 2,5 K step, which says they are all acceptable and nothing about which is worst. Read this figure for the ranking and the figure below for the absolute judgement.</w:t>
      </w:r>
    </w:p>
    <w:tbl>
      <w:tblPr>
        <w:tblStyle w:val="TableGrid"/>
        <w:tblW w:type="auto" w:w="0"/>
        <w:tblLook w:firstColumn="1" w:firstRow="1" w:lastColumn="0" w:lastRow="0" w:noHBand="0" w:noVBand="1" w:val="04A0"/>
      </w:tblPr>
      <w:tblGrid>
        <w:gridCol w:w="1360"/>
        <w:gridCol w:w="1360"/>
        <w:gridCol w:w="1360"/>
        <w:gridCol w:w="1360"/>
        <w:gridCol w:w="1360"/>
        <w:gridCol w:w="1360"/>
        <w:gridCol w:w="1360"/>
      </w:tblGrid>
      <w:tr>
        <w:tc>
          <w:tcPr>
            <w:tcW w:type="dxa" w:w="1360"/>
            <w:shd w:val="clear" w:fill="2F6F6A"/>
          </w:tcPr>
          <w:p>
            <w:pPr>
              <w:spacing w:after="40"/>
            </w:pPr>
            <w:r>
              <w:rPr>
                <w:b/>
                <w:i w:val="0"/>
                <w:color w:val="FFFFFF"/>
                <w:sz w:val="17"/>
              </w:rPr>
              <w:t>Rack</w:t>
            </w:r>
          </w:p>
        </w:tc>
        <w:tc>
          <w:tcPr>
            <w:tcW w:type="dxa" w:w="1360"/>
            <w:shd w:val="clear" w:fill="2F6F6A"/>
          </w:tcPr>
          <w:p>
            <w:pPr>
              <w:spacing w:after="40"/>
            </w:pPr>
            <w:r>
              <w:rPr>
                <w:b/>
                <w:i w:val="0"/>
                <w:color w:val="FFFFFF"/>
                <w:sz w:val="17"/>
              </w:rPr>
              <w:t>Row</w:t>
            </w:r>
          </w:p>
        </w:tc>
        <w:tc>
          <w:tcPr>
            <w:tcW w:type="dxa" w:w="1360"/>
            <w:shd w:val="clear" w:fill="2F6F6A"/>
          </w:tcPr>
          <w:p>
            <w:pPr>
              <w:spacing w:after="40"/>
            </w:pPr>
            <w:r>
              <w:rPr>
                <w:b/>
                <w:i w:val="0"/>
                <w:color w:val="FFFFFF"/>
                <w:sz w:val="17"/>
              </w:rPr>
              <w:t>Intake, top of rack</w:t>
            </w:r>
          </w:p>
        </w:tc>
        <w:tc>
          <w:tcPr>
            <w:tcW w:type="dxa" w:w="1360"/>
            <w:shd w:val="clear" w:fill="2F6F6A"/>
          </w:tcPr>
          <w:p>
            <w:pPr>
              <w:spacing w:after="40"/>
            </w:pPr>
            <w:r>
              <w:rPr>
                <w:b/>
                <w:i w:val="0"/>
                <w:color w:val="FFFFFF"/>
                <w:sz w:val="17"/>
              </w:rPr>
              <w:t>Intake, face mean</w:t>
            </w:r>
          </w:p>
        </w:tc>
        <w:tc>
          <w:tcPr>
            <w:tcW w:type="dxa" w:w="1360"/>
            <w:shd w:val="clear" w:fill="2F6F6A"/>
          </w:tcPr>
          <w:p>
            <w:pPr>
              <w:spacing w:after="40"/>
            </w:pPr>
            <w:r>
              <w:rPr>
                <w:b/>
                <w:i w:val="0"/>
                <w:color w:val="FFFFFF"/>
                <w:sz w:val="17"/>
              </w:rPr>
              <w:t>Exhaust</w:t>
            </w:r>
          </w:p>
        </w:tc>
        <w:tc>
          <w:tcPr>
            <w:tcW w:type="dxa" w:w="1360"/>
            <w:shd w:val="clear" w:fill="2F6F6A"/>
          </w:tcPr>
          <w:p>
            <w:pPr>
              <w:spacing w:after="40"/>
            </w:pPr>
            <w:r>
              <w:rPr>
                <w:b/>
                <w:i w:val="0"/>
                <w:color w:val="FFFFFF"/>
                <w:sz w:val="17"/>
              </w:rPr>
              <w:t>Rise</w:t>
            </w:r>
          </w:p>
        </w:tc>
        <w:tc>
          <w:tcPr>
            <w:tcW w:type="dxa" w:w="1360"/>
            <w:shd w:val="clear" w:fill="2F6F6A"/>
          </w:tcPr>
          <w:p>
            <w:pPr>
              <w:spacing w:after="40"/>
            </w:pPr>
            <w:r>
              <w:rPr>
                <w:b/>
                <w:i w:val="0"/>
                <w:color w:val="FFFFFF"/>
                <w:sz w:val="17"/>
              </w:rPr>
              <w:t>ASHRAE</w:t>
            </w:r>
          </w:p>
        </w:tc>
      </w:tr>
      <w:tr>
        <w:tc>
          <w:tcPr>
            <w:tcW w:type="dxa" w:w="1360"/>
          </w:tcPr>
          <w:p>
            <w:pPr>
              <w:spacing w:after="40"/>
            </w:pPr>
            <w:r>
              <w:rPr>
                <w:b w:val="0"/>
                <w:i w:val="0"/>
                <w:color w:val="0B0B0B"/>
                <w:sz w:val="17"/>
              </w:rPr>
              <w:t>F5B2-04</w:t>
            </w:r>
          </w:p>
        </w:tc>
        <w:tc>
          <w:tcPr>
            <w:tcW w:type="dxa" w:w="1360"/>
          </w:tcPr>
          <w:p>
            <w:pPr>
              <w:spacing w:after="40"/>
            </w:pPr>
            <w:r>
              <w:rPr>
                <w:b w:val="0"/>
                <w:i w:val="0"/>
                <w:color w:val="0B0B0B"/>
                <w:sz w:val="17"/>
              </w:rPr>
              <w:t>F5B2</w:t>
            </w:r>
          </w:p>
        </w:tc>
        <w:tc>
          <w:tcPr>
            <w:tcW w:type="dxa" w:w="1360"/>
          </w:tcPr>
          <w:p>
            <w:pPr>
              <w:spacing w:after="40"/>
            </w:pPr>
            <w:r>
              <w:rPr>
                <w:b w:val="0"/>
                <w:i w:val="0"/>
                <w:color w:val="0B0B0B"/>
                <w:sz w:val="17"/>
              </w:rPr>
              <w:t>22.43 °C</w:t>
            </w:r>
          </w:p>
        </w:tc>
        <w:tc>
          <w:tcPr>
            <w:tcW w:type="dxa" w:w="1360"/>
          </w:tcPr>
          <w:p>
            <w:pPr>
              <w:spacing w:after="40"/>
            </w:pPr>
            <w:r>
              <w:rPr>
                <w:b w:val="0"/>
                <w:i w:val="0"/>
                <w:color w:val="0B0B0B"/>
                <w:sz w:val="17"/>
              </w:rPr>
              <w:t>23.18 °C</w:t>
            </w:r>
          </w:p>
        </w:tc>
        <w:tc>
          <w:tcPr>
            <w:tcW w:type="dxa" w:w="1360"/>
          </w:tcPr>
          <w:p>
            <w:pPr>
              <w:spacing w:after="40"/>
            </w:pPr>
            <w:r>
              <w:rPr>
                <w:b w:val="0"/>
                <w:i w:val="0"/>
                <w:color w:val="0B0B0B"/>
                <w:sz w:val="17"/>
              </w:rPr>
              <w:t>33.73 °C</w:t>
            </w:r>
          </w:p>
        </w:tc>
        <w:tc>
          <w:tcPr>
            <w:tcW w:type="dxa" w:w="1360"/>
          </w:tcPr>
          <w:p>
            <w:pPr>
              <w:spacing w:after="40"/>
            </w:pPr>
            <w:r>
              <w:rPr>
                <w:b w:val="0"/>
                <w:i w:val="0"/>
                <w:color w:val="0B0B0B"/>
                <w:sz w:val="17"/>
              </w:rPr>
              <w:t>10.55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F5B2-03</w:t>
            </w:r>
          </w:p>
        </w:tc>
        <w:tc>
          <w:tcPr>
            <w:tcW w:type="dxa" w:w="1360"/>
          </w:tcPr>
          <w:p>
            <w:pPr>
              <w:spacing w:after="40"/>
            </w:pPr>
            <w:r>
              <w:rPr>
                <w:b w:val="0"/>
                <w:i w:val="0"/>
                <w:color w:val="0B0B0B"/>
                <w:sz w:val="17"/>
              </w:rPr>
              <w:t>F5B2</w:t>
            </w:r>
          </w:p>
        </w:tc>
        <w:tc>
          <w:tcPr>
            <w:tcW w:type="dxa" w:w="1360"/>
          </w:tcPr>
          <w:p>
            <w:pPr>
              <w:spacing w:after="40"/>
            </w:pPr>
            <w:r>
              <w:rPr>
                <w:b w:val="0"/>
                <w:i w:val="0"/>
                <w:color w:val="0B0B0B"/>
                <w:sz w:val="17"/>
              </w:rPr>
              <w:t>22.41 °C</w:t>
            </w:r>
          </w:p>
        </w:tc>
        <w:tc>
          <w:tcPr>
            <w:tcW w:type="dxa" w:w="1360"/>
          </w:tcPr>
          <w:p>
            <w:pPr>
              <w:spacing w:after="40"/>
            </w:pPr>
            <w:r>
              <w:rPr>
                <w:b w:val="0"/>
                <w:i w:val="0"/>
                <w:color w:val="0B0B0B"/>
                <w:sz w:val="17"/>
              </w:rPr>
              <w:t>23.01 °C</w:t>
            </w:r>
          </w:p>
        </w:tc>
        <w:tc>
          <w:tcPr>
            <w:tcW w:type="dxa" w:w="1360"/>
          </w:tcPr>
          <w:p>
            <w:pPr>
              <w:spacing w:after="40"/>
            </w:pPr>
            <w:r>
              <w:rPr>
                <w:b w:val="0"/>
                <w:i w:val="0"/>
                <w:color w:val="0B0B0B"/>
                <w:sz w:val="17"/>
              </w:rPr>
              <w:t>33.67 °C</w:t>
            </w:r>
          </w:p>
        </w:tc>
        <w:tc>
          <w:tcPr>
            <w:tcW w:type="dxa" w:w="1360"/>
          </w:tcPr>
          <w:p>
            <w:pPr>
              <w:spacing w:after="40"/>
            </w:pPr>
            <w:r>
              <w:rPr>
                <w:b w:val="0"/>
                <w:i w:val="0"/>
                <w:color w:val="0B0B0B"/>
                <w:sz w:val="17"/>
              </w:rPr>
              <w:t>10.66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F5B2-05</w:t>
            </w:r>
          </w:p>
        </w:tc>
        <w:tc>
          <w:tcPr>
            <w:tcW w:type="dxa" w:w="1360"/>
          </w:tcPr>
          <w:p>
            <w:pPr>
              <w:spacing w:after="40"/>
            </w:pPr>
            <w:r>
              <w:rPr>
                <w:b w:val="0"/>
                <w:i w:val="0"/>
                <w:color w:val="0B0B0B"/>
                <w:sz w:val="17"/>
              </w:rPr>
              <w:t>F5B2</w:t>
            </w:r>
          </w:p>
        </w:tc>
        <w:tc>
          <w:tcPr>
            <w:tcW w:type="dxa" w:w="1360"/>
          </w:tcPr>
          <w:p>
            <w:pPr>
              <w:spacing w:after="40"/>
            </w:pPr>
            <w:r>
              <w:rPr>
                <w:b w:val="0"/>
                <w:i w:val="0"/>
                <w:color w:val="0B0B0B"/>
                <w:sz w:val="17"/>
              </w:rPr>
              <w:t>22.40 °C</w:t>
            </w:r>
          </w:p>
        </w:tc>
        <w:tc>
          <w:tcPr>
            <w:tcW w:type="dxa" w:w="1360"/>
          </w:tcPr>
          <w:p>
            <w:pPr>
              <w:spacing w:after="40"/>
            </w:pPr>
            <w:r>
              <w:rPr>
                <w:b w:val="0"/>
                <w:i w:val="0"/>
                <w:color w:val="0B0B0B"/>
                <w:sz w:val="17"/>
              </w:rPr>
              <w:t>23.21 °C</w:t>
            </w:r>
          </w:p>
        </w:tc>
        <w:tc>
          <w:tcPr>
            <w:tcW w:type="dxa" w:w="1360"/>
          </w:tcPr>
          <w:p>
            <w:pPr>
              <w:spacing w:after="40"/>
            </w:pPr>
            <w:r>
              <w:rPr>
                <w:b w:val="0"/>
                <w:i w:val="0"/>
                <w:color w:val="0B0B0B"/>
                <w:sz w:val="17"/>
              </w:rPr>
              <w:t>33.73 °C</w:t>
            </w:r>
          </w:p>
        </w:tc>
        <w:tc>
          <w:tcPr>
            <w:tcW w:type="dxa" w:w="1360"/>
          </w:tcPr>
          <w:p>
            <w:pPr>
              <w:spacing w:after="40"/>
            </w:pPr>
            <w:r>
              <w:rPr>
                <w:b w:val="0"/>
                <w:i w:val="0"/>
                <w:color w:val="0B0B0B"/>
                <w:sz w:val="17"/>
              </w:rPr>
              <w:t>10.52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F6B1-20</w:t>
            </w:r>
          </w:p>
        </w:tc>
        <w:tc>
          <w:tcPr>
            <w:tcW w:type="dxa" w:w="1360"/>
          </w:tcPr>
          <w:p>
            <w:pPr>
              <w:spacing w:after="40"/>
            </w:pPr>
            <w:r>
              <w:rPr>
                <w:b w:val="0"/>
                <w:i w:val="0"/>
                <w:color w:val="0B0B0B"/>
                <w:sz w:val="17"/>
              </w:rPr>
              <w:t>F6B1</w:t>
            </w:r>
          </w:p>
        </w:tc>
        <w:tc>
          <w:tcPr>
            <w:tcW w:type="dxa" w:w="1360"/>
          </w:tcPr>
          <w:p>
            <w:pPr>
              <w:spacing w:after="40"/>
            </w:pPr>
            <w:r>
              <w:rPr>
                <w:b w:val="0"/>
                <w:i w:val="0"/>
                <w:color w:val="0B0B0B"/>
                <w:sz w:val="17"/>
              </w:rPr>
              <w:t>22.38 °C</w:t>
            </w:r>
          </w:p>
        </w:tc>
        <w:tc>
          <w:tcPr>
            <w:tcW w:type="dxa" w:w="1360"/>
          </w:tcPr>
          <w:p>
            <w:pPr>
              <w:spacing w:after="40"/>
            </w:pPr>
            <w:r>
              <w:rPr>
                <w:b w:val="0"/>
                <w:i w:val="0"/>
                <w:color w:val="0B0B0B"/>
                <w:sz w:val="17"/>
              </w:rPr>
              <w:t>23.06 °C</w:t>
            </w:r>
          </w:p>
        </w:tc>
        <w:tc>
          <w:tcPr>
            <w:tcW w:type="dxa" w:w="1360"/>
          </w:tcPr>
          <w:p>
            <w:pPr>
              <w:spacing w:after="40"/>
            </w:pPr>
            <w:r>
              <w:rPr>
                <w:b w:val="0"/>
                <w:i w:val="0"/>
                <w:color w:val="0B0B0B"/>
                <w:sz w:val="17"/>
              </w:rPr>
              <w:t>33.70 °C</w:t>
            </w:r>
          </w:p>
        </w:tc>
        <w:tc>
          <w:tcPr>
            <w:tcW w:type="dxa" w:w="1360"/>
          </w:tcPr>
          <w:p>
            <w:pPr>
              <w:spacing w:after="40"/>
            </w:pPr>
            <w:r>
              <w:rPr>
                <w:b w:val="0"/>
                <w:i w:val="0"/>
                <w:color w:val="0B0B0B"/>
                <w:sz w:val="17"/>
              </w:rPr>
              <w:t>10.64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F3B1-15</w:t>
            </w:r>
          </w:p>
        </w:tc>
        <w:tc>
          <w:tcPr>
            <w:tcW w:type="dxa" w:w="1360"/>
          </w:tcPr>
          <w:p>
            <w:pPr>
              <w:spacing w:after="40"/>
            </w:pPr>
            <w:r>
              <w:rPr>
                <w:b w:val="0"/>
                <w:i w:val="0"/>
                <w:color w:val="0B0B0B"/>
                <w:sz w:val="17"/>
              </w:rPr>
              <w:t>F3B1</w:t>
            </w:r>
          </w:p>
        </w:tc>
        <w:tc>
          <w:tcPr>
            <w:tcW w:type="dxa" w:w="1360"/>
          </w:tcPr>
          <w:p>
            <w:pPr>
              <w:spacing w:after="40"/>
            </w:pPr>
            <w:r>
              <w:rPr>
                <w:b w:val="0"/>
                <w:i w:val="0"/>
                <w:color w:val="0B0B0B"/>
                <w:sz w:val="17"/>
              </w:rPr>
              <w:t>22.37 °C</w:t>
            </w:r>
          </w:p>
        </w:tc>
        <w:tc>
          <w:tcPr>
            <w:tcW w:type="dxa" w:w="1360"/>
          </w:tcPr>
          <w:p>
            <w:pPr>
              <w:spacing w:after="40"/>
            </w:pPr>
            <w:r>
              <w:rPr>
                <w:b w:val="0"/>
                <w:i w:val="0"/>
                <w:color w:val="0B0B0B"/>
                <w:sz w:val="17"/>
              </w:rPr>
              <w:t>23.11 °C</w:t>
            </w:r>
          </w:p>
        </w:tc>
        <w:tc>
          <w:tcPr>
            <w:tcW w:type="dxa" w:w="1360"/>
          </w:tcPr>
          <w:p>
            <w:pPr>
              <w:spacing w:after="40"/>
            </w:pPr>
            <w:r>
              <w:rPr>
                <w:b w:val="0"/>
                <w:i w:val="0"/>
                <w:color w:val="0B0B0B"/>
                <w:sz w:val="17"/>
              </w:rPr>
              <w:t>33.61 °C</w:t>
            </w:r>
          </w:p>
        </w:tc>
        <w:tc>
          <w:tcPr>
            <w:tcW w:type="dxa" w:w="1360"/>
          </w:tcPr>
          <w:p>
            <w:pPr>
              <w:spacing w:after="40"/>
            </w:pPr>
            <w:r>
              <w:rPr>
                <w:b w:val="0"/>
                <w:i w:val="0"/>
                <w:color w:val="0B0B0B"/>
                <w:sz w:val="17"/>
              </w:rPr>
              <w:t>10.50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F3B1-16</w:t>
            </w:r>
          </w:p>
        </w:tc>
        <w:tc>
          <w:tcPr>
            <w:tcW w:type="dxa" w:w="1360"/>
          </w:tcPr>
          <w:p>
            <w:pPr>
              <w:spacing w:after="40"/>
            </w:pPr>
            <w:r>
              <w:rPr>
                <w:b w:val="0"/>
                <w:i w:val="0"/>
                <w:color w:val="0B0B0B"/>
                <w:sz w:val="17"/>
              </w:rPr>
              <w:t>F3B1</w:t>
            </w:r>
          </w:p>
        </w:tc>
        <w:tc>
          <w:tcPr>
            <w:tcW w:type="dxa" w:w="1360"/>
          </w:tcPr>
          <w:p>
            <w:pPr>
              <w:spacing w:after="40"/>
            </w:pPr>
            <w:r>
              <w:rPr>
                <w:b w:val="0"/>
                <w:i w:val="0"/>
                <w:color w:val="0B0B0B"/>
                <w:sz w:val="17"/>
              </w:rPr>
              <w:t>22.37 °C</w:t>
            </w:r>
          </w:p>
        </w:tc>
        <w:tc>
          <w:tcPr>
            <w:tcW w:type="dxa" w:w="1360"/>
          </w:tcPr>
          <w:p>
            <w:pPr>
              <w:spacing w:after="40"/>
            </w:pPr>
            <w:r>
              <w:rPr>
                <w:b w:val="0"/>
                <w:i w:val="0"/>
                <w:color w:val="0B0B0B"/>
                <w:sz w:val="17"/>
              </w:rPr>
              <w:t>23.15 °C</w:t>
            </w:r>
          </w:p>
        </w:tc>
        <w:tc>
          <w:tcPr>
            <w:tcW w:type="dxa" w:w="1360"/>
          </w:tcPr>
          <w:p>
            <w:pPr>
              <w:spacing w:after="40"/>
            </w:pPr>
            <w:r>
              <w:rPr>
                <w:b w:val="0"/>
                <w:i w:val="0"/>
                <w:color w:val="0B0B0B"/>
                <w:sz w:val="17"/>
              </w:rPr>
              <w:t>33.64 °C</w:t>
            </w:r>
          </w:p>
        </w:tc>
        <w:tc>
          <w:tcPr>
            <w:tcW w:type="dxa" w:w="1360"/>
          </w:tcPr>
          <w:p>
            <w:pPr>
              <w:spacing w:after="40"/>
            </w:pPr>
            <w:r>
              <w:rPr>
                <w:b w:val="0"/>
                <w:i w:val="0"/>
                <w:color w:val="0B0B0B"/>
                <w:sz w:val="17"/>
              </w:rPr>
              <w:t>10.49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F6B1-21</w:t>
            </w:r>
          </w:p>
        </w:tc>
        <w:tc>
          <w:tcPr>
            <w:tcW w:type="dxa" w:w="1360"/>
          </w:tcPr>
          <w:p>
            <w:pPr>
              <w:spacing w:after="40"/>
            </w:pPr>
            <w:r>
              <w:rPr>
                <w:b w:val="0"/>
                <w:i w:val="0"/>
                <w:color w:val="0B0B0B"/>
                <w:sz w:val="17"/>
              </w:rPr>
              <w:t>F6B1</w:t>
            </w:r>
          </w:p>
        </w:tc>
        <w:tc>
          <w:tcPr>
            <w:tcW w:type="dxa" w:w="1360"/>
          </w:tcPr>
          <w:p>
            <w:pPr>
              <w:spacing w:after="40"/>
            </w:pPr>
            <w:r>
              <w:rPr>
                <w:b w:val="0"/>
                <w:i w:val="0"/>
                <w:color w:val="0B0B0B"/>
                <w:sz w:val="17"/>
              </w:rPr>
              <w:t>22.36 °C</w:t>
            </w:r>
          </w:p>
        </w:tc>
        <w:tc>
          <w:tcPr>
            <w:tcW w:type="dxa" w:w="1360"/>
          </w:tcPr>
          <w:p>
            <w:pPr>
              <w:spacing w:after="40"/>
            </w:pPr>
            <w:r>
              <w:rPr>
                <w:b w:val="0"/>
                <w:i w:val="0"/>
                <w:color w:val="0B0B0B"/>
                <w:sz w:val="17"/>
              </w:rPr>
              <w:t>22.86 °C</w:t>
            </w:r>
          </w:p>
        </w:tc>
        <w:tc>
          <w:tcPr>
            <w:tcW w:type="dxa" w:w="1360"/>
          </w:tcPr>
          <w:p>
            <w:pPr>
              <w:spacing w:after="40"/>
            </w:pPr>
            <w:r>
              <w:rPr>
                <w:b w:val="0"/>
                <w:i w:val="0"/>
                <w:color w:val="0B0B0B"/>
                <w:sz w:val="17"/>
              </w:rPr>
              <w:t>33.64 °C</w:t>
            </w:r>
          </w:p>
        </w:tc>
        <w:tc>
          <w:tcPr>
            <w:tcW w:type="dxa" w:w="1360"/>
          </w:tcPr>
          <w:p>
            <w:pPr>
              <w:spacing w:after="40"/>
            </w:pPr>
            <w:r>
              <w:rPr>
                <w:b w:val="0"/>
                <w:i w:val="0"/>
                <w:color w:val="0B0B0B"/>
                <w:sz w:val="17"/>
              </w:rPr>
              <w:t>10.78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F6B2-05</w:t>
            </w:r>
          </w:p>
        </w:tc>
        <w:tc>
          <w:tcPr>
            <w:tcW w:type="dxa" w:w="1360"/>
          </w:tcPr>
          <w:p>
            <w:pPr>
              <w:spacing w:after="40"/>
            </w:pPr>
            <w:r>
              <w:rPr>
                <w:b w:val="0"/>
                <w:i w:val="0"/>
                <w:color w:val="0B0B0B"/>
                <w:sz w:val="17"/>
              </w:rPr>
              <w:t>F6B2</w:t>
            </w:r>
          </w:p>
        </w:tc>
        <w:tc>
          <w:tcPr>
            <w:tcW w:type="dxa" w:w="1360"/>
          </w:tcPr>
          <w:p>
            <w:pPr>
              <w:spacing w:after="40"/>
            </w:pPr>
            <w:r>
              <w:rPr>
                <w:b w:val="0"/>
                <w:i w:val="0"/>
                <w:color w:val="0B0B0B"/>
                <w:sz w:val="17"/>
              </w:rPr>
              <w:t>22.36 °C</w:t>
            </w:r>
          </w:p>
        </w:tc>
        <w:tc>
          <w:tcPr>
            <w:tcW w:type="dxa" w:w="1360"/>
          </w:tcPr>
          <w:p>
            <w:pPr>
              <w:spacing w:after="40"/>
            </w:pPr>
            <w:r>
              <w:rPr>
                <w:b w:val="0"/>
                <w:i w:val="0"/>
                <w:color w:val="0B0B0B"/>
                <w:sz w:val="17"/>
              </w:rPr>
              <w:t>23.17 °C</w:t>
            </w:r>
          </w:p>
        </w:tc>
        <w:tc>
          <w:tcPr>
            <w:tcW w:type="dxa" w:w="1360"/>
          </w:tcPr>
          <w:p>
            <w:pPr>
              <w:spacing w:after="40"/>
            </w:pPr>
            <w:r>
              <w:rPr>
                <w:b w:val="0"/>
                <w:i w:val="0"/>
                <w:color w:val="0B0B0B"/>
                <w:sz w:val="17"/>
              </w:rPr>
              <w:t>33.75 °C</w:t>
            </w:r>
          </w:p>
        </w:tc>
        <w:tc>
          <w:tcPr>
            <w:tcW w:type="dxa" w:w="1360"/>
          </w:tcPr>
          <w:p>
            <w:pPr>
              <w:spacing w:after="40"/>
            </w:pPr>
            <w:r>
              <w:rPr>
                <w:b w:val="0"/>
                <w:i w:val="0"/>
                <w:color w:val="0B0B0B"/>
                <w:sz w:val="17"/>
              </w:rPr>
              <w:t>10.58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F6B2-04</w:t>
            </w:r>
          </w:p>
        </w:tc>
        <w:tc>
          <w:tcPr>
            <w:tcW w:type="dxa" w:w="1360"/>
          </w:tcPr>
          <w:p>
            <w:pPr>
              <w:spacing w:after="40"/>
            </w:pPr>
            <w:r>
              <w:rPr>
                <w:b w:val="0"/>
                <w:i w:val="0"/>
                <w:color w:val="0B0B0B"/>
                <w:sz w:val="17"/>
              </w:rPr>
              <w:t>F6B2</w:t>
            </w:r>
          </w:p>
        </w:tc>
        <w:tc>
          <w:tcPr>
            <w:tcW w:type="dxa" w:w="1360"/>
          </w:tcPr>
          <w:p>
            <w:pPr>
              <w:spacing w:after="40"/>
            </w:pPr>
            <w:r>
              <w:rPr>
                <w:b w:val="0"/>
                <w:i w:val="0"/>
                <w:color w:val="0B0B0B"/>
                <w:sz w:val="17"/>
              </w:rPr>
              <w:t>22.35 °C</w:t>
            </w:r>
          </w:p>
        </w:tc>
        <w:tc>
          <w:tcPr>
            <w:tcW w:type="dxa" w:w="1360"/>
          </w:tcPr>
          <w:p>
            <w:pPr>
              <w:spacing w:after="40"/>
            </w:pPr>
            <w:r>
              <w:rPr>
                <w:b w:val="0"/>
                <w:i w:val="0"/>
                <w:color w:val="0B0B0B"/>
                <w:sz w:val="17"/>
              </w:rPr>
              <w:t>23.14 °C</w:t>
            </w:r>
          </w:p>
        </w:tc>
        <w:tc>
          <w:tcPr>
            <w:tcW w:type="dxa" w:w="1360"/>
          </w:tcPr>
          <w:p>
            <w:pPr>
              <w:spacing w:after="40"/>
            </w:pPr>
            <w:r>
              <w:rPr>
                <w:b w:val="0"/>
                <w:i w:val="0"/>
                <w:color w:val="0B0B0B"/>
                <w:sz w:val="17"/>
              </w:rPr>
              <w:t>33.72 °C</w:t>
            </w:r>
          </w:p>
        </w:tc>
        <w:tc>
          <w:tcPr>
            <w:tcW w:type="dxa" w:w="1360"/>
          </w:tcPr>
          <w:p>
            <w:pPr>
              <w:spacing w:after="40"/>
            </w:pPr>
            <w:r>
              <w:rPr>
                <w:b w:val="0"/>
                <w:i w:val="0"/>
                <w:color w:val="0B0B0B"/>
                <w:sz w:val="17"/>
              </w:rPr>
              <w:t>10.58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F3B1-17</w:t>
            </w:r>
          </w:p>
        </w:tc>
        <w:tc>
          <w:tcPr>
            <w:tcW w:type="dxa" w:w="1360"/>
          </w:tcPr>
          <w:p>
            <w:pPr>
              <w:spacing w:after="40"/>
            </w:pPr>
            <w:r>
              <w:rPr>
                <w:b w:val="0"/>
                <w:i w:val="0"/>
                <w:color w:val="0B0B0B"/>
                <w:sz w:val="17"/>
              </w:rPr>
              <w:t>F3B1</w:t>
            </w:r>
          </w:p>
        </w:tc>
        <w:tc>
          <w:tcPr>
            <w:tcW w:type="dxa" w:w="1360"/>
          </w:tcPr>
          <w:p>
            <w:pPr>
              <w:spacing w:after="40"/>
            </w:pPr>
            <w:r>
              <w:rPr>
                <w:b w:val="0"/>
                <w:i w:val="0"/>
                <w:color w:val="0B0B0B"/>
                <w:sz w:val="17"/>
              </w:rPr>
              <w:t>22.34 °C</w:t>
            </w:r>
          </w:p>
        </w:tc>
        <w:tc>
          <w:tcPr>
            <w:tcW w:type="dxa" w:w="1360"/>
          </w:tcPr>
          <w:p>
            <w:pPr>
              <w:spacing w:after="40"/>
            </w:pPr>
            <w:r>
              <w:rPr>
                <w:b w:val="0"/>
                <w:i w:val="0"/>
                <w:color w:val="0B0B0B"/>
                <w:sz w:val="17"/>
              </w:rPr>
              <w:t>23.16 °C</w:t>
            </w:r>
          </w:p>
        </w:tc>
        <w:tc>
          <w:tcPr>
            <w:tcW w:type="dxa" w:w="1360"/>
          </w:tcPr>
          <w:p>
            <w:pPr>
              <w:spacing w:after="40"/>
            </w:pPr>
            <w:r>
              <w:rPr>
                <w:b w:val="0"/>
                <w:i w:val="0"/>
                <w:color w:val="0B0B0B"/>
                <w:sz w:val="17"/>
              </w:rPr>
              <w:t>33.65 °C</w:t>
            </w:r>
          </w:p>
        </w:tc>
        <w:tc>
          <w:tcPr>
            <w:tcW w:type="dxa" w:w="1360"/>
          </w:tcPr>
          <w:p>
            <w:pPr>
              <w:spacing w:after="40"/>
            </w:pPr>
            <w:r>
              <w:rPr>
                <w:b w:val="0"/>
                <w:i w:val="0"/>
                <w:color w:val="0B0B0B"/>
                <w:sz w:val="17"/>
              </w:rPr>
              <w:t>10.49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F1B2-07</w:t>
            </w:r>
          </w:p>
        </w:tc>
        <w:tc>
          <w:tcPr>
            <w:tcW w:type="dxa" w:w="1360"/>
          </w:tcPr>
          <w:p>
            <w:pPr>
              <w:spacing w:after="40"/>
            </w:pPr>
            <w:r>
              <w:rPr>
                <w:b w:val="0"/>
                <w:i w:val="0"/>
                <w:color w:val="0B0B0B"/>
                <w:sz w:val="17"/>
              </w:rPr>
              <w:t>F1B2</w:t>
            </w:r>
          </w:p>
        </w:tc>
        <w:tc>
          <w:tcPr>
            <w:tcW w:type="dxa" w:w="1360"/>
          </w:tcPr>
          <w:p>
            <w:pPr>
              <w:spacing w:after="40"/>
            </w:pPr>
            <w:r>
              <w:rPr>
                <w:b w:val="0"/>
                <w:i w:val="0"/>
                <w:color w:val="0B0B0B"/>
                <w:sz w:val="17"/>
              </w:rPr>
              <w:t>22.33 °C</w:t>
            </w:r>
          </w:p>
        </w:tc>
        <w:tc>
          <w:tcPr>
            <w:tcW w:type="dxa" w:w="1360"/>
          </w:tcPr>
          <w:p>
            <w:pPr>
              <w:spacing w:after="40"/>
            </w:pPr>
            <w:r>
              <w:rPr>
                <w:b w:val="0"/>
                <w:i w:val="0"/>
                <w:color w:val="0B0B0B"/>
                <w:sz w:val="17"/>
              </w:rPr>
              <w:t>22.88 °C</w:t>
            </w:r>
          </w:p>
        </w:tc>
        <w:tc>
          <w:tcPr>
            <w:tcW w:type="dxa" w:w="1360"/>
          </w:tcPr>
          <w:p>
            <w:pPr>
              <w:spacing w:after="40"/>
            </w:pPr>
            <w:r>
              <w:rPr>
                <w:b w:val="0"/>
                <w:i w:val="0"/>
                <w:color w:val="0B0B0B"/>
                <w:sz w:val="17"/>
              </w:rPr>
              <w:t>33.57 °C</w:t>
            </w:r>
          </w:p>
        </w:tc>
        <w:tc>
          <w:tcPr>
            <w:tcW w:type="dxa" w:w="1360"/>
          </w:tcPr>
          <w:p>
            <w:pPr>
              <w:spacing w:after="40"/>
            </w:pPr>
            <w:r>
              <w:rPr>
                <w:b w:val="0"/>
                <w:i w:val="0"/>
                <w:color w:val="0B0B0B"/>
                <w:sz w:val="17"/>
              </w:rPr>
              <w:t>10.69 K</w:t>
            </w:r>
          </w:p>
        </w:tc>
        <w:tc>
          <w:tcPr>
            <w:tcW w:type="dxa" w:w="1360"/>
          </w:tcPr>
          <w:p>
            <w:pPr>
              <w:spacing w:after="40"/>
            </w:pPr>
            <w:r>
              <w:rPr>
                <w:b w:val="0"/>
                <w:i w:val="0"/>
                <w:color w:val="0B0B0B"/>
                <w:sz w:val="17"/>
              </w:rPr>
              <w:t>within ASHRAE recommended (18.0-27.0 degC)</w:t>
            </w:r>
          </w:p>
        </w:tc>
      </w:tr>
      <w:tr>
        <w:tc>
          <w:tcPr>
            <w:tcW w:type="dxa" w:w="1360"/>
          </w:tcPr>
          <w:p>
            <w:pPr>
              <w:spacing w:after="40"/>
            </w:pPr>
            <w:r>
              <w:rPr>
                <w:b w:val="0"/>
                <w:i w:val="0"/>
                <w:color w:val="0B0B0B"/>
                <w:sz w:val="17"/>
              </w:rPr>
              <w:t>F3B2-03</w:t>
            </w:r>
          </w:p>
        </w:tc>
        <w:tc>
          <w:tcPr>
            <w:tcW w:type="dxa" w:w="1360"/>
          </w:tcPr>
          <w:p>
            <w:pPr>
              <w:spacing w:after="40"/>
            </w:pPr>
            <w:r>
              <w:rPr>
                <w:b w:val="0"/>
                <w:i w:val="0"/>
                <w:color w:val="0B0B0B"/>
                <w:sz w:val="17"/>
              </w:rPr>
              <w:t>F3B2</w:t>
            </w:r>
          </w:p>
        </w:tc>
        <w:tc>
          <w:tcPr>
            <w:tcW w:type="dxa" w:w="1360"/>
          </w:tcPr>
          <w:p>
            <w:pPr>
              <w:spacing w:after="40"/>
            </w:pPr>
            <w:r>
              <w:rPr>
                <w:b w:val="0"/>
                <w:i w:val="0"/>
                <w:color w:val="0B0B0B"/>
                <w:sz w:val="17"/>
              </w:rPr>
              <w:t>22.33 °C</w:t>
            </w:r>
          </w:p>
        </w:tc>
        <w:tc>
          <w:tcPr>
            <w:tcW w:type="dxa" w:w="1360"/>
          </w:tcPr>
          <w:p>
            <w:pPr>
              <w:spacing w:after="40"/>
            </w:pPr>
            <w:r>
              <w:rPr>
                <w:b w:val="0"/>
                <w:i w:val="0"/>
                <w:color w:val="0B0B0B"/>
                <w:sz w:val="17"/>
              </w:rPr>
              <w:t>23.01 °C</w:t>
            </w:r>
          </w:p>
        </w:tc>
        <w:tc>
          <w:tcPr>
            <w:tcW w:type="dxa" w:w="1360"/>
          </w:tcPr>
          <w:p>
            <w:pPr>
              <w:spacing w:after="40"/>
            </w:pPr>
            <w:r>
              <w:rPr>
                <w:b w:val="0"/>
                <w:i w:val="0"/>
                <w:color w:val="0B0B0B"/>
                <w:sz w:val="17"/>
              </w:rPr>
              <w:t>33.66 °C</w:t>
            </w:r>
          </w:p>
        </w:tc>
        <w:tc>
          <w:tcPr>
            <w:tcW w:type="dxa" w:w="1360"/>
          </w:tcPr>
          <w:p>
            <w:pPr>
              <w:spacing w:after="40"/>
            </w:pPr>
            <w:r>
              <w:rPr>
                <w:b w:val="0"/>
                <w:i w:val="0"/>
                <w:color w:val="0B0B0B"/>
                <w:sz w:val="17"/>
              </w:rPr>
              <w:t>10.65 K</w:t>
            </w:r>
          </w:p>
        </w:tc>
        <w:tc>
          <w:tcPr>
            <w:tcW w:type="dxa" w:w="1360"/>
          </w:tcPr>
          <w:p>
            <w:pPr>
              <w:spacing w:after="40"/>
            </w:pPr>
            <w:r>
              <w:rPr>
                <w:b w:val="0"/>
                <w:i w:val="0"/>
                <w:color w:val="0B0B0B"/>
                <w:sz w:val="17"/>
              </w:rPr>
              <w:t>within ASHRAE recommended (18.0-27.0 degC)</w:t>
            </w:r>
          </w:p>
        </w:tc>
      </w:tr>
    </w:tbl>
    <w:p>
      <w:pPr>
        <w:spacing w:after="200"/>
      </w:pPr>
      <w:r>
        <w:rPr>
          <w:b w:val="0"/>
          <w:i w:val="0"/>
          <w:color w:val="898781"/>
          <w:sz w:val="16"/>
        </w:rPr>
        <w:t>The twelve warmest of 440 rack positions, by the air arriving at the top of the rack. The complete table is exported as CSV from the results page.</w:t>
      </w:r>
    </w:p>
    <w:p>
      <w:pPr>
        <w:jc w:val="center"/>
      </w:pPr>
      <w:r>
        <w:drawing>
          <wp:inline xmlns:a="http://schemas.openxmlformats.org/drawingml/2006/main" xmlns:pic="http://schemas.openxmlformats.org/drawingml/2006/picture">
            <wp:extent cx="5760000" cy="1730818"/>
            <wp:docPr id="9" name="Picture 9"/>
            <wp:cNvGraphicFramePr>
              <a:graphicFrameLocks noChangeAspect="1"/>
            </wp:cNvGraphicFramePr>
            <a:graphic>
              <a:graphicData uri="http://schemas.openxmlformats.org/drawingml/2006/picture">
                <pic:pic>
                  <pic:nvPicPr>
                    <pic:cNvPr id="0" name="ashrae.png"/>
                    <pic:cNvPicPr/>
                  </pic:nvPicPr>
                  <pic:blipFill>
                    <a:blip r:embed="rId17"/>
                    <a:stretch>
                      <a:fillRect/>
                    </a:stretch>
                  </pic:blipFill>
                  <pic:spPr>
                    <a:xfrm>
                      <a:off x="0" y="0"/>
                      <a:ext cx="5760000" cy="1730818"/>
                    </a:xfrm>
                    <a:prstGeom prst="rect"/>
                  </pic:spPr>
                </pic:pic>
              </a:graphicData>
            </a:graphic>
          </wp:inline>
        </w:drawing>
      </w:r>
    </w:p>
    <w:p>
      <w:pPr>
        <w:spacing w:after="240"/>
        <w:jc w:val="center"/>
      </w:pPr>
      <w:r>
        <w:rPr>
          <w:b w:val="0"/>
          <w:i w:val="0"/>
          <w:color w:val="898781"/>
          <w:sz w:val="16"/>
        </w:rPr>
        <w:t>Distribution of rack intake temperature against the ASHRAE class A1 envelope.</w:t>
      </w:r>
    </w:p>
    <w:p>
      <w:pPr>
        <w:spacing w:before="240" w:after="80"/>
      </w:pPr>
      <w:r>
        <w:rPr>
          <w:rFonts w:ascii="DejaVu Sans" w:hAnsi="DejaVu Sans"/>
          <w:b/>
          <w:i w:val="0"/>
          <w:color w:val="2F6F6A"/>
          <w:sz w:val="23"/>
        </w:rPr>
        <w:t>3.5  Unit by unit</w:t>
      </w:r>
    </w:p>
    <w:p>
      <w:pPr>
        <w:jc w:val="center"/>
      </w:pPr>
      <w:r>
        <w:drawing>
          <wp:inline xmlns:a="http://schemas.openxmlformats.org/drawingml/2006/main" xmlns:pic="http://schemas.openxmlformats.org/drawingml/2006/picture">
            <wp:extent cx="5760000" cy="3661427"/>
            <wp:docPr id="10" name="Picture 10"/>
            <wp:cNvGraphicFramePr>
              <a:graphicFrameLocks noChangeAspect="1"/>
            </wp:cNvGraphicFramePr>
            <a:graphic>
              <a:graphicData uri="http://schemas.openxmlformats.org/drawingml/2006/picture">
                <pic:pic>
                  <pic:nvPicPr>
                    <pic:cNvPr id="0" name="units.png"/>
                    <pic:cNvPicPr/>
                  </pic:nvPicPr>
                  <pic:blipFill>
                    <a:blip r:embed="rId18"/>
                    <a:stretch>
                      <a:fillRect/>
                    </a:stretch>
                  </pic:blipFill>
                  <pic:spPr>
                    <a:xfrm>
                      <a:off x="0" y="0"/>
                      <a:ext cx="5760000" cy="3661427"/>
                    </a:xfrm>
                    <a:prstGeom prst="rect"/>
                  </pic:spPr>
                </pic:pic>
              </a:graphicData>
            </a:graphic>
          </wp:inline>
        </w:drawing>
      </w:r>
    </w:p>
    <w:p>
      <w:pPr>
        <w:spacing w:after="240"/>
        <w:jc w:val="center"/>
      </w:pPr>
      <w:r>
        <w:rPr>
          <w:b w:val="0"/>
          <w:i w:val="0"/>
          <w:color w:val="898781"/>
          <w:sz w:val="16"/>
        </w:rPr>
        <w:t>Return air temperature and heat removed, unit by unit. The units are numbered along the gallery wall, in gallery order.</w:t>
      </w:r>
    </w:p>
    <w:tbl>
      <w:tblPr>
        <w:tblStyle w:val="TableGrid"/>
        <w:tblW w:type="auto" w:w="0"/>
        <w:tblLook w:firstColumn="1" w:firstRow="1" w:lastColumn="0" w:lastRow="0" w:noHBand="0" w:noVBand="1" w:val="04A0"/>
      </w:tblPr>
      <w:tblGrid>
        <w:gridCol w:w="1586"/>
        <w:gridCol w:w="1586"/>
        <w:gridCol w:w="1586"/>
        <w:gridCol w:w="1586"/>
        <w:gridCol w:w="1586"/>
        <w:gridCol w:w="1586"/>
      </w:tblGrid>
      <w:tr>
        <w:tc>
          <w:tcPr>
            <w:tcW w:type="dxa" w:w="1586"/>
            <w:shd w:val="clear" w:fill="2F6F6A"/>
          </w:tcPr>
          <w:p>
            <w:pPr>
              <w:spacing w:after="40"/>
            </w:pPr>
            <w:r>
              <w:rPr>
                <w:b/>
                <w:i w:val="0"/>
                <w:color w:val="FFFFFF"/>
                <w:sz w:val="17"/>
              </w:rPr>
              <w:t>Unit</w:t>
            </w:r>
          </w:p>
        </w:tc>
        <w:tc>
          <w:tcPr>
            <w:tcW w:type="dxa" w:w="1586"/>
            <w:shd w:val="clear" w:fill="2F6F6A"/>
          </w:tcPr>
          <w:p>
            <w:pPr>
              <w:spacing w:after="40"/>
            </w:pPr>
            <w:r>
              <w:rPr>
                <w:b/>
                <w:i w:val="0"/>
                <w:color w:val="FFFFFF"/>
                <w:sz w:val="17"/>
              </w:rPr>
              <w:t>Return air</w:t>
            </w:r>
          </w:p>
        </w:tc>
        <w:tc>
          <w:tcPr>
            <w:tcW w:type="dxa" w:w="1586"/>
            <w:shd w:val="clear" w:fill="2F6F6A"/>
          </w:tcPr>
          <w:p>
            <w:pPr>
              <w:spacing w:after="40"/>
            </w:pPr>
            <w:r>
              <w:rPr>
                <w:b/>
                <w:i w:val="0"/>
                <w:color w:val="FFFFFF"/>
                <w:sz w:val="17"/>
              </w:rPr>
              <w:t>Mass flow</w:t>
            </w:r>
          </w:p>
        </w:tc>
        <w:tc>
          <w:tcPr>
            <w:tcW w:type="dxa" w:w="1586"/>
            <w:shd w:val="clear" w:fill="2F6F6A"/>
          </w:tcPr>
          <w:p>
            <w:pPr>
              <w:spacing w:after="40"/>
            </w:pPr>
            <w:r>
              <w:rPr>
                <w:b/>
                <w:i w:val="0"/>
                <w:color w:val="FFFFFF"/>
                <w:sz w:val="17"/>
              </w:rPr>
              <w:t>Heat removed</w:t>
            </w:r>
          </w:p>
        </w:tc>
        <w:tc>
          <w:tcPr>
            <w:tcW w:type="dxa" w:w="1586"/>
            <w:shd w:val="clear" w:fill="2F6F6A"/>
          </w:tcPr>
          <w:p>
            <w:pPr>
              <w:spacing w:after="40"/>
            </w:pPr>
            <w:r>
              <w:rPr>
                <w:b/>
                <w:i w:val="0"/>
                <w:color w:val="FFFFFF"/>
                <w:sz w:val="17"/>
              </w:rPr>
              <w:t>Of the rating</w:t>
            </w:r>
          </w:p>
        </w:tc>
        <w:tc>
          <w:tcPr>
            <w:tcW w:type="dxa" w:w="1586"/>
            <w:shd w:val="clear" w:fill="2F6F6A"/>
          </w:tcPr>
          <w:p>
            <w:pPr>
              <w:spacing w:after="40"/>
            </w:pPr>
            <w:r>
              <w:rPr>
                <w:b/>
                <w:i w:val="0"/>
                <w:color w:val="FFFFFF"/>
                <w:sz w:val="17"/>
              </w:rPr>
              <w:t>Rise across the unit</w:t>
            </w:r>
          </w:p>
        </w:tc>
      </w:tr>
      <w:tr>
        <w:tc>
          <w:tcPr>
            <w:tcW w:type="dxa" w:w="1586"/>
          </w:tcPr>
          <w:p>
            <w:pPr>
              <w:spacing w:after="40"/>
            </w:pPr>
            <w:r>
              <w:rPr>
                <w:b w:val="0"/>
                <w:i w:val="0"/>
                <w:color w:val="0B0B0B"/>
                <w:sz w:val="17"/>
              </w:rPr>
              <w:t>1</w:t>
            </w:r>
          </w:p>
        </w:tc>
        <w:tc>
          <w:tcPr>
            <w:tcW w:type="dxa" w:w="1586"/>
          </w:tcPr>
          <w:p>
            <w:pPr>
              <w:spacing w:after="40"/>
            </w:pPr>
            <w:r>
              <w:rPr>
                <w:b w:val="0"/>
                <w:i w:val="0"/>
                <w:color w:val="0B0B0B"/>
                <w:sz w:val="17"/>
              </w:rPr>
              <w:t>33.31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363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55.5 Pa</w:t>
            </w:r>
          </w:p>
        </w:tc>
      </w:tr>
      <w:tr>
        <w:tc>
          <w:tcPr>
            <w:tcW w:type="dxa" w:w="1586"/>
          </w:tcPr>
          <w:p>
            <w:pPr>
              <w:spacing w:after="40"/>
            </w:pPr>
            <w:r>
              <w:rPr>
                <w:b w:val="0"/>
                <w:i w:val="0"/>
                <w:color w:val="0B0B0B"/>
                <w:sz w:val="17"/>
              </w:rPr>
              <w:t>2</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53.3 Pa</w:t>
            </w:r>
          </w:p>
        </w:tc>
      </w:tr>
      <w:tr>
        <w:tc>
          <w:tcPr>
            <w:tcW w:type="dxa" w:w="1586"/>
          </w:tcPr>
          <w:p>
            <w:pPr>
              <w:spacing w:after="40"/>
            </w:pPr>
            <w:r>
              <w:rPr>
                <w:b w:val="0"/>
                <w:i w:val="0"/>
                <w:color w:val="0B0B0B"/>
                <w:sz w:val="17"/>
              </w:rPr>
              <w:t>3</w:t>
            </w:r>
          </w:p>
        </w:tc>
        <w:tc>
          <w:tcPr>
            <w:tcW w:type="dxa" w:w="1586"/>
          </w:tcPr>
          <w:p>
            <w:pPr>
              <w:spacing w:after="40"/>
            </w:pPr>
            <w:r>
              <w:rPr>
                <w:b w:val="0"/>
                <w:i w:val="0"/>
                <w:color w:val="0B0B0B"/>
                <w:sz w:val="17"/>
              </w:rPr>
              <w:t>33.36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365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55.4 Pa</w:t>
            </w:r>
          </w:p>
        </w:tc>
      </w:tr>
      <w:tr>
        <w:tc>
          <w:tcPr>
            <w:tcW w:type="dxa" w:w="1586"/>
          </w:tcPr>
          <w:p>
            <w:pPr>
              <w:spacing w:after="40"/>
            </w:pPr>
            <w:r>
              <w:rPr>
                <w:b w:val="0"/>
                <w:i w:val="0"/>
                <w:color w:val="0B0B0B"/>
                <w:sz w:val="17"/>
              </w:rPr>
              <w:t>4</w:t>
            </w:r>
          </w:p>
        </w:tc>
        <w:tc>
          <w:tcPr>
            <w:tcW w:type="dxa" w:w="1586"/>
          </w:tcPr>
          <w:p>
            <w:pPr>
              <w:spacing w:after="40"/>
            </w:pPr>
            <w:r>
              <w:rPr>
                <w:b w:val="0"/>
                <w:i w:val="0"/>
                <w:color w:val="0B0B0B"/>
                <w:sz w:val="17"/>
              </w:rPr>
              <w:t>33.41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366 kW</w:t>
            </w:r>
          </w:p>
        </w:tc>
        <w:tc>
          <w:tcPr>
            <w:tcW w:type="dxa" w:w="1586"/>
          </w:tcPr>
          <w:p>
            <w:pPr>
              <w:spacing w:after="40"/>
            </w:pPr>
            <w:r>
              <w:rPr>
                <w:b w:val="0"/>
                <w:i w:val="0"/>
                <w:color w:val="0B0B0B"/>
                <w:sz w:val="17"/>
              </w:rPr>
              <w:t>85 %</w:t>
            </w:r>
          </w:p>
        </w:tc>
        <w:tc>
          <w:tcPr>
            <w:tcW w:type="dxa" w:w="1586"/>
          </w:tcPr>
          <w:p>
            <w:pPr>
              <w:spacing w:after="40"/>
            </w:pPr>
            <w:r>
              <w:rPr>
                <w:b w:val="0"/>
                <w:i w:val="0"/>
                <w:color w:val="0B0B0B"/>
                <w:sz w:val="17"/>
              </w:rPr>
              <w:t>53.1 Pa</w:t>
            </w:r>
          </w:p>
        </w:tc>
      </w:tr>
      <w:tr>
        <w:tc>
          <w:tcPr>
            <w:tcW w:type="dxa" w:w="1586"/>
          </w:tcPr>
          <w:p>
            <w:pPr>
              <w:spacing w:after="40"/>
            </w:pPr>
            <w:r>
              <w:rPr>
                <w:b w:val="0"/>
                <w:i w:val="0"/>
                <w:color w:val="0B0B0B"/>
                <w:sz w:val="17"/>
              </w:rPr>
              <w:t>5</w:t>
            </w:r>
          </w:p>
        </w:tc>
        <w:tc>
          <w:tcPr>
            <w:tcW w:type="dxa" w:w="1586"/>
          </w:tcPr>
          <w:p>
            <w:pPr>
              <w:spacing w:after="40"/>
            </w:pPr>
            <w:r>
              <w:rPr>
                <w:b w:val="0"/>
                <w:i w:val="0"/>
                <w:color w:val="0B0B0B"/>
                <w:sz w:val="17"/>
              </w:rPr>
              <w:t>33.38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365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56.1 Pa</w:t>
            </w:r>
          </w:p>
        </w:tc>
      </w:tr>
      <w:tr>
        <w:tc>
          <w:tcPr>
            <w:tcW w:type="dxa" w:w="1586"/>
          </w:tcPr>
          <w:p>
            <w:pPr>
              <w:spacing w:after="40"/>
            </w:pPr>
            <w:r>
              <w:rPr>
                <w:b w:val="0"/>
                <w:i w:val="0"/>
                <w:color w:val="0B0B0B"/>
                <w:sz w:val="17"/>
              </w:rPr>
              <w:t>6</w:t>
            </w:r>
          </w:p>
        </w:tc>
        <w:tc>
          <w:tcPr>
            <w:tcW w:type="dxa" w:w="1586"/>
          </w:tcPr>
          <w:p>
            <w:pPr>
              <w:spacing w:after="40"/>
            </w:pPr>
            <w:r>
              <w:rPr>
                <w:b w:val="0"/>
                <w:i w:val="0"/>
                <w:color w:val="0B0B0B"/>
                <w:sz w:val="17"/>
              </w:rPr>
              <w:t>33.35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53.0 Pa</w:t>
            </w:r>
          </w:p>
        </w:tc>
      </w:tr>
      <w:tr>
        <w:tc>
          <w:tcPr>
            <w:tcW w:type="dxa" w:w="1586"/>
          </w:tcPr>
          <w:p>
            <w:pPr>
              <w:spacing w:after="40"/>
            </w:pPr>
            <w:r>
              <w:rPr>
                <w:b w:val="0"/>
                <w:i w:val="0"/>
                <w:color w:val="0B0B0B"/>
                <w:sz w:val="17"/>
              </w:rPr>
              <w:t>7</w:t>
            </w:r>
          </w:p>
        </w:tc>
        <w:tc>
          <w:tcPr>
            <w:tcW w:type="dxa" w:w="1586"/>
          </w:tcPr>
          <w:p>
            <w:pPr>
              <w:spacing w:after="40"/>
            </w:pPr>
            <w:r>
              <w:rPr>
                <w:b w:val="0"/>
                <w:i w:val="0"/>
                <w:color w:val="0B0B0B"/>
                <w:sz w:val="17"/>
              </w:rPr>
              <w:t>33.32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363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55.6 Pa</w:t>
            </w:r>
          </w:p>
        </w:tc>
      </w:tr>
      <w:tr>
        <w:tc>
          <w:tcPr>
            <w:tcW w:type="dxa" w:w="1586"/>
          </w:tcPr>
          <w:p>
            <w:pPr>
              <w:spacing w:after="40"/>
            </w:pPr>
            <w:r>
              <w:rPr>
                <w:b w:val="0"/>
                <w:i w:val="0"/>
                <w:color w:val="0B0B0B"/>
                <w:sz w:val="17"/>
              </w:rPr>
              <w:t>8</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54.7 Pa</w:t>
            </w:r>
          </w:p>
        </w:tc>
      </w:tr>
      <w:tr>
        <w:tc>
          <w:tcPr>
            <w:tcW w:type="dxa" w:w="1586"/>
          </w:tcPr>
          <w:p>
            <w:pPr>
              <w:spacing w:after="40"/>
            </w:pPr>
            <w:r>
              <w:rPr>
                <w:b w:val="0"/>
                <w:i w:val="0"/>
                <w:color w:val="0B0B0B"/>
                <w:sz w:val="17"/>
              </w:rPr>
              <w:t>9</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53.2 Pa</w:t>
            </w:r>
          </w:p>
        </w:tc>
      </w:tr>
      <w:tr>
        <w:tc>
          <w:tcPr>
            <w:tcW w:type="dxa" w:w="1586"/>
          </w:tcPr>
          <w:p>
            <w:pPr>
              <w:spacing w:after="40"/>
            </w:pPr>
            <w:r>
              <w:rPr>
                <w:b w:val="0"/>
                <w:i w:val="0"/>
                <w:color w:val="0B0B0B"/>
                <w:sz w:val="17"/>
              </w:rPr>
              <w:t>10</w:t>
            </w:r>
          </w:p>
        </w:tc>
        <w:tc>
          <w:tcPr>
            <w:tcW w:type="dxa" w:w="1586"/>
          </w:tcPr>
          <w:p>
            <w:pPr>
              <w:spacing w:after="40"/>
            </w:pPr>
            <w:r>
              <w:rPr>
                <w:b w:val="0"/>
                <w:i w:val="0"/>
                <w:color w:val="0B0B0B"/>
                <w:sz w:val="17"/>
              </w:rPr>
              <w:t>33.36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365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53.3 Pa</w:t>
            </w:r>
          </w:p>
        </w:tc>
      </w:tr>
      <w:tr>
        <w:tc>
          <w:tcPr>
            <w:tcW w:type="dxa" w:w="1586"/>
          </w:tcPr>
          <w:p>
            <w:pPr>
              <w:spacing w:after="40"/>
            </w:pPr>
            <w:r>
              <w:rPr>
                <w:b w:val="0"/>
                <w:i w:val="0"/>
                <w:color w:val="0B0B0B"/>
                <w:sz w:val="17"/>
              </w:rPr>
              <w:t>11</w:t>
            </w:r>
          </w:p>
        </w:tc>
        <w:tc>
          <w:tcPr>
            <w:tcW w:type="dxa" w:w="1586"/>
          </w:tcPr>
          <w:p>
            <w:pPr>
              <w:spacing w:after="40"/>
            </w:pPr>
            <w:r>
              <w:rPr>
                <w:b w:val="0"/>
                <w:i w:val="0"/>
                <w:color w:val="0B0B0B"/>
                <w:sz w:val="17"/>
              </w:rPr>
              <w:t>33.40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366 kW</w:t>
            </w:r>
          </w:p>
        </w:tc>
        <w:tc>
          <w:tcPr>
            <w:tcW w:type="dxa" w:w="1586"/>
          </w:tcPr>
          <w:p>
            <w:pPr>
              <w:spacing w:after="40"/>
            </w:pPr>
            <w:r>
              <w:rPr>
                <w:b w:val="0"/>
                <w:i w:val="0"/>
                <w:color w:val="0B0B0B"/>
                <w:sz w:val="17"/>
              </w:rPr>
              <w:t>85 %</w:t>
            </w:r>
          </w:p>
        </w:tc>
        <w:tc>
          <w:tcPr>
            <w:tcW w:type="dxa" w:w="1586"/>
          </w:tcPr>
          <w:p>
            <w:pPr>
              <w:spacing w:after="40"/>
            </w:pPr>
            <w:r>
              <w:rPr>
                <w:b w:val="0"/>
                <w:i w:val="0"/>
                <w:color w:val="0B0B0B"/>
                <w:sz w:val="17"/>
              </w:rPr>
              <w:t>54.9 Pa</w:t>
            </w:r>
          </w:p>
        </w:tc>
      </w:tr>
      <w:tr>
        <w:tc>
          <w:tcPr>
            <w:tcW w:type="dxa" w:w="1586"/>
          </w:tcPr>
          <w:p>
            <w:pPr>
              <w:spacing w:after="40"/>
            </w:pPr>
            <w:r>
              <w:rPr>
                <w:b w:val="0"/>
                <w:i w:val="0"/>
                <w:color w:val="0B0B0B"/>
                <w:sz w:val="17"/>
              </w:rPr>
              <w:t>12</w:t>
            </w:r>
          </w:p>
        </w:tc>
        <w:tc>
          <w:tcPr>
            <w:tcW w:type="dxa" w:w="1586"/>
          </w:tcPr>
          <w:p>
            <w:pPr>
              <w:spacing w:after="40"/>
            </w:pPr>
            <w:r>
              <w:rPr>
                <w:b w:val="0"/>
                <w:i w:val="0"/>
                <w:color w:val="0B0B0B"/>
                <w:sz w:val="17"/>
              </w:rPr>
              <w:t>33.38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365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54.6 Pa</w:t>
            </w:r>
          </w:p>
        </w:tc>
      </w:tr>
      <w:tr>
        <w:tc>
          <w:tcPr>
            <w:tcW w:type="dxa" w:w="1586"/>
          </w:tcPr>
          <w:p>
            <w:pPr>
              <w:spacing w:after="40"/>
            </w:pPr>
            <w:r>
              <w:rPr>
                <w:b w:val="0"/>
                <w:i w:val="0"/>
                <w:color w:val="0B0B0B"/>
                <w:sz w:val="17"/>
              </w:rPr>
              <w:t>13</w:t>
            </w:r>
          </w:p>
        </w:tc>
        <w:tc>
          <w:tcPr>
            <w:tcW w:type="dxa" w:w="1586"/>
          </w:tcPr>
          <w:p>
            <w:pPr>
              <w:spacing w:after="40"/>
            </w:pPr>
            <w:r>
              <w:rPr>
                <w:b w:val="0"/>
                <w:i w:val="0"/>
                <w:color w:val="0B0B0B"/>
                <w:sz w:val="17"/>
              </w:rPr>
              <w:t>33.34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364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52.8 Pa</w:t>
            </w:r>
          </w:p>
        </w:tc>
      </w:tr>
      <w:tr>
        <w:tc>
          <w:tcPr>
            <w:tcW w:type="dxa" w:w="1586"/>
          </w:tcPr>
          <w:p>
            <w:pPr>
              <w:spacing w:after="40"/>
            </w:pPr>
            <w:r>
              <w:rPr>
                <w:b w:val="0"/>
                <w:i w:val="0"/>
                <w:color w:val="0B0B0B"/>
                <w:sz w:val="17"/>
              </w:rPr>
              <w:t>14</w:t>
            </w:r>
          </w:p>
        </w:tc>
        <w:tc>
          <w:tcPr>
            <w:tcW w:type="dxa" w:w="1586"/>
          </w:tcPr>
          <w:p>
            <w:pPr>
              <w:spacing w:after="40"/>
            </w:pPr>
            <w:r>
              <w:rPr>
                <w:b w:val="0"/>
                <w:i w:val="0"/>
                <w:color w:val="0B0B0B"/>
                <w:sz w:val="17"/>
              </w:rPr>
              <w:t>33.30 °C</w:t>
            </w:r>
          </w:p>
        </w:tc>
        <w:tc>
          <w:tcPr>
            <w:tcW w:type="dxa" w:w="1586"/>
          </w:tcPr>
          <w:p>
            <w:pPr>
              <w:spacing w:after="40"/>
            </w:pPr>
            <w:r>
              <w:rPr>
                <w:b w:val="0"/>
                <w:i w:val="0"/>
                <w:color w:val="0B0B0B"/>
                <w:sz w:val="17"/>
              </w:rPr>
              <w:t>31.7 kg/s</w:t>
            </w:r>
          </w:p>
        </w:tc>
        <w:tc>
          <w:tcPr>
            <w:tcW w:type="dxa" w:w="1586"/>
          </w:tcPr>
          <w:p>
            <w:pPr>
              <w:spacing w:after="40"/>
            </w:pPr>
            <w:r>
              <w:rPr>
                <w:b w:val="0"/>
                <w:i w:val="0"/>
                <w:color w:val="0B0B0B"/>
                <w:sz w:val="17"/>
              </w:rPr>
              <w:t>363 kW</w:t>
            </w:r>
          </w:p>
        </w:tc>
        <w:tc>
          <w:tcPr>
            <w:tcW w:type="dxa" w:w="1586"/>
          </w:tcPr>
          <w:p>
            <w:pPr>
              <w:spacing w:after="40"/>
            </w:pPr>
            <w:r>
              <w:rPr>
                <w:b w:val="0"/>
                <w:i w:val="0"/>
                <w:color w:val="0B0B0B"/>
                <w:sz w:val="17"/>
              </w:rPr>
              <w:t>84 %</w:t>
            </w:r>
          </w:p>
        </w:tc>
        <w:tc>
          <w:tcPr>
            <w:tcW w:type="dxa" w:w="1586"/>
          </w:tcPr>
          <w:p>
            <w:pPr>
              <w:spacing w:after="40"/>
            </w:pPr>
            <w:r>
              <w:rPr>
                <w:b w:val="0"/>
                <w:i w:val="0"/>
                <w:color w:val="0B0B0B"/>
                <w:sz w:val="17"/>
              </w:rPr>
              <w:t>55.5 Pa</w:t>
            </w:r>
          </w:p>
        </w:tc>
      </w:tr>
    </w:tbl>
    <w:p>
      <w:pPr>
        <w:spacing w:after="200"/>
      </w:pPr>
      <w:r>
        <w:rPr>
          <w:b w:val="0"/>
          <w:i w:val="0"/>
          <w:color w:val="898781"/>
          <w:sz w:val="16"/>
        </w:rPr>
        <w:t>Heat removed is the enthalpy the air carries out of each unit, mass flow × cp × (return − supply). 'Of the rating' compares it with the unit's CATALOGUE net sensible capacity at its selection point; the capacity a coil actually has at the return temperature it receives is lower, and AICFD does not yet compute it — see section 5.</w:t>
      </w:r>
    </w:p>
    <w:p>
      <w:r>
        <w:br w:type="page"/>
      </w:r>
    </w:p>
    <w:p>
      <w:pPr>
        <w:spacing w:before="320" w:after="80"/>
      </w:pPr>
      <w:r>
        <w:rPr>
          <w:rFonts w:ascii="Georgia" w:hAnsi="Georgia"/>
          <w:b/>
          <w:i w:val="0"/>
          <w:color w:val="0B0B0B"/>
          <w:sz w:val="30"/>
        </w:rPr>
        <w:t>4  Conclusions</w:t>
      </w:r>
    </w:p>
    <w:p>
      <w:pPr>
        <w:spacing w:after="0"/>
      </w:pPr>
    </w:p>
    <w:p>
      <w:pPr>
        <w:pStyle w:val="ListBullet"/>
        <w:spacing w:after="60"/>
      </w:pPr>
      <w:r>
        <w:rPr>
          <w:b w:val="0"/>
          <w:i w:val="0"/>
          <w:color w:val="0B0B0B"/>
          <w:sz w:val="20"/>
        </w:rPr>
        <w:t>The air delivered to the IT equipment is within the ASHRAE class A1 recommended range. The warmest rack intake is 22.43 °C at rack F5B2-04, measured at the top of the rack, leaving 4.57 K of margin against the 27 °C recommended limit.</w:t>
      </w:r>
    </w:p>
    <w:p>
      <w:pPr>
        <w:pStyle w:val="ListBullet"/>
        <w:spacing w:after="60"/>
      </w:pPr>
      <w:r>
        <w:rPr>
          <w:b w:val="0"/>
          <w:i w:val="0"/>
          <w:color w:val="0B0B0B"/>
          <w:sz w:val="20"/>
        </w:rPr>
        <w:t>The cooling plant is thermally uniform in this configuration: the return air temperature spans 0.11 K across the 14 units, from 33.30 °C to 33.41 °C.</w:t>
      </w:r>
    </w:p>
    <w:p>
      <w:pPr>
        <w:pStyle w:val="ListBullet"/>
        <w:spacing w:after="60"/>
      </w:pPr>
      <w:r>
        <w:rPr>
          <w:b w:val="0"/>
          <w:i w:val="0"/>
          <w:color w:val="0B0B0B"/>
          <w:sz w:val="20"/>
        </w:rPr>
        <w:t>The plant removes 5,100 kW. No unit exceeds its catalogue rating of 432.6 kW; the most loaded is at 85 % of it.</w:t>
      </w:r>
    </w:p>
    <w:p>
      <w:pPr>
        <w:pStyle w:val="ListBullet"/>
        <w:spacing w:after="60"/>
      </w:pPr>
      <w:r>
        <w:rPr>
          <w:b w:val="0"/>
          <w:i w:val="0"/>
          <w:color w:val="0B0B0B"/>
          <w:sz w:val="20"/>
        </w:rPr>
        <w:t>The room costs the most loaded unit 56.1 Pa of the 131 Pa its datasheet offers (43 %), and the least loaded 52.8 Pa.</w:t>
      </w:r>
    </w:p>
    <w:p>
      <w:pPr>
        <w:pStyle w:val="ListBullet"/>
        <w:spacing w:after="60"/>
      </w:pPr>
      <w:r>
        <w:rPr>
          <w:b w:val="0"/>
          <w:i w:val="0"/>
          <w:color w:val="0B0B0B"/>
          <w:sz w:val="20"/>
        </w:rPr>
        <w:t>The energy balance closes at 100.0 %: the heat the return air carries out matches the load the racks put in. Every physical check passes, so the temperatures above may be quoted.</w:t>
      </w:r>
    </w:p>
    <w:p>
      <w:pPr>
        <w:spacing w:before="320" w:after="80"/>
      </w:pPr>
      <w:r>
        <w:rPr>
          <w:rFonts w:ascii="Georgia" w:hAnsi="Georgia"/>
          <w:b/>
          <w:i w:val="0"/>
          <w:color w:val="0B0B0B"/>
          <w:sz w:val="30"/>
        </w:rPr>
        <w:t>5  Limitations</w:t>
      </w:r>
    </w:p>
    <w:p>
      <w:pPr>
        <w:spacing w:after="0"/>
      </w:pPr>
    </w:p>
    <w:p>
      <w:pPr>
        <w:spacing w:after="120"/>
      </w:pPr>
      <w:r>
        <w:rPr>
          <w:b w:val="0"/>
          <w:i w:val="0"/>
          <w:color w:val="0B0B0B"/>
          <w:sz w:val="20"/>
        </w:rPr>
        <w:t>These results are valid only for the boundary conditions listed in section 2. CFD gives an approximate solution to the equations of fluid motion, given the simplifications required to model a real room; the model, the mesh and the inputs all carry uncertainty.</w:t>
      </w:r>
    </w:p>
    <w:p>
      <w:pPr>
        <w:pStyle w:val="ListBullet"/>
        <w:spacing w:after="60"/>
      </w:pPr>
      <w:r>
        <w:rPr>
          <w:b w:val="0"/>
          <w:i w:val="0"/>
          <w:color w:val="0B0B0B"/>
          <w:sz w:val="20"/>
        </w:rPr>
        <w:t>Steady state only. A unit failing, a door opening or a load step are transients and are outside this model.</w:t>
      </w:r>
    </w:p>
    <w:p>
      <w:pPr>
        <w:pStyle w:val="ListBullet"/>
        <w:spacing w:after="60"/>
      </w:pPr>
      <w:r>
        <w:rPr>
          <w:b w:val="0"/>
          <w:i w:val="0"/>
          <w:color w:val="0B0B0B"/>
          <w:sz w:val="20"/>
        </w:rPr>
        <w:t>One operating scenario. A failure case — units out of service, the surviving units sharing the same total airflow — is not modelled, so this report cannot state how much reserve the plant has when a unit is lost.</w:t>
      </w:r>
    </w:p>
    <w:p>
      <w:pPr>
        <w:pStyle w:val="ListBullet"/>
        <w:spacing w:after="60"/>
      </w:pPr>
      <w:r>
        <w:rPr>
          <w:b w:val="0"/>
          <w:i w:val="0"/>
          <w:color w:val="0B0B0B"/>
          <w:sz w:val="20"/>
        </w:rPr>
        <w:t>The unit's catalogue capacity, not the capacity it actually has. A chilled-water coil delivers its rating only at the return temperature it was selected for, and a real hall returns cooler air than that. Comparisons here are against the catalogue figure and are therefore optimistic.</w:t>
      </w:r>
    </w:p>
    <w:p>
      <w:pPr>
        <w:pStyle w:val="ListBullet"/>
        <w:spacing w:after="60"/>
      </w:pPr>
      <w:r>
        <w:rPr>
          <w:b w:val="0"/>
          <w:i w:val="0"/>
          <w:color w:val="0B0B0B"/>
          <w:sz w:val="20"/>
        </w:rPr>
        <w:t>One load per rack. Unloaded positions and a real per-rack load map are not represented, and where the empty positions sit changes how evenly the units load.</w:t>
      </w:r>
    </w:p>
    <w:p>
      <w:pPr>
        <w:pStyle w:val="ListBullet"/>
        <w:spacing w:after="60"/>
      </w:pPr>
      <w:r>
        <w:rPr>
          <w:b w:val="0"/>
          <w:i w:val="0"/>
          <w:color w:val="0B0B0B"/>
          <w:sz w:val="20"/>
        </w:rPr>
        <w:t>Heat released outside the racks — PDU and other ancillary losses, typically about 2 % of the IT load — is not included.</w:t>
      </w:r>
    </w:p>
    <w:p>
      <w:pPr>
        <w:pStyle w:val="ListBullet"/>
        <w:spacing w:after="60"/>
      </w:pPr>
      <w:r>
        <w:rPr>
          <w:b w:val="0"/>
          <w:i w:val="0"/>
          <w:color w:val="0B0B0B"/>
          <w:sz w:val="20"/>
        </w:rPr>
        <w:t>Containment is modelled as perfect. Real containment leaks, and the leak is what decides the top-of-rack temperature in a marginal design.</w:t>
      </w:r>
    </w:p>
    <w:p>
      <w:pPr>
        <w:pStyle w:val="ListBullet"/>
        <w:spacing w:after="60"/>
      </w:pPr>
      <w:r>
        <w:rPr>
          <w:b w:val="0"/>
          <w:i w:val="0"/>
          <w:color w:val="0B0B0B"/>
          <w:sz w:val="20"/>
        </w:rPr>
        <w:t>A conceptual-design mesh. One rack per cell in plan: trust the ranking of racks and the hall-scale fields, not a single rack's intake to better than 1 to 2 K.</w:t>
      </w:r>
    </w:p>
    <w:p>
      <w:pPr>
        <w:pStyle w:val="ListBullet"/>
        <w:spacing w:after="60"/>
      </w:pPr>
      <w:r>
        <w:rPr>
          <w:b w:val="0"/>
          <w:i w:val="0"/>
          <w:color w:val="0B0B0B"/>
          <w:sz w:val="20"/>
        </w:rPr>
        <w:t>No comparison against measurement. Every validation in section 3.1 is an identity the physics must satisfy. That class of check catches wrong models; it cannot promise the built room behaves this way.</w:t>
      </w:r>
    </w:p>
    <w:p>
      <w:pPr>
        <w:spacing w:after="120"/>
      </w:pPr>
      <w:r>
        <w:rPr>
          <w:b w:val="0"/>
          <w:i/>
          <w:color w:val="898781"/>
          <w:sz w:val="18"/>
        </w:rPr>
        <w:t>The case specification, the generated OpenFOAM case, the solver log and the exported result together reproduce this document exactly. Nothing in it was typed in by hand.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