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176B9" w14:textId="77777777" w:rsidR="00597E8C" w:rsidRPr="00597E8C" w:rsidRDefault="00597E8C" w:rsidP="00597E8C">
      <w:pPr>
        <w:spacing w:after="100" w:line="240" w:lineRule="auto"/>
        <w:jc w:val="left"/>
        <w:rPr>
          <w:rFonts w:eastAsia="Times New Roman" w:cs="Times New Roman"/>
          <w:kern w:val="0"/>
          <w:szCs w:val="22"/>
          <w:lang w:eastAsia="pt-PT"/>
          <w14:ligatures w14:val="none"/>
        </w:rPr>
      </w:pPr>
      <w:r>
        <w:rPr>
          <w:b/>
        </w:rPr>
        <w:t>Código:</w:t>
      </w:r>
      <w:r>
        <w:t xml:space="preserve"> ART-2010-CIMELLARO</w:t>
      </w:r>
      <w:r>
        <w:br/>
      </w:r>
      <w:r>
        <w:rPr>
          <w:b/>
        </w:rPr>
        <w:t>Ficheiro:</w:t>
      </w:r>
      <w:r>
        <w:t xml:space="preserve"> 2010 Framework for analytical quantification of disaster resilience-ELSEVIER.pdf</w:t>
      </w:r>
      <w:r>
        <w:br/>
      </w:r>
      <w:r>
        <w:rPr>
          <w:b/>
        </w:rPr>
        <w:t>Referência:</w:t>
      </w:r>
      <w:r>
        <w:t xml:space="preserve"> G. P. Cimellaro, A. M. Reinhorn e M. Bruneau, </w:t>
      </w:r>
      <w:r>
        <w:rPr>
          <w:i/>
        </w:rPr>
        <w:t>Engineering Structures</w:t>
      </w:r>
      <w:r>
        <w:t>, vol. 32, n.º 11, pp. 3639-3649, 2010. DOI: 10.1016/j.engstruct.2010.08.008.</w:t>
      </w:r>
      <w:r>
        <w:br/>
      </w:r>
      <w:r>
        <w:rPr>
          <w:b/>
        </w:rPr>
        <w:t>Repositório:</w:t>
      </w:r>
      <w:r>
        <w:t xml:space="preserve"> engprbo/artigos_guardados_grau_alto | </w:t>
      </w:r>
      <w:hyperlink r:id="rId5">
        <w:r>
          <w:rPr>
            <w:color w:val="0563C1"/>
            <w:u w:val="single"/>
          </w:rPr>
          <w:t>Abrir PDF no GitHub</w:t>
        </w:r>
      </w:hyperlink>
    </w:p>
    <w:p w14:paraId="3324387A" w14:textId="77777777" w:rsidR="00597E8C" w:rsidRPr="00597E8C" w:rsidRDefault="00597E8C" w:rsidP="00597E8C">
      <w:pPr>
        <w:spacing w:after="60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2"/>
          <w:lang w:eastAsia="pt-PT"/>
          <w14:ligatures w14:val="none"/>
        </w:rPr>
      </w:pPr>
      <w:r>
        <w:rPr>
          <w:b/>
        </w:rPr>
        <w:t>Conteúdo indexado</w:t>
      </w:r>
    </w:p>
    <w:p w14:paraId="0F976CAD" w14:textId="77777777" w:rsidR="00597E8C" w:rsidRPr="00597E8C" w:rsidRDefault="00597E8C" w:rsidP="00597E8C">
      <w:pPr>
        <w:spacing w:after="60" w:line="240" w:lineRule="auto"/>
        <w:jc w:val="left"/>
        <w:rPr>
          <w:rFonts w:eastAsia="Times New Roman" w:cs="Times New Roman"/>
          <w:kern w:val="0"/>
          <w:szCs w:val="22"/>
          <w:lang w:eastAsia="pt-PT"/>
          <w14:ligatures w14:val="none"/>
        </w:rPr>
      </w:pPr>
      <w:r>
        <w:t>Quantificação analítica da resiliência; curva de funcionalidade Q(t); área normalizada sob a curva de desempenho; perda de funcionalidade; tempo de recuperação T_RE (TRE); período de controlo T_LC (TLC); trajetória de recuperação; robustez; rapidez de recuperação; redundância; mobilização de recursos (resourcefulness); perdas diretas e indiretas; interrupção de serviços; funções de recuperação linear, exponencial e trigonométrica; curvas de fragilidade; comparação de estratégias de reforço; relação entre investimento, perdas e resiliência.</w:t>
      </w:r>
    </w:p>
    <w:p w14:paraId="3F30EB59" w14:textId="77777777" w:rsidR="00597E8C" w:rsidRPr="00597E8C" w:rsidRDefault="00597E8C" w:rsidP="00597E8C">
      <w:pPr>
        <w:spacing w:after="60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2"/>
          <w:lang w:eastAsia="pt-PT"/>
          <w14:ligatures w14:val="none"/>
        </w:rPr>
      </w:pPr>
      <w:r w:rsidRPr="00597E8C">
        <w:rPr>
          <w:rFonts w:eastAsia="Times New Roman" w:cs="Times New Roman"/>
          <w:b/>
          <w:bCs/>
          <w:kern w:val="0"/>
          <w:szCs w:val="22"/>
          <w:lang w:eastAsia="pt-PT"/>
          <w14:ligatures w14:val="none"/>
        </w:rPr>
        <w:t>Localização do conteúdo</w:t>
      </w:r>
    </w:p>
    <w:p w14:paraId="52C183E5" w14:textId="77777777" w:rsidR="00597E8C" w:rsidRPr="00597E8C" w:rsidRDefault="00597E8C" w:rsidP="00597E8C">
      <w:pPr>
        <w:numPr>
          <w:ilvl w:val="0"/>
          <w:numId w:val="4"/>
        </w:numPr>
        <w:spacing w:after="60" w:line="240" w:lineRule="auto"/>
        <w:jc w:val="left"/>
        <w:rPr>
          <w:rFonts w:eastAsia="Times New Roman" w:cs="Times New Roman"/>
          <w:kern w:val="0"/>
          <w:szCs w:val="22"/>
          <w:lang w:eastAsia="pt-PT"/>
          <w14:ligatures w14:val="none"/>
        </w:rPr>
      </w:pPr>
      <w:r w:rsidRPr="00597E8C">
        <w:rPr>
          <w:rFonts w:eastAsia="Times New Roman" w:cs="Times New Roman"/>
          <w:b/>
          <w:bCs/>
          <w:kern w:val="0"/>
          <w:szCs w:val="22"/>
          <w:lang w:eastAsia="pt-PT"/>
          <w14:ligatures w14:val="none"/>
        </w:rPr>
        <w:t>PDF p. 1–2 | Revista pp. 3639–3640:</w:t>
      </w:r>
      <w:r w:rsidRPr="00597E8C">
        <w:rPr>
          <w:rFonts w:eastAsia="Times New Roman" w:cs="Times New Roman"/>
          <w:kern w:val="0"/>
          <w:szCs w:val="22"/>
          <w:lang w:eastAsia="pt-PT"/>
          <w14:ligatures w14:val="none"/>
        </w:rPr>
        <w:t xml:space="preserve"> contextualização; vulnerabilidade, fragilidade, recuperação e resiliência; revisão de estudos anteriores, incluindo sistemas elétricos, abastecimento de água e comunidades. </w:t>
      </w:r>
    </w:p>
    <w:p w14:paraId="64EDC028" w14:textId="77777777" w:rsidR="00597E8C" w:rsidRPr="00597E8C" w:rsidRDefault="00597E8C" w:rsidP="00597E8C">
      <w:pPr>
        <w:numPr>
          <w:ilvl w:val="0"/>
          <w:numId w:val="4"/>
        </w:numPr>
        <w:spacing w:after="60" w:line="240" w:lineRule="auto"/>
        <w:jc w:val="left"/>
        <w:rPr>
          <w:rFonts w:eastAsia="Times New Roman" w:cs="Times New Roman"/>
          <w:kern w:val="0"/>
          <w:szCs w:val="22"/>
          <w:lang w:eastAsia="pt-PT"/>
          <w14:ligatures w14:val="none"/>
        </w:rPr>
      </w:pPr>
      <w:r>
        <w:rPr>
          <w:b/>
        </w:rPr>
        <w:t>PDF p. 2 | Revista p. 3640:</w:t>
      </w:r>
      <w:r>
        <w:t xml:space="preserve"> definições de resiliência e tempo de recuperação; curva de funcionalidade Q(t); tempo de recuperação T_RE; período de controlo T_LC; Eqs. (1) e (2); resiliência como área normalizada sob a curva.</w:t>
      </w:r>
    </w:p>
    <w:p w14:paraId="0FF1A1D1" w14:textId="77777777" w:rsidR="00597E8C" w:rsidRPr="00597E8C" w:rsidRDefault="00597E8C" w:rsidP="00597E8C">
      <w:pPr>
        <w:numPr>
          <w:ilvl w:val="0"/>
          <w:numId w:val="4"/>
        </w:numPr>
        <w:spacing w:after="60" w:line="240" w:lineRule="auto"/>
        <w:jc w:val="left"/>
        <w:rPr>
          <w:rFonts w:eastAsia="Times New Roman" w:cs="Times New Roman"/>
          <w:kern w:val="0"/>
          <w:szCs w:val="22"/>
          <w:lang w:eastAsia="pt-PT"/>
          <w14:ligatures w14:val="none"/>
        </w:rPr>
      </w:pPr>
      <w:r w:rsidRPr="00597E8C">
        <w:rPr>
          <w:rFonts w:eastAsia="Times New Roman" w:cs="Times New Roman"/>
          <w:b/>
          <w:bCs/>
          <w:kern w:val="0"/>
          <w:szCs w:val="22"/>
          <w:lang w:eastAsia="pt-PT"/>
          <w14:ligatures w14:val="none"/>
        </w:rPr>
        <w:t>PDF p. 2–3 | Revista pp. 3640–3641:</w:t>
      </w:r>
      <w:r w:rsidRPr="00597E8C">
        <w:rPr>
          <w:rFonts w:eastAsia="Times New Roman" w:cs="Times New Roman"/>
          <w:kern w:val="0"/>
          <w:szCs w:val="22"/>
          <w:lang w:eastAsia="pt-PT"/>
          <w14:ligatures w14:val="none"/>
        </w:rPr>
        <w:t xml:space="preserve"> robustez, rapidez, redundância e </w:t>
      </w:r>
      <w:proofErr w:type="spellStart"/>
      <w:r w:rsidRPr="00597E8C">
        <w:rPr>
          <w:rFonts w:eastAsia="Times New Roman" w:cs="Times New Roman"/>
          <w:i/>
          <w:iCs/>
          <w:kern w:val="0"/>
          <w:szCs w:val="22"/>
          <w:lang w:eastAsia="pt-PT"/>
          <w14:ligatures w14:val="none"/>
        </w:rPr>
        <w:t>resourcefulness</w:t>
      </w:r>
      <w:proofErr w:type="spellEnd"/>
      <w:r w:rsidRPr="00597E8C">
        <w:rPr>
          <w:rFonts w:eastAsia="Times New Roman" w:cs="Times New Roman"/>
          <w:kern w:val="0"/>
          <w:szCs w:val="22"/>
          <w:lang w:eastAsia="pt-PT"/>
          <w14:ligatures w14:val="none"/>
        </w:rPr>
        <w:t xml:space="preserve">; </w:t>
      </w:r>
      <w:proofErr w:type="spellStart"/>
      <w:r w:rsidRPr="00597E8C">
        <w:rPr>
          <w:rFonts w:eastAsia="Times New Roman" w:cs="Times New Roman"/>
          <w:kern w:val="0"/>
          <w:szCs w:val="22"/>
          <w:lang w:eastAsia="pt-PT"/>
          <w14:ligatures w14:val="none"/>
        </w:rPr>
        <w:t>Eqs</w:t>
      </w:r>
      <w:proofErr w:type="spellEnd"/>
      <w:r w:rsidRPr="00597E8C">
        <w:rPr>
          <w:rFonts w:eastAsia="Times New Roman" w:cs="Times New Roman"/>
          <w:kern w:val="0"/>
          <w:szCs w:val="22"/>
          <w:lang w:eastAsia="pt-PT"/>
          <w14:ligatures w14:val="none"/>
        </w:rPr>
        <w:t>. (</w:t>
      </w:r>
      <w:proofErr w:type="gramStart"/>
      <w:r w:rsidRPr="00597E8C">
        <w:rPr>
          <w:rFonts w:eastAsia="Times New Roman" w:cs="Times New Roman"/>
          <w:kern w:val="0"/>
          <w:szCs w:val="22"/>
          <w:lang w:eastAsia="pt-PT"/>
          <w14:ligatures w14:val="none"/>
        </w:rPr>
        <w:t>3)–</w:t>
      </w:r>
      <w:proofErr w:type="gramEnd"/>
      <w:r w:rsidRPr="00597E8C">
        <w:rPr>
          <w:rFonts w:eastAsia="Times New Roman" w:cs="Times New Roman"/>
          <w:kern w:val="0"/>
          <w:szCs w:val="22"/>
          <w:lang w:eastAsia="pt-PT"/>
          <w14:ligatures w14:val="none"/>
        </w:rPr>
        <w:t xml:space="preserve">(6). </w:t>
      </w:r>
    </w:p>
    <w:p w14:paraId="43D975E3" w14:textId="77777777" w:rsidR="00597E8C" w:rsidRPr="00597E8C" w:rsidRDefault="00597E8C" w:rsidP="00597E8C">
      <w:pPr>
        <w:numPr>
          <w:ilvl w:val="0"/>
          <w:numId w:val="4"/>
        </w:numPr>
        <w:spacing w:after="60" w:line="240" w:lineRule="auto"/>
        <w:jc w:val="left"/>
        <w:rPr>
          <w:rFonts w:eastAsia="Times New Roman" w:cs="Times New Roman"/>
          <w:kern w:val="0"/>
          <w:szCs w:val="22"/>
          <w:lang w:eastAsia="pt-PT"/>
          <w14:ligatures w14:val="none"/>
        </w:rPr>
      </w:pPr>
      <w:r w:rsidRPr="00597E8C">
        <w:rPr>
          <w:rFonts w:eastAsia="Times New Roman" w:cs="Times New Roman"/>
          <w:b/>
          <w:bCs/>
          <w:kern w:val="0"/>
          <w:szCs w:val="22"/>
          <w:lang w:eastAsia="pt-PT"/>
          <w14:ligatures w14:val="none"/>
        </w:rPr>
        <w:t>PDF p. 3–4 | Revista pp. 3641–3642:</w:t>
      </w:r>
      <w:r w:rsidRPr="00597E8C">
        <w:rPr>
          <w:rFonts w:eastAsia="Times New Roman" w:cs="Times New Roman"/>
          <w:kern w:val="0"/>
          <w:szCs w:val="22"/>
          <w:lang w:eastAsia="pt-PT"/>
          <w14:ligatures w14:val="none"/>
        </w:rPr>
        <w:t xml:space="preserve"> função de perdas; perdas diretas e indiretas, económicas e humanas; </w:t>
      </w:r>
      <w:proofErr w:type="spellStart"/>
      <w:r w:rsidRPr="00597E8C">
        <w:rPr>
          <w:rFonts w:eastAsia="Times New Roman" w:cs="Times New Roman"/>
          <w:kern w:val="0"/>
          <w:szCs w:val="22"/>
          <w:lang w:eastAsia="pt-PT"/>
          <w14:ligatures w14:val="none"/>
        </w:rPr>
        <w:t>Eqs</w:t>
      </w:r>
      <w:proofErr w:type="spellEnd"/>
      <w:r w:rsidRPr="00597E8C">
        <w:rPr>
          <w:rFonts w:eastAsia="Times New Roman" w:cs="Times New Roman"/>
          <w:kern w:val="0"/>
          <w:szCs w:val="22"/>
          <w:lang w:eastAsia="pt-PT"/>
          <w14:ligatures w14:val="none"/>
        </w:rPr>
        <w:t>. (</w:t>
      </w:r>
      <w:proofErr w:type="gramStart"/>
      <w:r w:rsidRPr="00597E8C">
        <w:rPr>
          <w:rFonts w:eastAsia="Times New Roman" w:cs="Times New Roman"/>
          <w:kern w:val="0"/>
          <w:szCs w:val="22"/>
          <w:lang w:eastAsia="pt-PT"/>
          <w14:ligatures w14:val="none"/>
        </w:rPr>
        <w:t>7)–</w:t>
      </w:r>
      <w:proofErr w:type="gramEnd"/>
      <w:r w:rsidRPr="00597E8C">
        <w:rPr>
          <w:rFonts w:eastAsia="Times New Roman" w:cs="Times New Roman"/>
          <w:kern w:val="0"/>
          <w:szCs w:val="22"/>
          <w:lang w:eastAsia="pt-PT"/>
          <w14:ligatures w14:val="none"/>
        </w:rPr>
        <w:t xml:space="preserve">(12). </w:t>
      </w:r>
    </w:p>
    <w:p w14:paraId="088C70B1" w14:textId="77777777" w:rsidR="00597E8C" w:rsidRPr="00597E8C" w:rsidRDefault="00597E8C" w:rsidP="00597E8C">
      <w:pPr>
        <w:numPr>
          <w:ilvl w:val="0"/>
          <w:numId w:val="4"/>
        </w:numPr>
        <w:spacing w:after="60" w:line="240" w:lineRule="auto"/>
        <w:jc w:val="left"/>
        <w:rPr>
          <w:rFonts w:eastAsia="Times New Roman" w:cs="Times New Roman"/>
          <w:kern w:val="0"/>
          <w:szCs w:val="22"/>
          <w:lang w:eastAsia="pt-PT"/>
          <w14:ligatures w14:val="none"/>
        </w:rPr>
      </w:pPr>
      <w:r w:rsidRPr="00597E8C">
        <w:rPr>
          <w:rFonts w:eastAsia="Times New Roman" w:cs="Times New Roman"/>
          <w:b/>
          <w:bCs/>
          <w:kern w:val="0"/>
          <w:szCs w:val="22"/>
          <w:lang w:eastAsia="pt-PT"/>
          <w14:ligatures w14:val="none"/>
        </w:rPr>
        <w:t>PDF p. 4–5 | Revista pp. 3642–3643:</w:t>
      </w:r>
      <w:r w:rsidRPr="00597E8C">
        <w:rPr>
          <w:rFonts w:eastAsia="Times New Roman" w:cs="Times New Roman"/>
          <w:kern w:val="0"/>
          <w:szCs w:val="22"/>
          <w:lang w:eastAsia="pt-PT"/>
          <w14:ligatures w14:val="none"/>
        </w:rPr>
        <w:t xml:space="preserve"> limitações dos modelos centrados apenas na perda inicial; importância do tempo e da trajetória de recuperação. </w:t>
      </w:r>
    </w:p>
    <w:p w14:paraId="0ECBE702" w14:textId="77777777" w:rsidR="00597E8C" w:rsidRPr="00597E8C" w:rsidRDefault="00597E8C" w:rsidP="00597E8C">
      <w:pPr>
        <w:numPr>
          <w:ilvl w:val="0"/>
          <w:numId w:val="4"/>
        </w:numPr>
        <w:spacing w:after="60" w:line="240" w:lineRule="auto"/>
        <w:jc w:val="left"/>
        <w:rPr>
          <w:rFonts w:eastAsia="Times New Roman" w:cs="Times New Roman"/>
          <w:kern w:val="0"/>
          <w:szCs w:val="22"/>
          <w:lang w:eastAsia="pt-PT"/>
          <w14:ligatures w14:val="none"/>
        </w:rPr>
      </w:pPr>
      <w:r w:rsidRPr="00597E8C">
        <w:rPr>
          <w:rFonts w:eastAsia="Times New Roman" w:cs="Times New Roman"/>
          <w:b/>
          <w:bCs/>
          <w:kern w:val="0"/>
          <w:szCs w:val="22"/>
          <w:lang w:eastAsia="pt-PT"/>
          <w14:ligatures w14:val="none"/>
        </w:rPr>
        <w:t>PDF p. 5–6 | Revista pp. 3643–3644:</w:t>
      </w:r>
      <w:r w:rsidRPr="00597E8C">
        <w:rPr>
          <w:rFonts w:eastAsia="Times New Roman" w:cs="Times New Roman"/>
          <w:kern w:val="0"/>
          <w:szCs w:val="22"/>
          <w:lang w:eastAsia="pt-PT"/>
          <w14:ligatures w14:val="none"/>
        </w:rPr>
        <w:t xml:space="preserve"> funções de recuperação linear, exponencial e trigonométrica, </w:t>
      </w:r>
      <w:proofErr w:type="spellStart"/>
      <w:r w:rsidRPr="00597E8C">
        <w:rPr>
          <w:rFonts w:eastAsia="Times New Roman" w:cs="Times New Roman"/>
          <w:kern w:val="0"/>
          <w:szCs w:val="22"/>
          <w:lang w:eastAsia="pt-PT"/>
          <w14:ligatures w14:val="none"/>
        </w:rPr>
        <w:t>Eq</w:t>
      </w:r>
      <w:proofErr w:type="spellEnd"/>
      <w:r w:rsidRPr="00597E8C">
        <w:rPr>
          <w:rFonts w:eastAsia="Times New Roman" w:cs="Times New Roman"/>
          <w:kern w:val="0"/>
          <w:szCs w:val="22"/>
          <w:lang w:eastAsia="pt-PT"/>
          <w14:ligatures w14:val="none"/>
        </w:rPr>
        <w:t xml:space="preserve">. (13); analogia com sistema mecânico amortecido, </w:t>
      </w:r>
      <w:proofErr w:type="spellStart"/>
      <w:r w:rsidRPr="00597E8C">
        <w:rPr>
          <w:rFonts w:eastAsia="Times New Roman" w:cs="Times New Roman"/>
          <w:kern w:val="0"/>
          <w:szCs w:val="22"/>
          <w:lang w:eastAsia="pt-PT"/>
          <w14:ligatures w14:val="none"/>
        </w:rPr>
        <w:t>Eqs</w:t>
      </w:r>
      <w:proofErr w:type="spellEnd"/>
      <w:r w:rsidRPr="00597E8C">
        <w:rPr>
          <w:rFonts w:eastAsia="Times New Roman" w:cs="Times New Roman"/>
          <w:kern w:val="0"/>
          <w:szCs w:val="22"/>
          <w:lang w:eastAsia="pt-PT"/>
          <w14:ligatures w14:val="none"/>
        </w:rPr>
        <w:t>. (</w:t>
      </w:r>
      <w:proofErr w:type="gramStart"/>
      <w:r w:rsidRPr="00597E8C">
        <w:rPr>
          <w:rFonts w:eastAsia="Times New Roman" w:cs="Times New Roman"/>
          <w:kern w:val="0"/>
          <w:szCs w:val="22"/>
          <w:lang w:eastAsia="pt-PT"/>
          <w14:ligatures w14:val="none"/>
        </w:rPr>
        <w:t>14)–</w:t>
      </w:r>
      <w:proofErr w:type="gramEnd"/>
      <w:r w:rsidRPr="00597E8C">
        <w:rPr>
          <w:rFonts w:eastAsia="Times New Roman" w:cs="Times New Roman"/>
          <w:kern w:val="0"/>
          <w:szCs w:val="22"/>
          <w:lang w:eastAsia="pt-PT"/>
          <w14:ligatures w14:val="none"/>
        </w:rPr>
        <w:t xml:space="preserve">(17). </w:t>
      </w:r>
    </w:p>
    <w:p w14:paraId="3F69EDC0" w14:textId="77777777" w:rsidR="00597E8C" w:rsidRPr="00597E8C" w:rsidRDefault="00597E8C" w:rsidP="00597E8C">
      <w:pPr>
        <w:numPr>
          <w:ilvl w:val="0"/>
          <w:numId w:val="4"/>
        </w:numPr>
        <w:spacing w:after="60" w:line="240" w:lineRule="auto"/>
        <w:jc w:val="left"/>
        <w:rPr>
          <w:rFonts w:eastAsia="Times New Roman" w:cs="Times New Roman"/>
          <w:kern w:val="0"/>
          <w:szCs w:val="22"/>
          <w:lang w:eastAsia="pt-PT"/>
          <w14:ligatures w14:val="none"/>
        </w:rPr>
      </w:pPr>
      <w:r w:rsidRPr="00597E8C">
        <w:rPr>
          <w:rFonts w:eastAsia="Times New Roman" w:cs="Times New Roman"/>
          <w:b/>
          <w:bCs/>
          <w:kern w:val="0"/>
          <w:szCs w:val="22"/>
          <w:lang w:eastAsia="pt-PT"/>
          <w14:ligatures w14:val="none"/>
        </w:rPr>
        <w:t>PDF p. 6–7 | Revista pp. 3644–3645:</w:t>
      </w:r>
      <w:r w:rsidRPr="00597E8C">
        <w:rPr>
          <w:rFonts w:eastAsia="Times New Roman" w:cs="Times New Roman"/>
          <w:kern w:val="0"/>
          <w:szCs w:val="22"/>
          <w:lang w:eastAsia="pt-PT"/>
          <w14:ligatures w14:val="none"/>
        </w:rPr>
        <w:t xml:space="preserve"> integração com curvas de fragilidade e estados-limite multidimensionais; </w:t>
      </w:r>
      <w:proofErr w:type="spellStart"/>
      <w:r w:rsidRPr="00597E8C">
        <w:rPr>
          <w:rFonts w:eastAsia="Times New Roman" w:cs="Times New Roman"/>
          <w:kern w:val="0"/>
          <w:szCs w:val="22"/>
          <w:lang w:eastAsia="pt-PT"/>
          <w14:ligatures w14:val="none"/>
        </w:rPr>
        <w:t>Eqs</w:t>
      </w:r>
      <w:proofErr w:type="spellEnd"/>
      <w:r w:rsidRPr="00597E8C">
        <w:rPr>
          <w:rFonts w:eastAsia="Times New Roman" w:cs="Times New Roman"/>
          <w:kern w:val="0"/>
          <w:szCs w:val="22"/>
          <w:lang w:eastAsia="pt-PT"/>
          <w14:ligatures w14:val="none"/>
        </w:rPr>
        <w:t>. (</w:t>
      </w:r>
      <w:proofErr w:type="gramStart"/>
      <w:r w:rsidRPr="00597E8C">
        <w:rPr>
          <w:rFonts w:eastAsia="Times New Roman" w:cs="Times New Roman"/>
          <w:kern w:val="0"/>
          <w:szCs w:val="22"/>
          <w:lang w:eastAsia="pt-PT"/>
          <w14:ligatures w14:val="none"/>
        </w:rPr>
        <w:t>18)–</w:t>
      </w:r>
      <w:proofErr w:type="gramEnd"/>
      <w:r w:rsidRPr="00597E8C">
        <w:rPr>
          <w:rFonts w:eastAsia="Times New Roman" w:cs="Times New Roman"/>
          <w:kern w:val="0"/>
          <w:szCs w:val="22"/>
          <w:lang w:eastAsia="pt-PT"/>
          <w14:ligatures w14:val="none"/>
        </w:rPr>
        <w:t xml:space="preserve">(22). </w:t>
      </w:r>
    </w:p>
    <w:p w14:paraId="5DD2B72A" w14:textId="77777777" w:rsidR="00597E8C" w:rsidRPr="00597E8C" w:rsidRDefault="00597E8C" w:rsidP="00597E8C">
      <w:pPr>
        <w:numPr>
          <w:ilvl w:val="0"/>
          <w:numId w:val="4"/>
        </w:numPr>
        <w:spacing w:after="60" w:line="240" w:lineRule="auto"/>
        <w:jc w:val="left"/>
        <w:rPr>
          <w:rFonts w:eastAsia="Times New Roman" w:cs="Times New Roman"/>
          <w:kern w:val="0"/>
          <w:szCs w:val="22"/>
          <w:lang w:eastAsia="pt-PT"/>
          <w14:ligatures w14:val="none"/>
        </w:rPr>
      </w:pPr>
      <w:r w:rsidRPr="00597E8C">
        <w:rPr>
          <w:rFonts w:eastAsia="Times New Roman" w:cs="Times New Roman"/>
          <w:b/>
          <w:bCs/>
          <w:kern w:val="0"/>
          <w:szCs w:val="22"/>
          <w:lang w:eastAsia="pt-PT"/>
          <w14:ligatures w14:val="none"/>
        </w:rPr>
        <w:t>PDF p. 7–9 | Revista pp. 3645–3647:</w:t>
      </w:r>
      <w:r w:rsidRPr="00597E8C">
        <w:rPr>
          <w:rFonts w:eastAsia="Times New Roman" w:cs="Times New Roman"/>
          <w:kern w:val="0"/>
          <w:szCs w:val="22"/>
          <w:lang w:eastAsia="pt-PT"/>
          <w14:ligatures w14:val="none"/>
        </w:rPr>
        <w:t xml:space="preserve"> estudo de um hospital; modelação no IDARC2D; utilização do HAZUS; comparação de quatro estratégias de reforço sísmico. </w:t>
      </w:r>
    </w:p>
    <w:p w14:paraId="77C9ACFB" w14:textId="77777777" w:rsidR="00597E8C" w:rsidRPr="00597E8C" w:rsidRDefault="00597E8C" w:rsidP="00597E8C">
      <w:pPr>
        <w:numPr>
          <w:ilvl w:val="0"/>
          <w:numId w:val="4"/>
        </w:numPr>
        <w:spacing w:after="60" w:line="240" w:lineRule="auto"/>
        <w:jc w:val="left"/>
        <w:rPr>
          <w:rFonts w:eastAsia="Times New Roman" w:cs="Times New Roman"/>
          <w:kern w:val="0"/>
          <w:szCs w:val="22"/>
          <w:lang w:eastAsia="pt-PT"/>
          <w14:ligatures w14:val="none"/>
        </w:rPr>
      </w:pPr>
      <w:r w:rsidRPr="00597E8C">
        <w:rPr>
          <w:rFonts w:eastAsia="Times New Roman" w:cs="Times New Roman"/>
          <w:b/>
          <w:bCs/>
          <w:kern w:val="0"/>
          <w:szCs w:val="22"/>
          <w:lang w:eastAsia="pt-PT"/>
          <w14:ligatures w14:val="none"/>
        </w:rPr>
        <w:t>PDF p. 9–10 | Revista pp. 3647–3648:</w:t>
      </w:r>
      <w:r w:rsidRPr="00597E8C">
        <w:rPr>
          <w:rFonts w:eastAsia="Times New Roman" w:cs="Times New Roman"/>
          <w:kern w:val="0"/>
          <w:szCs w:val="22"/>
          <w:lang w:eastAsia="pt-PT"/>
          <w14:ligatures w14:val="none"/>
        </w:rPr>
        <w:t xml:space="preserve"> aplicação a uma rede de hospitais; custos, tempos de recuperação e valores de resiliência. </w:t>
      </w:r>
    </w:p>
    <w:p w14:paraId="0EFE1A83" w14:textId="77777777" w:rsidR="00597E8C" w:rsidRPr="00597E8C" w:rsidRDefault="00597E8C" w:rsidP="00597E8C">
      <w:pPr>
        <w:numPr>
          <w:ilvl w:val="0"/>
          <w:numId w:val="4"/>
        </w:numPr>
        <w:spacing w:after="60" w:line="240" w:lineRule="auto"/>
        <w:jc w:val="left"/>
        <w:rPr>
          <w:rFonts w:eastAsia="Times New Roman" w:cs="Times New Roman"/>
          <w:kern w:val="0"/>
          <w:szCs w:val="22"/>
          <w:lang w:eastAsia="pt-PT"/>
          <w14:ligatures w14:val="none"/>
        </w:rPr>
      </w:pPr>
      <w:r w:rsidRPr="00597E8C">
        <w:rPr>
          <w:rFonts w:eastAsia="Times New Roman" w:cs="Times New Roman"/>
          <w:b/>
          <w:bCs/>
          <w:kern w:val="0"/>
          <w:szCs w:val="22"/>
          <w:lang w:eastAsia="pt-PT"/>
          <w14:ligatures w14:val="none"/>
        </w:rPr>
        <w:t>PDF p. 10–11 | Revista pp. 3648–3649:</w:t>
      </w:r>
      <w:r w:rsidRPr="00597E8C">
        <w:rPr>
          <w:rFonts w:eastAsia="Times New Roman" w:cs="Times New Roman"/>
          <w:kern w:val="0"/>
          <w:szCs w:val="22"/>
          <w:lang w:eastAsia="pt-PT"/>
          <w14:ligatures w14:val="none"/>
        </w:rPr>
        <w:t xml:space="preserve"> resultados, utilidade para tomada de decisão e limitações de aplicação das hipóteses a outros sistemas. </w:t>
      </w:r>
    </w:p>
    <w:p w14:paraId="454BDAD9" w14:textId="77777777" w:rsidR="00597E8C" w:rsidRPr="00597E8C" w:rsidRDefault="00597E8C" w:rsidP="00597E8C">
      <w:pPr>
        <w:spacing w:after="60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2"/>
          <w:lang w:val="en-US" w:eastAsia="pt-PT"/>
          <w14:ligatures w14:val="none"/>
        </w:rPr>
      </w:pPr>
      <w:r>
        <w:rPr>
          <w:b/>
        </w:rPr>
        <w:t>Termos de pesquisa</w:t>
      </w:r>
    </w:p>
    <w:p w14:paraId="0A1786B6" w14:textId="77777777" w:rsidR="00597E8C" w:rsidRPr="00597E8C" w:rsidRDefault="00597E8C" w:rsidP="00597E8C">
      <w:pPr>
        <w:spacing w:after="60" w:line="240" w:lineRule="auto"/>
        <w:jc w:val="left"/>
        <w:rPr>
          <w:rFonts w:eastAsia="Times New Roman" w:cs="Times New Roman"/>
          <w:kern w:val="0"/>
          <w:szCs w:val="22"/>
          <w:lang w:val="en-US" w:eastAsia="pt-PT"/>
          <w14:ligatures w14:val="none"/>
        </w:rPr>
      </w:pPr>
      <w:r>
        <w:t>disaster resilience; resilience quantification; functionality curve; Q(t); performance loss; normalized area; recovery time; T_RE; TRE; control time; T_LC; TLC; recovery path; restoration time; rapidity; robustness; redundancy; resourcefulness; direct losses; indirect losses; business interruption; linear recovery; exponential recovery; trigonometric recovery; fragility; limit state; restoration; preparedness; hospital resilience; earthquake resilience.</w:t>
      </w:r>
    </w:p>
    <w:p w14:paraId="4397995B" w14:textId="77777777" w:rsidR="00597E8C" w:rsidRPr="00597E8C" w:rsidRDefault="00597E8C" w:rsidP="00597E8C">
      <w:pPr>
        <w:spacing w:after="60" w:line="240" w:lineRule="auto"/>
        <w:jc w:val="left"/>
        <w:rPr>
          <w:rFonts w:eastAsia="Times New Roman" w:cs="Times New Roman"/>
          <w:kern w:val="0"/>
          <w:szCs w:val="22"/>
          <w:lang w:eastAsia="pt-PT"/>
          <w14:ligatures w14:val="none"/>
        </w:rPr>
      </w:pPr>
      <w:r>
        <w:rPr>
          <w:b/>
        </w:rPr>
        <w:t>Equivalentes em português:</w:t>
      </w:r>
      <w:r>
        <w:t xml:space="preserve"> quantificação da resiliência; área de perda de desempenho; área sob a curva; curva de funcionalidade Q(t); tempo de recuperação T_RE; tempo de recomposição; período de controlo T_LC; trajetória de recuperação; rapidez; robustez; redundância; mobilização de recursos; perdas diretas e indiretas; interrupção do serviço; fragilidade; estado-limite; estado limite; restauração; evento extremo.</w:t>
      </w:r>
    </w:p>
    <w:p w14:paraId="29E31C77" w14:textId="77777777" w:rsidR="00597E8C" w:rsidRPr="00597E8C" w:rsidRDefault="00597E8C" w:rsidP="00597E8C">
      <w:pPr>
        <w:spacing w:after="60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2"/>
          <w:lang w:eastAsia="pt-PT"/>
          <w14:ligatures w14:val="none"/>
        </w:rPr>
      </w:pPr>
      <w:r w:rsidRPr="00597E8C">
        <w:rPr>
          <w:rFonts w:eastAsia="Times New Roman" w:cs="Times New Roman"/>
          <w:b/>
          <w:bCs/>
          <w:kern w:val="0"/>
          <w:szCs w:val="22"/>
          <w:lang w:eastAsia="pt-PT"/>
          <w14:ligatures w14:val="none"/>
        </w:rPr>
        <w:t>Possíveis utilizações na tese</w:t>
      </w:r>
    </w:p>
    <w:p w14:paraId="08C7C3FF" w14:textId="77777777" w:rsidR="00597E8C" w:rsidRPr="00597E8C" w:rsidRDefault="00597E8C" w:rsidP="00597E8C">
      <w:pPr>
        <w:spacing w:after="60" w:line="240" w:lineRule="auto"/>
        <w:jc w:val="left"/>
        <w:rPr>
          <w:rFonts w:eastAsia="Times New Roman" w:cs="Times New Roman"/>
          <w:kern w:val="0"/>
          <w:szCs w:val="22"/>
          <w:lang w:eastAsia="pt-PT"/>
          <w14:ligatures w14:val="none"/>
        </w:rPr>
      </w:pPr>
      <w:r w:rsidRPr="00597E8C">
        <w:rPr>
          <w:rFonts w:eastAsia="Times New Roman" w:cs="Times New Roman"/>
          <w:kern w:val="0"/>
          <w:szCs w:val="22"/>
          <w:lang w:eastAsia="pt-PT"/>
          <w14:ligatures w14:val="none"/>
        </w:rPr>
        <w:t>Contextualização da resiliência; fundamentação da área entre desempenho esperado e realizado; representação temporal do impacto; importância do tempo de recuperação; distinção entre perda inicial e processo de recomposição; fundamentação dos fatores robustez e rapidez; crítica aos modelos que avaliam apenas danos instantâneos.</w:t>
      </w:r>
    </w:p>
    <w:sectPr w:rsidR="00597E8C" w:rsidRPr="00597E8C" w:rsidSect="008655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E2BB9"/>
    <w:multiLevelType w:val="multilevel"/>
    <w:tmpl w:val="44E6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871F9E"/>
    <w:multiLevelType w:val="multilevel"/>
    <w:tmpl w:val="4D32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52A6D"/>
    <w:multiLevelType w:val="multilevel"/>
    <w:tmpl w:val="AB0C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900264"/>
    <w:multiLevelType w:val="multilevel"/>
    <w:tmpl w:val="A6DC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314095">
    <w:abstractNumId w:val="1"/>
  </w:num>
  <w:num w:numId="2" w16cid:durableId="451442712">
    <w:abstractNumId w:val="0"/>
  </w:num>
  <w:num w:numId="3" w16cid:durableId="73936260">
    <w:abstractNumId w:val="3"/>
  </w:num>
  <w:num w:numId="4" w16cid:durableId="1917787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5BE"/>
    <w:rsid w:val="002D52A7"/>
    <w:rsid w:val="0030303A"/>
    <w:rsid w:val="00472E89"/>
    <w:rsid w:val="00597E8C"/>
    <w:rsid w:val="006577C1"/>
    <w:rsid w:val="006E0CBA"/>
    <w:rsid w:val="008655BE"/>
    <w:rsid w:val="008D5531"/>
    <w:rsid w:val="00917A4D"/>
    <w:rsid w:val="00B234FC"/>
    <w:rsid w:val="00B53199"/>
    <w:rsid w:val="00DC3086"/>
    <w:rsid w:val="00F43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AC6EE"/>
  <w15:chartTrackingRefBased/>
  <w15:docId w15:val="{FD87097E-596A-469A-B949-B0F1225C3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9"/>
    <w:pPr>
      <w:spacing w:after="120" w:line="276" w:lineRule="auto"/>
      <w:jc w:val="both"/>
    </w:pPr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3086"/>
    <w:pPr>
      <w:keepNext/>
      <w:keepLines/>
      <w:spacing w:after="240"/>
      <w:outlineLvl w:val="0"/>
    </w:pPr>
    <w:rPr>
      <w:rFonts w:eastAsiaTheme="majorEastAsia" w:cstheme="majorBidi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3199"/>
    <w:pPr>
      <w:keepNext/>
      <w:keepLines/>
      <w:spacing w:after="240"/>
      <w:outlineLvl w:val="1"/>
    </w:pPr>
    <w:rPr>
      <w:rFonts w:eastAsiaTheme="majorEastAsia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55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5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5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5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5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5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5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086"/>
    <w:rPr>
      <w:rFonts w:ascii="Times New Roman" w:eastAsiaTheme="majorEastAsia" w:hAnsi="Times New Roman" w:cstheme="majorBidi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3199"/>
    <w:rPr>
      <w:rFonts w:ascii="Times New Roman" w:eastAsiaTheme="majorEastAsia" w:hAnsi="Times New Roman" w:cstheme="majorBidi"/>
      <w:b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234FC"/>
    <w:pPr>
      <w:spacing w:after="240" w:line="240" w:lineRule="auto"/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4FC"/>
    <w:rPr>
      <w:rFonts w:ascii="Times New Roman" w:eastAsiaTheme="majorEastAsia" w:hAnsi="Times New Roman" w:cstheme="majorBidi"/>
      <w:b/>
      <w:spacing w:val="-10"/>
      <w:kern w:val="28"/>
      <w:sz w:val="48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865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5BE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5BE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5BE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5BE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5BE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5BE"/>
    <w:rPr>
      <w:rFonts w:eastAsiaTheme="majorEastAsia" w:cstheme="majorBidi"/>
      <w:color w:val="272727" w:themeColor="text1" w:themeTint="D8"/>
      <w:sz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5B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5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5BE"/>
    <w:rPr>
      <w:rFonts w:ascii="Times New Roman" w:hAnsi="Times New Roman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865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5BE"/>
    <w:rPr>
      <w:rFonts w:ascii="Times New Roman" w:hAnsi="Times New Roman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8655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55BE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655BE"/>
    <w:rPr>
      <w:b/>
      <w:bCs/>
    </w:rPr>
  </w:style>
  <w:style w:type="character" w:styleId="Emphasis">
    <w:name w:val="Emphasis"/>
    <w:basedOn w:val="DefaultParagraphFont"/>
    <w:uiPriority w:val="20"/>
    <w:qFormat/>
    <w:rsid w:val="008655B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97E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gprbo.github.io/artigos_guardados_grau_alto/2010%20Framework%20for%20analytical%20quantification%20of%20disaster%20resilience-ELSEVIER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606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2026-07-17T19:00:00Z</dcterms:created>
  <dcterms:modified xsi:type="dcterms:W3CDTF">2026-07-17T19:00:00Z</dcterms:modified>
</cp:coreProperties>
</file>