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5F6D0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Título e Autores</w:t>
      </w:r>
    </w:p>
    <w:p w14:paraId="2DDA4D13" w14:textId="77777777" w:rsidR="00182694" w:rsidRDefault="00182694" w:rsidP="00182694">
      <w:proofErr w:type="spellStart"/>
      <w:r>
        <w:t>Título</w:t>
      </w:r>
      <w:proofErr w:type="spellEnd"/>
      <w:r>
        <w:t>: A Comparison of Monte Carlo Simulation Techniques for Composite Power System Reliability Assessment</w:t>
      </w:r>
    </w:p>
    <w:p w14:paraId="36E6617C" w14:textId="77777777" w:rsidR="00182694" w:rsidRDefault="00182694" w:rsidP="00182694"/>
    <w:p w14:paraId="2ACB9EA1" w14:textId="77777777" w:rsidR="00182694" w:rsidRDefault="00182694" w:rsidP="00182694">
      <w:proofErr w:type="spellStart"/>
      <w:r>
        <w:t>Autores</w:t>
      </w:r>
      <w:proofErr w:type="spellEnd"/>
      <w:r>
        <w:t xml:space="preserve">: Roy </w:t>
      </w:r>
      <w:proofErr w:type="spellStart"/>
      <w:r>
        <w:t>Billinton</w:t>
      </w:r>
      <w:proofErr w:type="spellEnd"/>
      <w:r>
        <w:t xml:space="preserve">, A. </w:t>
      </w:r>
      <w:proofErr w:type="spellStart"/>
      <w:r>
        <w:t>Sankarakrishnan</w:t>
      </w:r>
      <w:proofErr w:type="spellEnd"/>
    </w:p>
    <w:p w14:paraId="2F27F83E" w14:textId="77777777" w:rsidR="00182694" w:rsidRDefault="00182694" w:rsidP="00182694"/>
    <w:p w14:paraId="60916053" w14:textId="77777777" w:rsidR="00182694" w:rsidRDefault="00182694" w:rsidP="00182694">
      <w:proofErr w:type="spellStart"/>
      <w:r>
        <w:t>Afiliação</w:t>
      </w:r>
      <w:proofErr w:type="spellEnd"/>
      <w:r>
        <w:t xml:space="preserve">: Power Systems Research Group, University of Saskatchewan, </w:t>
      </w:r>
      <w:proofErr w:type="spellStart"/>
      <w:r>
        <w:t>Canadá</w:t>
      </w:r>
      <w:proofErr w:type="spellEnd"/>
    </w:p>
    <w:p w14:paraId="49796A2B" w14:textId="77777777" w:rsidR="00182694" w:rsidRDefault="00182694" w:rsidP="00182694"/>
    <w:p w14:paraId="44294830" w14:textId="5B1425A9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Resumo do Abstract</w:t>
      </w:r>
    </w:p>
    <w:p w14:paraId="7EC332D3" w14:textId="77777777" w:rsidR="00182694" w:rsidRDefault="00182694" w:rsidP="00182694">
      <w:pPr>
        <w:rPr>
          <w:lang w:val="pt-BR"/>
        </w:rPr>
      </w:pPr>
      <w:r w:rsidRPr="00182694">
        <w:rPr>
          <w:lang w:val="pt-BR"/>
        </w:rPr>
        <w:t>O artigo compara três métodos de simulação de Monte Carlo aplicados à avaliação da confiabilidade de sistemas de potência compostos: amostragem sequencial, amostragem de estados (</w:t>
      </w:r>
      <w:proofErr w:type="spellStart"/>
      <w:r w:rsidRPr="00182694">
        <w:rPr>
          <w:lang w:val="pt-BR"/>
        </w:rPr>
        <w:t>state</w:t>
      </w:r>
      <w:proofErr w:type="spellEnd"/>
      <w:r w:rsidRPr="00182694">
        <w:rPr>
          <w:lang w:val="pt-BR"/>
        </w:rPr>
        <w:t xml:space="preserve"> </w:t>
      </w:r>
      <w:proofErr w:type="spellStart"/>
      <w:r w:rsidRPr="00182694">
        <w:rPr>
          <w:lang w:val="pt-BR"/>
        </w:rPr>
        <w:t>sampling</w:t>
      </w:r>
      <w:proofErr w:type="spellEnd"/>
      <w:r w:rsidRPr="00182694">
        <w:rPr>
          <w:lang w:val="pt-BR"/>
        </w:rPr>
        <w:t>) e amostragem de transição de estados (</w:t>
      </w:r>
      <w:proofErr w:type="spellStart"/>
      <w:r w:rsidRPr="00182694">
        <w:rPr>
          <w:lang w:val="pt-BR"/>
        </w:rPr>
        <w:t>state</w:t>
      </w:r>
      <w:proofErr w:type="spellEnd"/>
      <w:r w:rsidRPr="00182694">
        <w:rPr>
          <w:lang w:val="pt-BR"/>
        </w:rPr>
        <w:t xml:space="preserve"> </w:t>
      </w:r>
      <w:proofErr w:type="spellStart"/>
      <w:r w:rsidRPr="00182694">
        <w:rPr>
          <w:lang w:val="pt-BR"/>
        </w:rPr>
        <w:t>transition</w:t>
      </w:r>
      <w:proofErr w:type="spellEnd"/>
      <w:r w:rsidRPr="00182694">
        <w:rPr>
          <w:lang w:val="pt-BR"/>
        </w:rPr>
        <w:t xml:space="preserve"> </w:t>
      </w:r>
      <w:proofErr w:type="spellStart"/>
      <w:r w:rsidRPr="00182694">
        <w:rPr>
          <w:lang w:val="pt-BR"/>
        </w:rPr>
        <w:t>sampling</w:t>
      </w:r>
      <w:proofErr w:type="spellEnd"/>
      <w:r w:rsidRPr="00182694">
        <w:rPr>
          <w:lang w:val="pt-BR"/>
        </w:rPr>
        <w:t>). Os métodos são aplicados ao sistema de teste RBTS e avaliados com base em métricas como probabilidade de corte de carga (PLC), energia esperada não suprida (EENS) e frequência esperada de cortes (EFLC). O estudo mostra como diferentes técnicas influenciam o tempo computacional, a precisão dos resultados e a modelagem cronológica de cargas e falhas.</w:t>
      </w:r>
    </w:p>
    <w:p w14:paraId="1FC43579" w14:textId="77777777" w:rsidR="00182694" w:rsidRPr="00182694" w:rsidRDefault="00182694" w:rsidP="00182694">
      <w:pPr>
        <w:rPr>
          <w:lang w:val="pt-BR"/>
        </w:rPr>
      </w:pPr>
    </w:p>
    <w:p w14:paraId="2181BD3E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1. Introdução</w:t>
      </w:r>
    </w:p>
    <w:p w14:paraId="0945BF48" w14:textId="77777777" w:rsidR="00182694" w:rsidRDefault="00182694" w:rsidP="00182694">
      <w:pPr>
        <w:rPr>
          <w:lang w:val="pt-BR"/>
        </w:rPr>
      </w:pPr>
      <w:r w:rsidRPr="00182694">
        <w:rPr>
          <w:lang w:val="pt-BR"/>
        </w:rPr>
        <w:t>A confiabilidade de sistemas compostos (geração + transmissão) é avaliada por métodos analíticos e de simulação. O artigo compara três abordagens baseadas em Monte Carlo. A simulação sequencial preserva a cronologia dos eventos e fornece índices estatísticos completos, mas exige maior esforço computacional. As técnicas não-sequenciais (</w:t>
      </w:r>
      <w:proofErr w:type="spellStart"/>
      <w:r w:rsidRPr="00182694">
        <w:rPr>
          <w:lang w:val="pt-BR"/>
        </w:rPr>
        <w:t>state</w:t>
      </w:r>
      <w:proofErr w:type="spellEnd"/>
      <w:r w:rsidRPr="00182694">
        <w:rPr>
          <w:lang w:val="pt-BR"/>
        </w:rPr>
        <w:t xml:space="preserve"> </w:t>
      </w:r>
      <w:proofErr w:type="spellStart"/>
      <w:r w:rsidRPr="00182694">
        <w:rPr>
          <w:lang w:val="pt-BR"/>
        </w:rPr>
        <w:t>sampling</w:t>
      </w:r>
      <w:proofErr w:type="spellEnd"/>
      <w:r w:rsidRPr="00182694">
        <w:rPr>
          <w:lang w:val="pt-BR"/>
        </w:rPr>
        <w:t xml:space="preserve"> e </w:t>
      </w:r>
      <w:proofErr w:type="spellStart"/>
      <w:r w:rsidRPr="00182694">
        <w:rPr>
          <w:lang w:val="pt-BR"/>
        </w:rPr>
        <w:t>state</w:t>
      </w:r>
      <w:proofErr w:type="spellEnd"/>
      <w:r w:rsidRPr="00182694">
        <w:rPr>
          <w:lang w:val="pt-BR"/>
        </w:rPr>
        <w:t xml:space="preserve"> </w:t>
      </w:r>
      <w:proofErr w:type="spellStart"/>
      <w:r w:rsidRPr="00182694">
        <w:rPr>
          <w:lang w:val="pt-BR"/>
        </w:rPr>
        <w:t>transition</w:t>
      </w:r>
      <w:proofErr w:type="spellEnd"/>
      <w:r w:rsidRPr="00182694">
        <w:rPr>
          <w:lang w:val="pt-BR"/>
        </w:rPr>
        <w:t xml:space="preserve"> </w:t>
      </w:r>
      <w:proofErr w:type="spellStart"/>
      <w:r w:rsidRPr="00182694">
        <w:rPr>
          <w:lang w:val="pt-BR"/>
        </w:rPr>
        <w:t>sampling</w:t>
      </w:r>
      <w:proofErr w:type="spellEnd"/>
      <w:r w:rsidRPr="00182694">
        <w:rPr>
          <w:lang w:val="pt-BR"/>
        </w:rPr>
        <w:t>) são mais rápidas, mas têm limitações na modelagem temporal e de transições entre estados.</w:t>
      </w:r>
    </w:p>
    <w:p w14:paraId="600C32C5" w14:textId="77777777" w:rsidR="00182694" w:rsidRPr="00182694" w:rsidRDefault="00182694" w:rsidP="00182694">
      <w:pPr>
        <w:rPr>
          <w:lang w:val="pt-BR"/>
        </w:rPr>
      </w:pPr>
    </w:p>
    <w:p w14:paraId="53C7D2C5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2. Metodologia</w:t>
      </w:r>
    </w:p>
    <w:p w14:paraId="33EDB073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As três técnicas analisadas são:</w:t>
      </w:r>
    </w:p>
    <w:p w14:paraId="4097004C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- **Amostragem de Estados (SS):** sorteia aleatoriamente os estados dos componentes do sistema (geradores, linhas), sem considerar a cronologia. Baseia-se na taxa de falha forçada (FOR) e avalia diretamente se há sobrecarga ou necessidade de corte de carga.</w:t>
      </w:r>
    </w:p>
    <w:p w14:paraId="7BF33940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- **Amostragem de Transição de Estados (STS):** modela transições entre estados globais do sistema, com tempo de residência assumido exponencial. Fornece maior fidelidade à frequência de ocorrência dos estados.</w:t>
      </w:r>
    </w:p>
    <w:p w14:paraId="3CE83DB1" w14:textId="77777777" w:rsidR="00182694" w:rsidRDefault="00182694" w:rsidP="00182694">
      <w:pPr>
        <w:rPr>
          <w:lang w:val="pt-BR"/>
        </w:rPr>
      </w:pPr>
      <w:r w:rsidRPr="00182694">
        <w:rPr>
          <w:lang w:val="pt-BR"/>
        </w:rPr>
        <w:t>- **Simulação Sequencial:** utiliza distribuições temporais (exponenciais) para cada componente, simulando o comportamento horário durante um ano completo. Permite calcular duração, frequência e energia não fornecida com maior precisão.</w:t>
      </w:r>
    </w:p>
    <w:p w14:paraId="7FBB828C" w14:textId="77777777" w:rsidR="00182694" w:rsidRPr="00182694" w:rsidRDefault="00182694" w:rsidP="00182694">
      <w:pPr>
        <w:rPr>
          <w:lang w:val="pt-BR"/>
        </w:rPr>
      </w:pPr>
    </w:p>
    <w:p w14:paraId="34938971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3. Resultados</w:t>
      </w:r>
    </w:p>
    <w:p w14:paraId="1B0C7B3C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 xml:space="preserve">As três técnicas foram aplicadas ao sistema de teste RBTS com carga anual de 185 MW. O modelo inclui curvas de carga horária para cada barra, curvas de duração da carga e simulação por </w:t>
      </w:r>
      <w:r w:rsidRPr="00182694">
        <w:rPr>
          <w:lang w:val="pt-BR"/>
        </w:rPr>
        <w:lastRenderedPageBreak/>
        <w:t>1000 anos (8736 horas por ano). A simulação foi repetida até a variação da EDNS ser inferior a 6%.</w:t>
      </w:r>
    </w:p>
    <w:p w14:paraId="48E075B4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Os principais índices calculados foram:</w:t>
      </w:r>
    </w:p>
    <w:p w14:paraId="66104A1D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- PLC (Probabilidade de Corte de Carga)</w:t>
      </w:r>
    </w:p>
    <w:p w14:paraId="19F81E91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- EFLC (Frequência Esperada de Cortes por Ano)</w:t>
      </w:r>
    </w:p>
    <w:p w14:paraId="5EB966F5" w14:textId="77777777" w:rsidR="00182694" w:rsidRDefault="00182694" w:rsidP="00182694">
      <w:pPr>
        <w:rPr>
          <w:lang w:val="pt-BR"/>
        </w:rPr>
      </w:pPr>
      <w:r w:rsidRPr="00182694">
        <w:rPr>
          <w:lang w:val="pt-BR"/>
        </w:rPr>
        <w:t>- EENS (Energia Esperada Não Suprida, em MWh/ano)</w:t>
      </w:r>
    </w:p>
    <w:p w14:paraId="39EAAC67" w14:textId="77777777" w:rsidR="00182694" w:rsidRPr="00182694" w:rsidRDefault="00182694" w:rsidP="00182694">
      <w:pPr>
        <w:rPr>
          <w:lang w:val="pt-BR"/>
        </w:rPr>
      </w:pPr>
    </w:p>
    <w:p w14:paraId="09AFAD62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4. Discussão</w:t>
      </w:r>
    </w:p>
    <w:p w14:paraId="339B3D0D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A simulação sequencial fornece resultados mais robustos e com cronologia preservada, sendo ideal para estudos que envolvem eventos contínuos, duração de falhas, e avaliações de frequência. Entretanto, exige mais tempo computacional.</w:t>
      </w:r>
    </w:p>
    <w:p w14:paraId="6581FB41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As técnicas não-sequenciais, especialmente a STS, apresentaram boa aproximação dos índices de confiabilidade com menor custo computacional. Ao dividir a curva de carga em etapas (10, 15 e até 70 segmentos), os autores mostraram que a precisão dos métodos SS e STS aumenta consideravelmente.</w:t>
      </w:r>
    </w:p>
    <w:p w14:paraId="4690DD28" w14:textId="77777777" w:rsidR="00182694" w:rsidRDefault="00182694" w:rsidP="00182694">
      <w:pPr>
        <w:rPr>
          <w:lang w:val="pt-BR"/>
        </w:rPr>
      </w:pPr>
      <w:r w:rsidRPr="00182694">
        <w:rPr>
          <w:lang w:val="pt-BR"/>
        </w:rPr>
        <w:t>A STS se aproxima mais da simulação sequencial do que a SS, especialmente para índices como EENS.</w:t>
      </w:r>
    </w:p>
    <w:p w14:paraId="35DAA1DD" w14:textId="77777777" w:rsidR="00182694" w:rsidRPr="00182694" w:rsidRDefault="00182694" w:rsidP="00182694">
      <w:pPr>
        <w:rPr>
          <w:lang w:val="pt-BR"/>
        </w:rPr>
      </w:pPr>
    </w:p>
    <w:p w14:paraId="3E811AA1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5. Conclusão Crítica</w:t>
      </w:r>
    </w:p>
    <w:p w14:paraId="79E756D2" w14:textId="77777777" w:rsidR="00182694" w:rsidRDefault="00182694" w:rsidP="00182694">
      <w:pPr>
        <w:rPr>
          <w:lang w:val="pt-BR"/>
        </w:rPr>
      </w:pPr>
      <w:r w:rsidRPr="00182694">
        <w:rPr>
          <w:lang w:val="pt-BR"/>
        </w:rPr>
        <w:t>Este trabalho é uma referência clássica na avaliação comparativa de métodos Monte Carlo para análise de confiabilidade de sistemas compostos. A proposta de utilização de curvas de carga horária e de duração para modelar o sistema de forma realista torna-se extremamente relevante para aplicações modernas, inclusive na análise de resiliência diante de eventos extremos. O artigo justifica a aplicação de métodos híbridos ou sequenciais conforme a complexidade e o objetivo da análise.</w:t>
      </w:r>
    </w:p>
    <w:p w14:paraId="1E311D44" w14:textId="77777777" w:rsidR="00182694" w:rsidRPr="00182694" w:rsidRDefault="00182694" w:rsidP="00182694">
      <w:pPr>
        <w:rPr>
          <w:lang w:val="pt-BR"/>
        </w:rPr>
      </w:pPr>
    </w:p>
    <w:p w14:paraId="3AFAA94E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Resumo dos Achados Principais</w:t>
      </w:r>
    </w:p>
    <w:p w14:paraId="3D3DE848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- Comparação entre simulação sequencial, SS e STS</w:t>
      </w:r>
    </w:p>
    <w:p w14:paraId="0B04EEEC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- STS é mais próxima da sequência real que SS e mais rápida que o sequencial</w:t>
      </w:r>
    </w:p>
    <w:p w14:paraId="574E8244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- Curvas de carga horária melhoram precisão dos resultados</w:t>
      </w:r>
    </w:p>
    <w:p w14:paraId="79E83CD2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 xml:space="preserve">- Índices como EENS e PLC se aproximam do valor real com </w:t>
      </w:r>
      <w:proofErr w:type="spellStart"/>
      <w:r w:rsidRPr="00182694">
        <w:rPr>
          <w:lang w:val="pt-BR"/>
        </w:rPr>
        <w:t>discretização</w:t>
      </w:r>
      <w:proofErr w:type="spellEnd"/>
      <w:r w:rsidRPr="00182694">
        <w:rPr>
          <w:lang w:val="pt-BR"/>
        </w:rPr>
        <w:t xml:space="preserve"> em múltiplas etapas</w:t>
      </w:r>
    </w:p>
    <w:p w14:paraId="5D72477D" w14:textId="77777777" w:rsidR="00182694" w:rsidRDefault="00182694" w:rsidP="00182694">
      <w:pPr>
        <w:rPr>
          <w:lang w:val="pt-BR"/>
        </w:rPr>
      </w:pPr>
      <w:r w:rsidRPr="00182694">
        <w:rPr>
          <w:lang w:val="pt-BR"/>
        </w:rPr>
        <w:t>- Aplicação prática no sistema RBTS com modelagem detalhada</w:t>
      </w:r>
    </w:p>
    <w:p w14:paraId="72F306D8" w14:textId="77777777" w:rsidR="00182694" w:rsidRPr="00182694" w:rsidRDefault="00182694" w:rsidP="00182694">
      <w:pPr>
        <w:rPr>
          <w:lang w:val="pt-BR"/>
        </w:rPr>
      </w:pPr>
    </w:p>
    <w:p w14:paraId="042D625A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Descrição Técnica de Figuras, Gráficos e Tabelas</w:t>
      </w:r>
    </w:p>
    <w:p w14:paraId="5C22C54D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• Tabela 1: Índices de carga por barra para os três métodos</w:t>
      </w:r>
    </w:p>
    <w:p w14:paraId="3CF7F410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• Tabela 2: Índices globais de confiabilidade do sistema</w:t>
      </w:r>
    </w:p>
    <w:p w14:paraId="0F5AE288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• Fig. 3–5: Curvas de carga horária para as barras 3 e 6</w:t>
      </w:r>
    </w:p>
    <w:p w14:paraId="2CB13148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• Fig. 6: EENS versus anos de simulação (até convergência)</w:t>
      </w:r>
    </w:p>
    <w:p w14:paraId="24BC61A3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 xml:space="preserve">• Tabela 4–5: Comparação entre </w:t>
      </w:r>
      <w:proofErr w:type="spellStart"/>
      <w:r w:rsidRPr="00182694">
        <w:rPr>
          <w:lang w:val="pt-BR"/>
        </w:rPr>
        <w:t>discretização</w:t>
      </w:r>
      <w:proofErr w:type="spellEnd"/>
      <w:r w:rsidRPr="00182694">
        <w:rPr>
          <w:lang w:val="pt-BR"/>
        </w:rPr>
        <w:t xml:space="preserve"> da curva de carga em 10 e 15 etapas</w:t>
      </w:r>
    </w:p>
    <w:p w14:paraId="69FA72D1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t>• Tabela 7: Comparação entre os métodos com 70 etapas</w:t>
      </w:r>
    </w:p>
    <w:p w14:paraId="4813BC81" w14:textId="77777777" w:rsidR="00182694" w:rsidRPr="00182694" w:rsidRDefault="00182694" w:rsidP="00182694">
      <w:pPr>
        <w:rPr>
          <w:lang w:val="pt-BR"/>
        </w:rPr>
      </w:pPr>
      <w:r w:rsidRPr="00182694">
        <w:rPr>
          <w:lang w:val="pt-BR"/>
        </w:rPr>
        <w:lastRenderedPageBreak/>
        <w:t>• Fig. 8: Diferença percentual da EENS entre os métodos</w:t>
      </w:r>
    </w:p>
    <w:sectPr w:rsidR="00182694" w:rsidRPr="00182694" w:rsidSect="00435A17">
      <w:pgSz w:w="11907" w:h="16840" w:code="9"/>
      <w:pgMar w:top="1440" w:right="1440" w:bottom="1077" w:left="1797" w:header="720" w:footer="119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94"/>
    <w:rsid w:val="000131F2"/>
    <w:rsid w:val="00050A60"/>
    <w:rsid w:val="0007293B"/>
    <w:rsid w:val="0008424C"/>
    <w:rsid w:val="00096FFB"/>
    <w:rsid w:val="000C625D"/>
    <w:rsid w:val="000D45BD"/>
    <w:rsid w:val="00172112"/>
    <w:rsid w:val="00172264"/>
    <w:rsid w:val="00182694"/>
    <w:rsid w:val="00196796"/>
    <w:rsid w:val="0024739D"/>
    <w:rsid w:val="00285BB1"/>
    <w:rsid w:val="00347332"/>
    <w:rsid w:val="00393441"/>
    <w:rsid w:val="0039444F"/>
    <w:rsid w:val="003F704C"/>
    <w:rsid w:val="004234AF"/>
    <w:rsid w:val="00423B9B"/>
    <w:rsid w:val="00435A17"/>
    <w:rsid w:val="004B5BB7"/>
    <w:rsid w:val="00502614"/>
    <w:rsid w:val="005272F0"/>
    <w:rsid w:val="00595B01"/>
    <w:rsid w:val="0061413D"/>
    <w:rsid w:val="00744A15"/>
    <w:rsid w:val="00785F46"/>
    <w:rsid w:val="007E0455"/>
    <w:rsid w:val="007E69F0"/>
    <w:rsid w:val="00804B85"/>
    <w:rsid w:val="008226B2"/>
    <w:rsid w:val="008C0D5E"/>
    <w:rsid w:val="00A04542"/>
    <w:rsid w:val="00A74270"/>
    <w:rsid w:val="00A773DD"/>
    <w:rsid w:val="00A91291"/>
    <w:rsid w:val="00AA4524"/>
    <w:rsid w:val="00AC5231"/>
    <w:rsid w:val="00B753F9"/>
    <w:rsid w:val="00B7708D"/>
    <w:rsid w:val="00B811CD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5575A"/>
    <w:rsid w:val="00ED59D0"/>
    <w:rsid w:val="00EF273B"/>
    <w:rsid w:val="00F7611F"/>
    <w:rsid w:val="00F7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B6E91"/>
  <w15:chartTrackingRefBased/>
  <w15:docId w15:val="{EA099E1D-5389-42D8-8530-2B5FBA30C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A17"/>
    <w:pPr>
      <w:spacing w:after="0" w:line="336" w:lineRule="auto"/>
    </w:pPr>
    <w:rPr>
      <w:rFonts w:ascii="Times New Roman" w:eastAsiaTheme="minorEastAsia" w:hAnsi="Times New Roman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26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26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26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26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26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tulo">
    <w:name w:val="Title"/>
    <w:basedOn w:val="Normal"/>
    <w:next w:val="Normal"/>
    <w:link w:val="TtuloChar"/>
    <w:uiPriority w:val="10"/>
    <w:qFormat/>
    <w:rsid w:val="00B7708D"/>
    <w:pPr>
      <w:pBdr>
        <w:bottom w:val="single" w:sz="8" w:space="4" w:color="auto"/>
      </w:pBdr>
      <w:spacing w:after="300" w:line="240" w:lineRule="auto"/>
      <w:contextualSpacing/>
    </w:pPr>
    <w:rPr>
      <w:rFonts w:eastAsiaTheme="majorEastAsia" w:cstheme="majorBidi"/>
      <w:spacing w:val="5"/>
      <w:kern w:val="28"/>
      <w:sz w:val="32"/>
      <w:szCs w:val="52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rsid w:val="00B7708D"/>
    <w:rPr>
      <w:rFonts w:eastAsiaTheme="minorHAnsi"/>
      <w:i/>
      <w:iCs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B7708D"/>
    <w:rPr>
      <w:rFonts w:ascii="Times New Roman" w:hAnsi="Times New Roman"/>
      <w:i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2694"/>
    <w:rPr>
      <w:rFonts w:eastAsiaTheme="majorEastAsia" w:cstheme="majorBidi"/>
      <w:color w:val="0F4761" w:themeColor="accent1" w:themeShade="BF"/>
      <w:lang w:val="en-US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2694"/>
    <w:rPr>
      <w:rFonts w:eastAsiaTheme="majorEastAsia" w:cstheme="majorBidi"/>
      <w:i/>
      <w:iCs/>
      <w:color w:val="595959" w:themeColor="text1" w:themeTint="A6"/>
      <w:lang w:val="en-US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2694"/>
    <w:rPr>
      <w:rFonts w:eastAsiaTheme="majorEastAsia" w:cstheme="majorBidi"/>
      <w:color w:val="595959" w:themeColor="text1" w:themeTint="A6"/>
      <w:lang w:val="en-US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2694"/>
    <w:rPr>
      <w:rFonts w:eastAsiaTheme="majorEastAsia" w:cstheme="majorBidi"/>
      <w:i/>
      <w:iCs/>
      <w:color w:val="272727" w:themeColor="text1" w:themeTint="D8"/>
      <w:lang w:val="en-US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2694"/>
    <w:rPr>
      <w:rFonts w:eastAsiaTheme="majorEastAsia" w:cstheme="majorBidi"/>
      <w:color w:val="272727" w:themeColor="text1" w:themeTint="D8"/>
      <w:lang w:val="en-US"/>
      <w14:ligatures w14:val="none"/>
    </w:rPr>
  </w:style>
  <w:style w:type="paragraph" w:styleId="PargrafodaLista">
    <w:name w:val="List Paragraph"/>
    <w:basedOn w:val="Normal"/>
    <w:uiPriority w:val="34"/>
    <w:qFormat/>
    <w:rsid w:val="001826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26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2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2694"/>
    <w:rPr>
      <w:rFonts w:ascii="Times New Roman" w:eastAsiaTheme="minorEastAsia" w:hAnsi="Times New Roman"/>
      <w:i/>
      <w:iCs/>
      <w:color w:val="0F4761" w:themeColor="accent1" w:themeShade="BF"/>
      <w:lang w:val="en-US"/>
      <w14:ligatures w14:val="none"/>
    </w:rPr>
  </w:style>
  <w:style w:type="character" w:styleId="RefernciaIntensa">
    <w:name w:val="Intense Reference"/>
    <w:basedOn w:val="Fontepargpadro"/>
    <w:uiPriority w:val="32"/>
    <w:qFormat/>
    <w:rsid w:val="00182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715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2025-05-10T16:14:00Z</dcterms:created>
  <dcterms:modified xsi:type="dcterms:W3CDTF">2025-05-10T16:16:00Z</dcterms:modified>
</cp:coreProperties>
</file>