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83BD" w14:textId="0C7CD72A" w:rsidR="00AC5231" w:rsidRDefault="003C7E52">
      <w:pPr>
        <w:rPr>
          <w:lang w:val="en-US"/>
        </w:rPr>
      </w:pPr>
      <w:r w:rsidRPr="003C7E52">
        <w:rPr>
          <w:lang w:val="en-US"/>
        </w:rPr>
        <w:t>Resilience of Integrated Power and Water Systems</w:t>
      </w:r>
    </w:p>
    <w:p w14:paraId="71272DB1" w14:textId="77777777" w:rsidR="003C7E52" w:rsidRDefault="003C7E52">
      <w:pPr>
        <w:rPr>
          <w:lang w:val="en-US"/>
        </w:rPr>
      </w:pPr>
    </w:p>
    <w:p w14:paraId="3EB6CE1C" w14:textId="77777777" w:rsidR="00D27DEC" w:rsidRDefault="00D27DEC" w:rsidP="00D27DEC">
      <w:pPr>
        <w:pStyle w:val="NormalWeb"/>
      </w:pPr>
      <w:r>
        <w:t xml:space="preserve">Este trabalho é </w:t>
      </w:r>
      <w:r>
        <w:rPr>
          <w:rStyle w:val="Strong"/>
          <w:rFonts w:eastAsiaTheme="majorEastAsia"/>
        </w:rPr>
        <w:t>um dos pilares técnicos iniciais</w:t>
      </w:r>
      <w:r>
        <w:t xml:space="preserve"> da aplicação </w:t>
      </w:r>
      <w:r>
        <w:rPr>
          <w:rStyle w:val="Strong"/>
          <w:rFonts w:eastAsiaTheme="majorEastAsia"/>
        </w:rPr>
        <w:t>quantitativa da resiliência a sistemas elétricos</w:t>
      </w:r>
      <w:r>
        <w:t xml:space="preserve">, com forte integração entre </w:t>
      </w:r>
      <w:r>
        <w:rPr>
          <w:rStyle w:val="Strong"/>
          <w:rFonts w:eastAsiaTheme="majorEastAsia"/>
        </w:rPr>
        <w:t>modelagem física, probabilística e operacional</w:t>
      </w:r>
      <w:r>
        <w:t xml:space="preserve">. É uma extensão aplicada do </w:t>
      </w:r>
      <w:proofErr w:type="spellStart"/>
      <w:r>
        <w:t>framework</w:t>
      </w:r>
      <w:proofErr w:type="spellEnd"/>
      <w:r>
        <w:t xml:space="preserve"> de </w:t>
      </w:r>
      <w:proofErr w:type="spellStart"/>
      <w:r>
        <w:t>Bruneau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al., agora </w:t>
      </w:r>
      <w:r>
        <w:rPr>
          <w:rStyle w:val="Strong"/>
          <w:rFonts w:eastAsiaTheme="majorEastAsia"/>
        </w:rPr>
        <w:t>implementada em sistemas reais</w:t>
      </w:r>
      <w:r>
        <w:t>.</w:t>
      </w:r>
    </w:p>
    <w:p w14:paraId="060DE7DC" w14:textId="77777777" w:rsidR="00D27DEC" w:rsidRDefault="00D27DEC" w:rsidP="00D27DEC">
      <w:pPr>
        <w:pStyle w:val="NormalWeb"/>
      </w:pPr>
      <w:r>
        <w:t>Principais contributos técnicos relevantes:</w:t>
      </w:r>
    </w:p>
    <w:p w14:paraId="5E8494AC" w14:textId="77777777" w:rsidR="00D27DEC" w:rsidRDefault="00D27DEC" w:rsidP="00D27DEC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Resiliência como desempenho ao longo do tempo</w:t>
      </w:r>
    </w:p>
    <w:p w14:paraId="1F487BB4" w14:textId="77777777" w:rsidR="00D27DEC" w:rsidRDefault="00D27DEC" w:rsidP="00D27DEC">
      <w:pPr>
        <w:pStyle w:val="NormalWeb"/>
        <w:numPr>
          <w:ilvl w:val="1"/>
          <w:numId w:val="1"/>
        </w:numPr>
      </w:pPr>
      <w:r>
        <w:t xml:space="preserve">Introduz explicitamente </w:t>
      </w:r>
      <w:r>
        <w:rPr>
          <w:rStyle w:val="Strong"/>
          <w:rFonts w:eastAsiaTheme="majorEastAsia"/>
        </w:rPr>
        <w:t>curvas de desempenho × tempo</w:t>
      </w:r>
      <w:r>
        <w:t xml:space="preserve"> (robustez + recuperação).</w:t>
      </w:r>
    </w:p>
    <w:p w14:paraId="3ABE6D7A" w14:textId="77777777" w:rsidR="00D27DEC" w:rsidRDefault="00D27DEC" w:rsidP="00D27DEC">
      <w:pPr>
        <w:pStyle w:val="NormalWeb"/>
        <w:numPr>
          <w:ilvl w:val="1"/>
          <w:numId w:val="1"/>
        </w:numPr>
      </w:pPr>
      <w:r>
        <w:t>Quantificação de:</w:t>
      </w:r>
    </w:p>
    <w:p w14:paraId="367AA6EE" w14:textId="77777777" w:rsidR="00D27DEC" w:rsidRDefault="00D27DEC" w:rsidP="00D27DEC">
      <w:pPr>
        <w:pStyle w:val="NormalWeb"/>
        <w:numPr>
          <w:ilvl w:val="2"/>
          <w:numId w:val="1"/>
        </w:numPr>
      </w:pPr>
      <w:proofErr w:type="spellStart"/>
      <w:r>
        <w:rPr>
          <w:rStyle w:val="Strong"/>
          <w:rFonts w:eastAsiaTheme="majorEastAsia"/>
        </w:rPr>
        <w:t>robustness</w:t>
      </w:r>
      <w:proofErr w:type="spellEnd"/>
      <w:r>
        <w:t xml:space="preserve"> (perda inicial de desempenho);</w:t>
      </w:r>
    </w:p>
    <w:p w14:paraId="1A62C87D" w14:textId="77777777" w:rsidR="00D27DEC" w:rsidRDefault="00D27DEC" w:rsidP="00D27DEC">
      <w:pPr>
        <w:pStyle w:val="NormalWeb"/>
        <w:numPr>
          <w:ilvl w:val="2"/>
          <w:numId w:val="1"/>
        </w:numPr>
      </w:pPr>
      <w:proofErr w:type="spellStart"/>
      <w:r>
        <w:rPr>
          <w:rStyle w:val="Strong"/>
          <w:rFonts w:eastAsiaTheme="majorEastAsia"/>
        </w:rPr>
        <w:t>rapidity</w:t>
      </w:r>
      <w:proofErr w:type="spellEnd"/>
      <w:r>
        <w:t xml:space="preserve"> (tempo/taxa de restauração).</w:t>
      </w:r>
    </w:p>
    <w:p w14:paraId="5AB21696" w14:textId="77777777" w:rsidR="00D27DEC" w:rsidRDefault="00D27DEC" w:rsidP="00D27DEC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Integração transmissão–restauração</w:t>
      </w:r>
    </w:p>
    <w:p w14:paraId="7D1954A7" w14:textId="77777777" w:rsidR="00D27DEC" w:rsidRDefault="00D27DEC" w:rsidP="00D27DEC">
      <w:pPr>
        <w:pStyle w:val="NormalWeb"/>
        <w:numPr>
          <w:ilvl w:val="1"/>
          <w:numId w:val="1"/>
        </w:numPr>
      </w:pPr>
      <w:r>
        <w:t xml:space="preserve">Modela </w:t>
      </w:r>
      <w:r>
        <w:rPr>
          <w:rStyle w:val="Strong"/>
          <w:rFonts w:eastAsiaTheme="majorEastAsia"/>
        </w:rPr>
        <w:t xml:space="preserve">estações </w:t>
      </w:r>
      <w:proofErr w:type="spellStart"/>
      <w:r>
        <w:rPr>
          <w:rStyle w:val="Strong"/>
          <w:rFonts w:eastAsiaTheme="majorEastAsia"/>
        </w:rPr>
        <w:t>receptoras</w:t>
      </w:r>
      <w:proofErr w:type="spellEnd"/>
      <w:r>
        <w:rPr>
          <w:rStyle w:val="Strong"/>
          <w:rFonts w:eastAsiaTheme="majorEastAsia"/>
        </w:rPr>
        <w:t>, transformadores, disjuntores e chaves</w:t>
      </w:r>
      <w:r>
        <w:t xml:space="preserve"> como elementos críticos.</w:t>
      </w:r>
    </w:p>
    <w:p w14:paraId="4FD1748A" w14:textId="77777777" w:rsidR="00D27DEC" w:rsidRDefault="00D27DEC" w:rsidP="00D27DEC">
      <w:pPr>
        <w:pStyle w:val="NormalWeb"/>
        <w:numPr>
          <w:ilvl w:val="1"/>
          <w:numId w:val="1"/>
        </w:numPr>
      </w:pPr>
      <w:r>
        <w:t xml:space="preserve">Linhas de transmissão tratadas como </w:t>
      </w:r>
      <w:r>
        <w:rPr>
          <w:rStyle w:val="Strong"/>
          <w:rFonts w:eastAsiaTheme="majorEastAsia"/>
        </w:rPr>
        <w:t>ligações estruturais</w:t>
      </w:r>
      <w:r>
        <w:t xml:space="preserve"> (com hipóteses explícitas).</w:t>
      </w:r>
    </w:p>
    <w:p w14:paraId="3170C54C" w14:textId="77777777" w:rsidR="00D27DEC" w:rsidRDefault="00D27DEC" w:rsidP="00D27DEC">
      <w:pPr>
        <w:pStyle w:val="NormalWeb"/>
        <w:numPr>
          <w:ilvl w:val="1"/>
          <w:numId w:val="1"/>
        </w:numPr>
      </w:pPr>
      <w:r>
        <w:t xml:space="preserve">Uso de </w:t>
      </w:r>
      <w:proofErr w:type="spellStart"/>
      <w:r>
        <w:rPr>
          <w:rStyle w:val="Strong"/>
          <w:rFonts w:eastAsiaTheme="majorEastAsia"/>
        </w:rPr>
        <w:t>fragility</w:t>
      </w:r>
      <w:proofErr w:type="spellEnd"/>
      <w:r>
        <w:rPr>
          <w:rStyle w:val="Strong"/>
          <w:rFonts w:eastAsiaTheme="majorEastAsia"/>
        </w:rPr>
        <w:t xml:space="preserve"> curves</w:t>
      </w:r>
      <w:r>
        <w:t xml:space="preserve"> derivadas do sismo de </w:t>
      </w:r>
      <w:proofErr w:type="spellStart"/>
      <w:r>
        <w:t>Northridge</w:t>
      </w:r>
      <w:proofErr w:type="spellEnd"/>
      <w:r>
        <w:t xml:space="preserve"> (1994).</w:t>
      </w:r>
    </w:p>
    <w:p w14:paraId="4E4DD56B" w14:textId="77777777" w:rsidR="00D27DEC" w:rsidRDefault="00D27DEC" w:rsidP="00D27DEC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Modelagem probabilística avançada</w:t>
      </w:r>
    </w:p>
    <w:p w14:paraId="1B01376D" w14:textId="77777777" w:rsidR="00D27DEC" w:rsidRDefault="00D27DEC" w:rsidP="00D27DEC">
      <w:pPr>
        <w:pStyle w:val="NormalWeb"/>
        <w:numPr>
          <w:ilvl w:val="1"/>
          <w:numId w:val="1"/>
        </w:numPr>
      </w:pPr>
      <w:r>
        <w:t xml:space="preserve">Uso de </w:t>
      </w:r>
      <w:r>
        <w:rPr>
          <w:rStyle w:val="Strong"/>
          <w:rFonts w:eastAsiaTheme="majorEastAsia"/>
        </w:rPr>
        <w:t>cenários sísmicos múltiplos</w:t>
      </w:r>
      <w:r>
        <w:t xml:space="preserve"> (47 eventos) com probabilidades anuais equivalentes.</w:t>
      </w:r>
    </w:p>
    <w:p w14:paraId="18B80400" w14:textId="77777777" w:rsidR="00D27DEC" w:rsidRDefault="00D27DEC" w:rsidP="00D27DEC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Simulação de Monte Carlo</w:t>
      </w:r>
      <w:r>
        <w:t xml:space="preserve"> integrada a fluxo de potência (IPFLOW/EPRI).</w:t>
      </w:r>
    </w:p>
    <w:p w14:paraId="667E3EB4" w14:textId="77777777" w:rsidR="00D27DEC" w:rsidRDefault="00D27DEC" w:rsidP="00D27DEC">
      <w:pPr>
        <w:pStyle w:val="NormalWeb"/>
        <w:numPr>
          <w:ilvl w:val="1"/>
          <w:numId w:val="1"/>
        </w:numPr>
      </w:pPr>
      <w:r>
        <w:t xml:space="preserve">Geração de </w:t>
      </w:r>
      <w:proofErr w:type="spellStart"/>
      <w:r>
        <w:rPr>
          <w:rStyle w:val="Strong"/>
          <w:rFonts w:eastAsiaTheme="majorEastAsia"/>
        </w:rPr>
        <w:t>risk</w:t>
      </w:r>
      <w:proofErr w:type="spellEnd"/>
      <w:r>
        <w:rPr>
          <w:rStyle w:val="Strong"/>
          <w:rFonts w:eastAsiaTheme="majorEastAsia"/>
        </w:rPr>
        <w:t xml:space="preserve"> curves</w:t>
      </w:r>
      <w:r>
        <w:t xml:space="preserve"> para:</w:t>
      </w:r>
    </w:p>
    <w:p w14:paraId="14385CE7" w14:textId="77777777" w:rsidR="00D27DEC" w:rsidRDefault="00D27DEC" w:rsidP="00D27DEC">
      <w:pPr>
        <w:pStyle w:val="NormalWeb"/>
        <w:numPr>
          <w:ilvl w:val="2"/>
          <w:numId w:val="1"/>
        </w:numPr>
      </w:pPr>
      <w:r>
        <w:t>redução de potência,</w:t>
      </w:r>
    </w:p>
    <w:p w14:paraId="5150D7C5" w14:textId="77777777" w:rsidR="00D27DEC" w:rsidRDefault="00D27DEC" w:rsidP="00D27DEC">
      <w:pPr>
        <w:pStyle w:val="NormalWeb"/>
        <w:numPr>
          <w:ilvl w:val="2"/>
          <w:numId w:val="1"/>
        </w:numPr>
      </w:pPr>
      <w:r>
        <w:t>consumidores sem energia,</w:t>
      </w:r>
    </w:p>
    <w:p w14:paraId="25726FD8" w14:textId="77777777" w:rsidR="00D27DEC" w:rsidRDefault="00D27DEC" w:rsidP="00D27DEC">
      <w:pPr>
        <w:pStyle w:val="NormalWeb"/>
        <w:numPr>
          <w:ilvl w:val="2"/>
          <w:numId w:val="1"/>
        </w:numPr>
      </w:pPr>
      <w:r>
        <w:t>perdas económicas (GRP).</w:t>
      </w:r>
    </w:p>
    <w:p w14:paraId="32396BB0" w14:textId="77777777" w:rsidR="00D27DEC" w:rsidRDefault="00D27DEC" w:rsidP="00D27DEC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Incorporação explícita da recuperação</w:t>
      </w:r>
    </w:p>
    <w:p w14:paraId="5FE51DF2" w14:textId="77777777" w:rsidR="00D27DEC" w:rsidRDefault="00D27DEC" w:rsidP="00D27DEC">
      <w:pPr>
        <w:pStyle w:val="NormalWeb"/>
        <w:numPr>
          <w:ilvl w:val="1"/>
          <w:numId w:val="1"/>
        </w:numPr>
      </w:pPr>
      <w:r>
        <w:t xml:space="preserve">Modelos de </w:t>
      </w:r>
      <w:r>
        <w:rPr>
          <w:rStyle w:val="Strong"/>
          <w:rFonts w:eastAsiaTheme="majorEastAsia"/>
        </w:rPr>
        <w:t>restauração temporal</w:t>
      </w:r>
      <w:r>
        <w:t xml:space="preserve"> calibrados com dados reais.</w:t>
      </w:r>
    </w:p>
    <w:p w14:paraId="73BAB30A" w14:textId="77777777" w:rsidR="00D27DEC" w:rsidRDefault="00D27DEC" w:rsidP="00D27DEC">
      <w:pPr>
        <w:pStyle w:val="NormalWeb"/>
        <w:numPr>
          <w:ilvl w:val="1"/>
          <w:numId w:val="1"/>
        </w:numPr>
      </w:pPr>
      <w:r>
        <w:t xml:space="preserve">Introduz, de forma pioneira, a noção de </w:t>
      </w:r>
      <w:r>
        <w:rPr>
          <w:rStyle w:val="Strong"/>
          <w:rFonts w:eastAsiaTheme="majorEastAsia"/>
        </w:rPr>
        <w:t>processo de recuperação como parte do índice de resiliência</w:t>
      </w:r>
      <w:r>
        <w:t>, não apenas como pós-processamento.</w:t>
      </w:r>
    </w:p>
    <w:p w14:paraId="5C737693" w14:textId="77777777" w:rsidR="00D27DEC" w:rsidRDefault="00D27DEC" w:rsidP="00D27DEC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Interdependência entre infraestruturas</w:t>
      </w:r>
    </w:p>
    <w:p w14:paraId="5498CDA0" w14:textId="77777777" w:rsidR="00D27DEC" w:rsidRDefault="00D27DEC" w:rsidP="00D27DEC">
      <w:pPr>
        <w:pStyle w:val="NormalWeb"/>
        <w:numPr>
          <w:ilvl w:val="1"/>
          <w:numId w:val="1"/>
        </w:numPr>
      </w:pPr>
      <w:r>
        <w:t xml:space="preserve">Demonstra, com dados reais, a </w:t>
      </w:r>
      <w:r>
        <w:rPr>
          <w:rStyle w:val="Strong"/>
          <w:rFonts w:eastAsiaTheme="majorEastAsia"/>
        </w:rPr>
        <w:t>dependência do sistema de água da rede elétrica</w:t>
      </w:r>
      <w:r>
        <w:t>.</w:t>
      </w:r>
    </w:p>
    <w:p w14:paraId="0515665E" w14:textId="77777777" w:rsidR="00D27DEC" w:rsidRDefault="00D27DEC" w:rsidP="00D27DEC">
      <w:pPr>
        <w:pStyle w:val="NormalWeb"/>
        <w:numPr>
          <w:ilvl w:val="1"/>
          <w:numId w:val="1"/>
        </w:numPr>
      </w:pPr>
      <w:r>
        <w:t>Mostra como atrasos na recuperação elétrica propagam impactos sistêmicos.</w:t>
      </w:r>
    </w:p>
    <w:p w14:paraId="3971249D" w14:textId="77777777" w:rsidR="00D27DEC" w:rsidRPr="00D27DEC" w:rsidRDefault="00D27DEC"/>
    <w:sectPr w:rsidR="00D27DEC" w:rsidRPr="00D27DE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3192"/>
    <w:multiLevelType w:val="multilevel"/>
    <w:tmpl w:val="DC3EC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388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5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C7E52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27DEC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C7B55"/>
  <w15:chartTrackingRefBased/>
  <w15:docId w15:val="{A24420C7-0DAD-40E7-9E72-1516D2CE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E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E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E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E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E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E5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E5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E5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E5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E5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C7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E5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C7E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7DE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27D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249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2025-12-31T17:01:00Z</dcterms:created>
  <dcterms:modified xsi:type="dcterms:W3CDTF">2025-12-31T17:05:00Z</dcterms:modified>
</cp:coreProperties>
</file>