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6883" w14:textId="36D868BB" w:rsidR="00AC5231" w:rsidRDefault="00940265">
      <w:pPr>
        <w:rPr>
          <w:lang w:val="en-US"/>
        </w:rPr>
      </w:pPr>
      <w:r w:rsidRPr="00940265">
        <w:rPr>
          <w:lang w:val="en-US"/>
        </w:rPr>
        <w:t xml:space="preserve">Hyogo Framework for Action 2005-2015-Building the </w:t>
      </w:r>
      <w:proofErr w:type="spellStart"/>
      <w:r w:rsidRPr="00940265">
        <w:rPr>
          <w:lang w:val="en-US"/>
        </w:rPr>
        <w:t>Resiliecnce</w:t>
      </w:r>
      <w:proofErr w:type="spellEnd"/>
      <w:r w:rsidRPr="00940265">
        <w:rPr>
          <w:lang w:val="en-US"/>
        </w:rPr>
        <w:t xml:space="preserve"> of Nations and Communities to Disasters</w:t>
      </w:r>
    </w:p>
    <w:p w14:paraId="7661ED83" w14:textId="77777777" w:rsidR="00940265" w:rsidRDefault="00940265">
      <w:pPr>
        <w:rPr>
          <w:lang w:val="en-US"/>
        </w:rPr>
      </w:pPr>
    </w:p>
    <w:p w14:paraId="7189401F" w14:textId="77777777" w:rsidR="00940265" w:rsidRDefault="00940265" w:rsidP="00940265">
      <w:pPr>
        <w:pStyle w:val="NormalWeb"/>
      </w:pPr>
      <w:r>
        <w:t xml:space="preserve">O </w:t>
      </w:r>
      <w:proofErr w:type="spellStart"/>
      <w:r>
        <w:rPr>
          <w:rStyle w:val="Strong"/>
          <w:rFonts w:eastAsiaTheme="majorEastAsia"/>
        </w:rPr>
        <w:t>Hyogo</w:t>
      </w:r>
      <w:proofErr w:type="spellEnd"/>
      <w:r>
        <w:rPr>
          <w:rStyle w:val="Strong"/>
          <w:rFonts w:eastAsiaTheme="majorEastAsia"/>
        </w:rPr>
        <w:t xml:space="preserve"> Framework for </w:t>
      </w:r>
      <w:proofErr w:type="spellStart"/>
      <w:r>
        <w:rPr>
          <w:rStyle w:val="Strong"/>
          <w:rFonts w:eastAsiaTheme="majorEastAsia"/>
        </w:rPr>
        <w:t>Action</w:t>
      </w:r>
      <w:proofErr w:type="spellEnd"/>
      <w:r>
        <w:rPr>
          <w:rStyle w:val="Strong"/>
          <w:rFonts w:eastAsiaTheme="majorEastAsia"/>
        </w:rPr>
        <w:t xml:space="preserve"> (HFA 2005–2015)</w:t>
      </w:r>
      <w:r>
        <w:t xml:space="preserve"> é o </w:t>
      </w:r>
      <w:r>
        <w:rPr>
          <w:rStyle w:val="Strong"/>
          <w:rFonts w:eastAsiaTheme="majorEastAsia"/>
        </w:rPr>
        <w:t>principal marco institucional internacional</w:t>
      </w:r>
      <w:r>
        <w:t xml:space="preserve"> que consolidou o conceito de </w:t>
      </w:r>
      <w:r>
        <w:rPr>
          <w:rStyle w:val="Strong"/>
          <w:rFonts w:eastAsiaTheme="majorEastAsia"/>
        </w:rPr>
        <w:t>resiliência</w:t>
      </w:r>
      <w:r>
        <w:t xml:space="preserve"> no período pós-2005, estabelecendo </w:t>
      </w:r>
      <w:r>
        <w:rPr>
          <w:rStyle w:val="Strong"/>
          <w:rFonts w:eastAsiaTheme="majorEastAsia"/>
        </w:rPr>
        <w:t>objetivos estratégicos, prioridades e linhas de ação</w:t>
      </w:r>
      <w:r>
        <w:t xml:space="preserve">, porém </w:t>
      </w:r>
      <w:r>
        <w:rPr>
          <w:rStyle w:val="Strong"/>
          <w:rFonts w:eastAsiaTheme="majorEastAsia"/>
        </w:rPr>
        <w:t>sem formalização matemática ou técnica de engenharia</w:t>
      </w:r>
      <w:r>
        <w:t>.</w:t>
      </w:r>
    </w:p>
    <w:p w14:paraId="396DD1E9" w14:textId="77777777" w:rsidR="00940265" w:rsidRDefault="00940265" w:rsidP="00940265">
      <w:pPr>
        <w:pStyle w:val="NormalWeb"/>
      </w:pPr>
      <w:r>
        <w:t>Principais contributos relevantes:</w:t>
      </w:r>
    </w:p>
    <w:p w14:paraId="451A99CE" w14:textId="77777777" w:rsidR="00940265" w:rsidRDefault="00940265" w:rsidP="009402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Definição institucional de resiliência</w:t>
      </w:r>
    </w:p>
    <w:p w14:paraId="288B5C96" w14:textId="77777777" w:rsidR="00940265" w:rsidRDefault="00940265" w:rsidP="00940265">
      <w:pPr>
        <w:pStyle w:val="NormalWeb"/>
        <w:numPr>
          <w:ilvl w:val="1"/>
          <w:numId w:val="1"/>
        </w:numPr>
      </w:pPr>
      <w:r>
        <w:t xml:space="preserve">Resiliência definida como a capacidade de </w:t>
      </w:r>
      <w:r>
        <w:rPr>
          <w:rStyle w:val="Strong"/>
          <w:rFonts w:eastAsiaTheme="majorEastAsia"/>
        </w:rPr>
        <w:t>resistir, adaptar-se e recuperar</w:t>
      </w:r>
      <w:r>
        <w:t xml:space="preserve"> mantendo um nível aceitável de funcionamento (Seção I e nota 7).</w:t>
      </w:r>
    </w:p>
    <w:p w14:paraId="056BBDCA" w14:textId="77777777" w:rsidR="00940265" w:rsidRDefault="00940265" w:rsidP="00940265">
      <w:pPr>
        <w:pStyle w:val="NormalWeb"/>
        <w:numPr>
          <w:ilvl w:val="1"/>
          <w:numId w:val="1"/>
        </w:numPr>
      </w:pPr>
      <w:r>
        <w:t xml:space="preserve">Ênfase clara no </w:t>
      </w:r>
      <w:r>
        <w:rPr>
          <w:rStyle w:val="Strong"/>
          <w:rFonts w:eastAsiaTheme="majorEastAsia"/>
        </w:rPr>
        <w:t>ciclo completo do desastre</w:t>
      </w:r>
      <w:r>
        <w:t>: prevenção → mitigação → preparação → resposta → recuperação.</w:t>
      </w:r>
    </w:p>
    <w:p w14:paraId="115C92F3" w14:textId="77777777" w:rsidR="00940265" w:rsidRDefault="00940265" w:rsidP="009402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Prioridades de ação (2005–2015)</w:t>
      </w:r>
      <w:r>
        <w:br/>
        <w:t>Cinco prioridades estruturantes:</w:t>
      </w:r>
    </w:p>
    <w:p w14:paraId="277E4055" w14:textId="77777777" w:rsidR="00940265" w:rsidRDefault="00940265" w:rsidP="00940265">
      <w:pPr>
        <w:pStyle w:val="NormalWeb"/>
        <w:numPr>
          <w:ilvl w:val="1"/>
          <w:numId w:val="2"/>
        </w:numPr>
        <w:ind w:left="1440" w:hanging="360"/>
      </w:pPr>
      <w:r>
        <w:t>Governança e institucionalização da redução de risco;</w:t>
      </w:r>
    </w:p>
    <w:p w14:paraId="3176BE5E" w14:textId="77777777" w:rsidR="00940265" w:rsidRDefault="00940265" w:rsidP="00940265">
      <w:pPr>
        <w:pStyle w:val="NormalWeb"/>
        <w:numPr>
          <w:ilvl w:val="1"/>
          <w:numId w:val="2"/>
        </w:numPr>
        <w:ind w:left="1440" w:hanging="360"/>
      </w:pPr>
      <w:r>
        <w:t>Identificação, avaliação e monitorização de riscos;</w:t>
      </w:r>
    </w:p>
    <w:p w14:paraId="3371EC8C" w14:textId="77777777" w:rsidR="00940265" w:rsidRDefault="00940265" w:rsidP="00940265">
      <w:pPr>
        <w:pStyle w:val="NormalWeb"/>
        <w:numPr>
          <w:ilvl w:val="1"/>
          <w:numId w:val="2"/>
        </w:numPr>
        <w:ind w:left="1440" w:hanging="360"/>
      </w:pPr>
      <w:r>
        <w:t>Conhecimento, inovação e educação;</w:t>
      </w:r>
    </w:p>
    <w:p w14:paraId="348C8CE1" w14:textId="77777777" w:rsidR="00940265" w:rsidRDefault="00940265" w:rsidP="00940265">
      <w:pPr>
        <w:pStyle w:val="NormalWeb"/>
        <w:numPr>
          <w:ilvl w:val="1"/>
          <w:numId w:val="2"/>
        </w:numPr>
        <w:ind w:left="1440" w:hanging="360"/>
      </w:pPr>
      <w:r>
        <w:t>Redução dos fatores subjacentes de risco;</w:t>
      </w:r>
    </w:p>
    <w:p w14:paraId="0F055B4C" w14:textId="77777777" w:rsidR="00940265" w:rsidRDefault="00940265" w:rsidP="00940265">
      <w:pPr>
        <w:pStyle w:val="NormalWeb"/>
        <w:numPr>
          <w:ilvl w:val="1"/>
          <w:numId w:val="2"/>
        </w:numPr>
        <w:ind w:left="1440" w:hanging="360"/>
      </w:pPr>
      <w:r>
        <w:t>Preparação para resposta eficaz.</w:t>
      </w:r>
      <w:r>
        <w:br/>
        <w:t xml:space="preserve">→ Relevante como </w:t>
      </w:r>
      <w:r>
        <w:rPr>
          <w:rStyle w:val="Strong"/>
          <w:rFonts w:eastAsiaTheme="majorEastAsia"/>
        </w:rPr>
        <w:t>estrutura conceitual</w:t>
      </w:r>
      <w:r>
        <w:t>, não como método quantitativo.</w:t>
      </w:r>
    </w:p>
    <w:p w14:paraId="5B8C37FE" w14:textId="77777777" w:rsidR="00940265" w:rsidRDefault="00940265" w:rsidP="009402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Infraestruturas críticas</w:t>
      </w:r>
    </w:p>
    <w:p w14:paraId="2D4CECC2" w14:textId="77777777" w:rsidR="00940265" w:rsidRDefault="00940265" w:rsidP="00940265">
      <w:pPr>
        <w:pStyle w:val="NormalWeb"/>
        <w:numPr>
          <w:ilvl w:val="1"/>
          <w:numId w:val="1"/>
        </w:numPr>
      </w:pPr>
      <w:r>
        <w:t xml:space="preserve">Reconhece explicitamente a necessidade de </w:t>
      </w:r>
      <w:r>
        <w:rPr>
          <w:rStyle w:val="Strong"/>
          <w:rFonts w:eastAsiaTheme="majorEastAsia"/>
        </w:rPr>
        <w:t>proteger infraestruturas críticas</w:t>
      </w:r>
      <w:r>
        <w:t xml:space="preserve">, incluindo </w:t>
      </w:r>
      <w:r>
        <w:rPr>
          <w:rStyle w:val="Strong"/>
          <w:rFonts w:eastAsiaTheme="majorEastAsia"/>
        </w:rPr>
        <w:t>instalações de energia elétrica</w:t>
      </w:r>
      <w:r>
        <w:t xml:space="preserve"> (Seção III, Prioridade 4, item 19.f).</w:t>
      </w:r>
    </w:p>
    <w:p w14:paraId="7B238E03" w14:textId="77777777" w:rsidR="00940265" w:rsidRDefault="00940265" w:rsidP="00940265">
      <w:pPr>
        <w:pStyle w:val="NormalWeb"/>
        <w:numPr>
          <w:ilvl w:val="1"/>
          <w:numId w:val="1"/>
        </w:numPr>
      </w:pPr>
      <w:r>
        <w:t>Contudo, não especifica:</w:t>
      </w:r>
    </w:p>
    <w:p w14:paraId="1E0C0A7E" w14:textId="77777777" w:rsidR="00940265" w:rsidRDefault="00940265" w:rsidP="00940265">
      <w:pPr>
        <w:pStyle w:val="NormalWeb"/>
        <w:numPr>
          <w:ilvl w:val="2"/>
          <w:numId w:val="1"/>
        </w:numPr>
      </w:pPr>
      <w:r>
        <w:t>métricas,</w:t>
      </w:r>
    </w:p>
    <w:p w14:paraId="4EFB51EC" w14:textId="77777777" w:rsidR="00940265" w:rsidRDefault="00940265" w:rsidP="00940265">
      <w:pPr>
        <w:pStyle w:val="NormalWeb"/>
        <w:numPr>
          <w:ilvl w:val="2"/>
          <w:numId w:val="1"/>
        </w:numPr>
      </w:pPr>
      <w:r>
        <w:t>modelos de falha,</w:t>
      </w:r>
    </w:p>
    <w:p w14:paraId="1A82B5E2" w14:textId="77777777" w:rsidR="00940265" w:rsidRDefault="00940265" w:rsidP="00940265">
      <w:pPr>
        <w:pStyle w:val="NormalWeb"/>
        <w:numPr>
          <w:ilvl w:val="2"/>
          <w:numId w:val="1"/>
        </w:numPr>
      </w:pPr>
      <w:r>
        <w:t>critérios técnicos,</w:t>
      </w:r>
    </w:p>
    <w:p w14:paraId="23886F34" w14:textId="77777777" w:rsidR="00940265" w:rsidRDefault="00940265" w:rsidP="00940265">
      <w:pPr>
        <w:pStyle w:val="NormalWeb"/>
        <w:numPr>
          <w:ilvl w:val="2"/>
          <w:numId w:val="1"/>
        </w:numPr>
      </w:pPr>
      <w:r>
        <w:t>indicadores de desempenho.</w:t>
      </w:r>
    </w:p>
    <w:p w14:paraId="441ED809" w14:textId="77777777" w:rsidR="00940265" w:rsidRDefault="00940265" w:rsidP="009402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Integração com clima</w:t>
      </w:r>
    </w:p>
    <w:p w14:paraId="6E52A94F" w14:textId="77777777" w:rsidR="00940265" w:rsidRDefault="00940265" w:rsidP="00940265">
      <w:pPr>
        <w:pStyle w:val="NormalWeb"/>
        <w:numPr>
          <w:ilvl w:val="1"/>
          <w:numId w:val="1"/>
        </w:numPr>
      </w:pPr>
      <w:r>
        <w:t xml:space="preserve">Introduz a exigência de integrar </w:t>
      </w:r>
      <w:r>
        <w:rPr>
          <w:rStyle w:val="Strong"/>
          <w:rFonts w:eastAsiaTheme="majorEastAsia"/>
        </w:rPr>
        <w:t>variabilidade climática e mudanças climáticas</w:t>
      </w:r>
      <w:r>
        <w:t xml:space="preserve"> às estratégias de redução de risco (Seção III, item 19.c).</w:t>
      </w:r>
    </w:p>
    <w:p w14:paraId="743625F2" w14:textId="77777777" w:rsidR="00940265" w:rsidRDefault="00940265" w:rsidP="00940265">
      <w:pPr>
        <w:pStyle w:val="NormalWeb"/>
        <w:numPr>
          <w:ilvl w:val="1"/>
          <w:numId w:val="1"/>
        </w:numPr>
      </w:pPr>
      <w:r>
        <w:t xml:space="preserve">Base conceitual para justificar a inclusão do clima em estudos técnicos posteriores, mas </w:t>
      </w:r>
      <w:r>
        <w:rPr>
          <w:rStyle w:val="Strong"/>
          <w:rFonts w:eastAsiaTheme="majorEastAsia"/>
        </w:rPr>
        <w:t>sem operacionalização</w:t>
      </w:r>
      <w:r>
        <w:t>.</w:t>
      </w:r>
    </w:p>
    <w:p w14:paraId="5C5AA4A1" w14:textId="77777777" w:rsidR="00940265" w:rsidRDefault="00940265" w:rsidP="009402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Indicadores</w:t>
      </w:r>
    </w:p>
    <w:p w14:paraId="1C6AAE19" w14:textId="77777777" w:rsidR="00940265" w:rsidRDefault="00940265" w:rsidP="00940265">
      <w:pPr>
        <w:pStyle w:val="NormalWeb"/>
        <w:numPr>
          <w:ilvl w:val="1"/>
          <w:numId w:val="1"/>
        </w:numPr>
      </w:pPr>
      <w:r>
        <w:t xml:space="preserve">Reconhece a necessidade de </w:t>
      </w:r>
      <w:r>
        <w:rPr>
          <w:rStyle w:val="Strong"/>
          <w:rFonts w:eastAsiaTheme="majorEastAsia"/>
        </w:rPr>
        <w:t>indicadores mensuráveis</w:t>
      </w:r>
      <w:r>
        <w:t>, mas delega seu desenvolvimento aos Estados e à comunidade científica (Seção IV.E).</w:t>
      </w:r>
    </w:p>
    <w:p w14:paraId="43A5C75A" w14:textId="77777777" w:rsidR="00940265" w:rsidRDefault="00940265" w:rsidP="00940265">
      <w:pPr>
        <w:pStyle w:val="NormalWeb"/>
        <w:numPr>
          <w:ilvl w:val="1"/>
          <w:numId w:val="1"/>
        </w:numPr>
      </w:pPr>
      <w:r>
        <w:t>Não define nenhum índice de resiliência.</w:t>
      </w:r>
    </w:p>
    <w:p w14:paraId="602F4AD6" w14:textId="77777777" w:rsidR="00940265" w:rsidRPr="00940265" w:rsidRDefault="00940265"/>
    <w:sectPr w:rsidR="00940265" w:rsidRPr="0094026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0FE2"/>
    <w:multiLevelType w:val="multilevel"/>
    <w:tmpl w:val="E89C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917647">
    <w:abstractNumId w:val="0"/>
  </w:num>
  <w:num w:numId="2" w16cid:durableId="1349912109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6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40265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C9D8E"/>
  <w15:chartTrackingRefBased/>
  <w15:docId w15:val="{865BD058-BAD4-45D0-A0A1-BFDD2838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6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6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6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6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6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4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6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402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26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402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2025-12-31T17:18:00Z</dcterms:created>
  <dcterms:modified xsi:type="dcterms:W3CDTF">2025-12-31T17:19:00Z</dcterms:modified>
</cp:coreProperties>
</file>