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6C3F" w14:textId="310FA8CC" w:rsidR="00AC5231" w:rsidRDefault="00B05E50">
      <w:pPr>
        <w:rPr>
          <w:lang w:val="en-US"/>
        </w:rPr>
      </w:pPr>
      <w:r w:rsidRPr="00B05E50">
        <w:rPr>
          <w:lang w:val="en-US"/>
        </w:rPr>
        <w:t>Conceptualizing and Measuring Resilience-A Key to Disaster Loss Reduction</w:t>
      </w:r>
    </w:p>
    <w:p w14:paraId="545AAEEB" w14:textId="77777777" w:rsidR="00B05E50" w:rsidRDefault="00B05E50">
      <w:pPr>
        <w:rPr>
          <w:lang w:val="en-US"/>
        </w:rPr>
      </w:pPr>
    </w:p>
    <w:p w14:paraId="6166BD54" w14:textId="77777777" w:rsidR="00B05E50" w:rsidRDefault="00B05E50" w:rsidP="00B05E50">
      <w:pPr>
        <w:pStyle w:val="NormalWeb"/>
      </w:pPr>
      <w:r>
        <w:t xml:space="preserve">Este artigo é uma </w:t>
      </w:r>
      <w:r>
        <w:rPr>
          <w:rStyle w:val="Strong"/>
          <w:rFonts w:eastAsiaTheme="majorEastAsia"/>
        </w:rPr>
        <w:t>síntese conceitual-operacional</w:t>
      </w:r>
      <w:r>
        <w:t xml:space="preserve"> produzida no âmbito do </w:t>
      </w:r>
      <w:r>
        <w:rPr>
          <w:rStyle w:val="Strong"/>
          <w:rFonts w:eastAsiaTheme="majorEastAsia"/>
        </w:rPr>
        <w:t>MCEER</w:t>
      </w:r>
      <w:r>
        <w:t xml:space="preserve">, cujo objetivo é </w:t>
      </w:r>
      <w:r>
        <w:rPr>
          <w:rStyle w:val="Strong"/>
          <w:rFonts w:eastAsiaTheme="majorEastAsia"/>
        </w:rPr>
        <w:t>traduzir para a comunidade técnica e decisória</w:t>
      </w:r>
      <w:r>
        <w:t xml:space="preserve"> os avanços já consolidados em trabalhos académicos anteriores (especialmente </w:t>
      </w:r>
      <w:proofErr w:type="spellStart"/>
      <w:r>
        <w:t>Bruneau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al., 2003/2004).</w:t>
      </w:r>
    </w:p>
    <w:p w14:paraId="3D7A2E39" w14:textId="77777777" w:rsidR="00B05E50" w:rsidRDefault="00B05E50" w:rsidP="00B05E50">
      <w:pPr>
        <w:pStyle w:val="NormalWeb"/>
      </w:pPr>
      <w:r>
        <w:t>Principais contributos técnicos relevantes:</w:t>
      </w:r>
    </w:p>
    <w:p w14:paraId="134C15AE" w14:textId="77777777" w:rsidR="00B05E50" w:rsidRDefault="00B05E50" w:rsidP="00B05E5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Formalização gráfica da resiliência – “</w:t>
      </w:r>
      <w:proofErr w:type="spellStart"/>
      <w:r>
        <w:rPr>
          <w:rStyle w:val="Strong"/>
          <w:rFonts w:eastAsiaTheme="majorEastAsia"/>
        </w:rPr>
        <w:t>Resilience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Triangle</w:t>
      </w:r>
      <w:proofErr w:type="spellEnd"/>
      <w:r>
        <w:rPr>
          <w:rStyle w:val="Strong"/>
          <w:rFonts w:eastAsiaTheme="majorEastAsia"/>
        </w:rPr>
        <w:t>”</w:t>
      </w:r>
    </w:p>
    <w:p w14:paraId="68E866EF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Define resiliência como a </w:t>
      </w:r>
      <w:r>
        <w:rPr>
          <w:rStyle w:val="Strong"/>
          <w:rFonts w:eastAsiaTheme="majorEastAsia"/>
        </w:rPr>
        <w:t>perda integrada de funcionalidade ao longo do tempo</w:t>
      </w:r>
      <w:r>
        <w:t>, após um evento extremo (p. 15, Fig. 1).</w:t>
      </w:r>
    </w:p>
    <w:p w14:paraId="36C1DDE7" w14:textId="77777777" w:rsidR="00B05E50" w:rsidRDefault="00B05E50" w:rsidP="00B05E50">
      <w:pPr>
        <w:pStyle w:val="NormalWeb"/>
        <w:numPr>
          <w:ilvl w:val="1"/>
          <w:numId w:val="1"/>
        </w:numPr>
      </w:pPr>
      <w:r>
        <w:t>O “triângulo da resiliência” explicita:</w:t>
      </w:r>
    </w:p>
    <w:p w14:paraId="466AC328" w14:textId="77777777" w:rsidR="00B05E50" w:rsidRDefault="00B05E50" w:rsidP="00B05E50">
      <w:pPr>
        <w:pStyle w:val="NormalWeb"/>
        <w:numPr>
          <w:ilvl w:val="2"/>
          <w:numId w:val="1"/>
        </w:numPr>
      </w:pPr>
      <w:r>
        <w:t>perda inicial de desempenho (</w:t>
      </w:r>
      <w:proofErr w:type="spellStart"/>
      <w:r>
        <w:t>robustness</w:t>
      </w:r>
      <w:proofErr w:type="spellEnd"/>
      <w:r>
        <w:t>);</w:t>
      </w:r>
    </w:p>
    <w:p w14:paraId="08CDA003" w14:textId="77777777" w:rsidR="00B05E50" w:rsidRDefault="00B05E50" w:rsidP="00B05E50">
      <w:pPr>
        <w:pStyle w:val="NormalWeb"/>
        <w:numPr>
          <w:ilvl w:val="2"/>
          <w:numId w:val="1"/>
        </w:numPr>
      </w:pPr>
      <w:r>
        <w:t>trajetória e tempo de recuperação (</w:t>
      </w:r>
      <w:proofErr w:type="spellStart"/>
      <w:r>
        <w:t>rapidity</w:t>
      </w:r>
      <w:proofErr w:type="spellEnd"/>
      <w:r>
        <w:t>).</w:t>
      </w:r>
    </w:p>
    <w:p w14:paraId="53805BB2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Esta representação é hoje </w:t>
      </w:r>
      <w:r>
        <w:rPr>
          <w:rStyle w:val="Strong"/>
          <w:rFonts w:eastAsiaTheme="majorEastAsia"/>
        </w:rPr>
        <w:t>canónica</w:t>
      </w:r>
      <w:r>
        <w:t xml:space="preserve"> na literatura de resiliência.</w:t>
      </w:r>
    </w:p>
    <w:p w14:paraId="7E4A95E0" w14:textId="77777777" w:rsidR="00B05E50" w:rsidRDefault="00B05E50" w:rsidP="00B05E5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Consolidação do </w:t>
      </w:r>
      <w:proofErr w:type="spellStart"/>
      <w:r>
        <w:rPr>
          <w:rStyle w:val="Strong"/>
          <w:rFonts w:eastAsiaTheme="majorEastAsia"/>
        </w:rPr>
        <w:t>framework</w:t>
      </w:r>
      <w:proofErr w:type="spellEnd"/>
      <w:r>
        <w:rPr>
          <w:rStyle w:val="Strong"/>
          <w:rFonts w:eastAsiaTheme="majorEastAsia"/>
        </w:rPr>
        <w:t xml:space="preserve"> R4</w:t>
      </w:r>
    </w:p>
    <w:p w14:paraId="0E64A6E4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Reafirma e difunde os </w:t>
      </w:r>
      <w:r>
        <w:rPr>
          <w:rStyle w:val="Strong"/>
          <w:rFonts w:eastAsiaTheme="majorEastAsia"/>
        </w:rPr>
        <w:t>4R’s</w:t>
      </w:r>
      <w:r>
        <w:t>:</w:t>
      </w:r>
    </w:p>
    <w:p w14:paraId="46633DB0" w14:textId="77777777" w:rsidR="00B05E50" w:rsidRDefault="00B05E50" w:rsidP="00B05E50">
      <w:pPr>
        <w:pStyle w:val="NormalWeb"/>
        <w:numPr>
          <w:ilvl w:val="2"/>
          <w:numId w:val="1"/>
        </w:numPr>
      </w:pPr>
      <w:proofErr w:type="spellStart"/>
      <w:r>
        <w:rPr>
          <w:rStyle w:val="Strong"/>
          <w:rFonts w:eastAsiaTheme="majorEastAsia"/>
        </w:rPr>
        <w:t>Robustness</w:t>
      </w:r>
      <w:proofErr w:type="spellEnd"/>
    </w:p>
    <w:p w14:paraId="68426001" w14:textId="77777777" w:rsidR="00B05E50" w:rsidRDefault="00B05E50" w:rsidP="00B05E50">
      <w:pPr>
        <w:pStyle w:val="NormalWeb"/>
        <w:numPr>
          <w:ilvl w:val="2"/>
          <w:numId w:val="1"/>
        </w:numPr>
      </w:pPr>
      <w:proofErr w:type="spellStart"/>
      <w:r>
        <w:rPr>
          <w:rStyle w:val="Strong"/>
          <w:rFonts w:eastAsiaTheme="majorEastAsia"/>
        </w:rPr>
        <w:t>Redundancy</w:t>
      </w:r>
      <w:proofErr w:type="spellEnd"/>
    </w:p>
    <w:p w14:paraId="5569E2C0" w14:textId="77777777" w:rsidR="00B05E50" w:rsidRDefault="00B05E50" w:rsidP="00B05E50">
      <w:pPr>
        <w:pStyle w:val="NormalWeb"/>
        <w:numPr>
          <w:ilvl w:val="2"/>
          <w:numId w:val="1"/>
        </w:numPr>
      </w:pPr>
      <w:proofErr w:type="spellStart"/>
      <w:r>
        <w:rPr>
          <w:rStyle w:val="Strong"/>
          <w:rFonts w:eastAsiaTheme="majorEastAsia"/>
        </w:rPr>
        <w:t>Resourcefulness</w:t>
      </w:r>
      <w:proofErr w:type="spellEnd"/>
    </w:p>
    <w:p w14:paraId="5A2CB82A" w14:textId="77777777" w:rsidR="00B05E50" w:rsidRDefault="00B05E50" w:rsidP="00B05E50">
      <w:pPr>
        <w:pStyle w:val="NormalWeb"/>
        <w:numPr>
          <w:ilvl w:val="2"/>
          <w:numId w:val="1"/>
        </w:numPr>
      </w:pPr>
      <w:proofErr w:type="spellStart"/>
      <w:r>
        <w:rPr>
          <w:rStyle w:val="Strong"/>
          <w:rFonts w:eastAsiaTheme="majorEastAsia"/>
        </w:rPr>
        <w:t>Rapidity</w:t>
      </w:r>
      <w:proofErr w:type="spellEnd"/>
    </w:p>
    <w:p w14:paraId="00A209FD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Apresenta-os de forma clara e aplicada a </w:t>
      </w:r>
      <w:r>
        <w:rPr>
          <w:rStyle w:val="Strong"/>
          <w:rFonts w:eastAsiaTheme="majorEastAsia"/>
        </w:rPr>
        <w:t>infraestruturas críticas</w:t>
      </w:r>
      <w:r>
        <w:t xml:space="preserve">, incluindo </w:t>
      </w:r>
      <w:r>
        <w:rPr>
          <w:rStyle w:val="Strong"/>
          <w:rFonts w:eastAsiaTheme="majorEastAsia"/>
        </w:rPr>
        <w:t xml:space="preserve">transportes e </w:t>
      </w:r>
      <w:proofErr w:type="spellStart"/>
      <w:r>
        <w:rPr>
          <w:rStyle w:val="Strong"/>
          <w:rFonts w:eastAsiaTheme="majorEastAsia"/>
        </w:rPr>
        <w:t>utilities</w:t>
      </w:r>
      <w:proofErr w:type="spellEnd"/>
      <w:r>
        <w:t xml:space="preserve"> (energia).</w:t>
      </w:r>
    </w:p>
    <w:p w14:paraId="6365E382" w14:textId="77777777" w:rsidR="00B05E50" w:rsidRDefault="00B05E50" w:rsidP="00B05E5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Introdução clara das dimensões TOSE</w:t>
      </w:r>
    </w:p>
    <w:p w14:paraId="56D5DFB2" w14:textId="77777777" w:rsidR="00B05E50" w:rsidRDefault="00B05E50" w:rsidP="00B05E50">
      <w:pPr>
        <w:pStyle w:val="NormalWeb"/>
        <w:numPr>
          <w:ilvl w:val="1"/>
          <w:numId w:val="1"/>
        </w:numPr>
      </w:pPr>
      <w:proofErr w:type="spellStart"/>
      <w:r>
        <w:rPr>
          <w:rStyle w:val="Strong"/>
          <w:rFonts w:eastAsiaTheme="majorEastAsia"/>
        </w:rPr>
        <w:t>Technical</w:t>
      </w:r>
      <w:proofErr w:type="spellEnd"/>
    </w:p>
    <w:p w14:paraId="65F3A36D" w14:textId="77777777" w:rsidR="00B05E50" w:rsidRDefault="00B05E50" w:rsidP="00B05E50">
      <w:pPr>
        <w:pStyle w:val="NormalWeb"/>
        <w:numPr>
          <w:ilvl w:val="1"/>
          <w:numId w:val="1"/>
        </w:numPr>
      </w:pPr>
      <w:proofErr w:type="spellStart"/>
      <w:r>
        <w:rPr>
          <w:rStyle w:val="Strong"/>
          <w:rFonts w:eastAsiaTheme="majorEastAsia"/>
        </w:rPr>
        <w:t>Organizational</w:t>
      </w:r>
      <w:proofErr w:type="spellEnd"/>
    </w:p>
    <w:p w14:paraId="4ED17ECA" w14:textId="77777777" w:rsidR="00B05E50" w:rsidRDefault="00B05E50" w:rsidP="00B05E50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Social</w:t>
      </w:r>
    </w:p>
    <w:p w14:paraId="55F9DE54" w14:textId="77777777" w:rsidR="00B05E50" w:rsidRDefault="00B05E50" w:rsidP="00B05E50">
      <w:pPr>
        <w:pStyle w:val="NormalWeb"/>
        <w:numPr>
          <w:ilvl w:val="1"/>
          <w:numId w:val="1"/>
        </w:numPr>
      </w:pPr>
      <w:proofErr w:type="spellStart"/>
      <w:r>
        <w:rPr>
          <w:rStyle w:val="Strong"/>
          <w:rFonts w:eastAsiaTheme="majorEastAsia"/>
        </w:rPr>
        <w:t>Economic</w:t>
      </w:r>
      <w:proofErr w:type="spellEnd"/>
    </w:p>
    <w:p w14:paraId="6DD31946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Diferencia explicitamente o </w:t>
      </w:r>
      <w:r>
        <w:rPr>
          <w:rStyle w:val="Strong"/>
          <w:rFonts w:eastAsiaTheme="majorEastAsia"/>
        </w:rPr>
        <w:t>domínio técnico</w:t>
      </w:r>
      <w:r>
        <w:t xml:space="preserve"> (infraestruturas físicas) dos demais, o que é crucial para justificar o </w:t>
      </w:r>
      <w:r>
        <w:rPr>
          <w:rStyle w:val="Strong"/>
          <w:rFonts w:eastAsiaTheme="majorEastAsia"/>
        </w:rPr>
        <w:t>recorte técnico</w:t>
      </w:r>
      <w:r>
        <w:t xml:space="preserve"> da sua tese.</w:t>
      </w:r>
    </w:p>
    <w:p w14:paraId="567D8DB0" w14:textId="77777777" w:rsidR="00B05E50" w:rsidRDefault="00B05E50" w:rsidP="00B05E5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Distinção entre resiliência inerente e adaptativa</w:t>
      </w:r>
    </w:p>
    <w:p w14:paraId="29B16B23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Resiliência </w:t>
      </w:r>
      <w:r>
        <w:rPr>
          <w:rStyle w:val="Strong"/>
          <w:rFonts w:eastAsiaTheme="majorEastAsia"/>
        </w:rPr>
        <w:t>inerente</w:t>
      </w:r>
      <w:r>
        <w:t>: desempenho em condições normais.</w:t>
      </w:r>
    </w:p>
    <w:p w14:paraId="1667DB29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Resiliência </w:t>
      </w:r>
      <w:r>
        <w:rPr>
          <w:rStyle w:val="Strong"/>
          <w:rFonts w:eastAsiaTheme="majorEastAsia"/>
        </w:rPr>
        <w:t>adaptativa</w:t>
      </w:r>
      <w:r>
        <w:t>: capacidade de adaptação durante e após o desastre (p. 17).</w:t>
      </w:r>
    </w:p>
    <w:p w14:paraId="294F6546" w14:textId="77777777" w:rsidR="00B05E50" w:rsidRDefault="00B05E50" w:rsidP="00B05E50">
      <w:pPr>
        <w:pStyle w:val="NormalWeb"/>
        <w:numPr>
          <w:ilvl w:val="1"/>
          <w:numId w:val="1"/>
        </w:numPr>
      </w:pPr>
      <w:r>
        <w:t>Esta distinção apoia diretamente a sua separação entre:</w:t>
      </w:r>
    </w:p>
    <w:p w14:paraId="65ECFCCD" w14:textId="77777777" w:rsidR="00B05E50" w:rsidRDefault="00B05E50" w:rsidP="00B05E50">
      <w:pPr>
        <w:pStyle w:val="NormalWeb"/>
        <w:numPr>
          <w:ilvl w:val="2"/>
          <w:numId w:val="1"/>
        </w:numPr>
      </w:pPr>
      <w:r>
        <w:t>capacidade estrutural da linha;</w:t>
      </w:r>
    </w:p>
    <w:p w14:paraId="4FAB4486" w14:textId="77777777" w:rsidR="00B05E50" w:rsidRDefault="00B05E50" w:rsidP="00B05E50">
      <w:pPr>
        <w:pStyle w:val="NormalWeb"/>
        <w:numPr>
          <w:ilvl w:val="2"/>
          <w:numId w:val="1"/>
        </w:numPr>
      </w:pPr>
      <w:r>
        <w:t>resposta e recuperação pós-evento.</w:t>
      </w:r>
    </w:p>
    <w:p w14:paraId="7870B2C6" w14:textId="77777777" w:rsidR="00B05E50" w:rsidRDefault="00B05E50" w:rsidP="00B05E5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Aplicabilidade explícita a sistemas elétricos</w:t>
      </w:r>
    </w:p>
    <w:p w14:paraId="16875DED" w14:textId="77777777" w:rsidR="00B05E50" w:rsidRDefault="00B05E50" w:rsidP="00B05E50">
      <w:pPr>
        <w:pStyle w:val="NormalWeb"/>
        <w:numPr>
          <w:ilvl w:val="1"/>
          <w:numId w:val="1"/>
        </w:numPr>
      </w:pPr>
      <w:r>
        <w:t xml:space="preserve">O artigo menciona colaborações com </w:t>
      </w:r>
      <w:proofErr w:type="spellStart"/>
      <w:r>
        <w:rPr>
          <w:rStyle w:val="Strong"/>
          <w:rFonts w:eastAsiaTheme="majorEastAsia"/>
        </w:rPr>
        <w:t>utilities</w:t>
      </w:r>
      <w:proofErr w:type="spellEnd"/>
      <w:r>
        <w:rPr>
          <w:rStyle w:val="Strong"/>
          <w:rFonts w:eastAsiaTheme="majorEastAsia"/>
        </w:rPr>
        <w:t xml:space="preserve"> de energia e água</w:t>
      </w:r>
      <w:r>
        <w:t xml:space="preserve"> (ex.: Los Angeles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), reforçando a </w:t>
      </w:r>
      <w:r>
        <w:rPr>
          <w:rStyle w:val="Strong"/>
          <w:rFonts w:eastAsiaTheme="majorEastAsia"/>
        </w:rPr>
        <w:t>transferibilidade direta</w:t>
      </w:r>
      <w:r>
        <w:t xml:space="preserve"> do conceito para redes elétricas.</w:t>
      </w:r>
    </w:p>
    <w:p w14:paraId="20AAD268" w14:textId="77777777" w:rsidR="00B05E50" w:rsidRPr="00B05E50" w:rsidRDefault="00B05E50"/>
    <w:sectPr w:rsidR="00B05E50" w:rsidRPr="00B05E5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D0B13"/>
    <w:multiLevelType w:val="multilevel"/>
    <w:tmpl w:val="1876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44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5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05E50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008DE"/>
  <w15:chartTrackingRefBased/>
  <w15:docId w15:val="{67533335-8BC5-4DD9-B84A-BE4D9220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5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5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5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5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5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0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5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05E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5E5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05E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2025-12-31T17:35:00Z</dcterms:created>
  <dcterms:modified xsi:type="dcterms:W3CDTF">2025-12-31T17:36:00Z</dcterms:modified>
</cp:coreProperties>
</file>