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A5A4" w14:textId="697E406D" w:rsidR="00AC5231" w:rsidRDefault="00B96343">
      <w:pPr>
        <w:rPr>
          <w:lang w:val="en-US"/>
        </w:rPr>
      </w:pPr>
      <w:r w:rsidRPr="00B96343">
        <w:rPr>
          <w:lang w:val="en-US"/>
        </w:rPr>
        <w:t>Representing the Multi-Dimensional Nature of Disaster Resilience</w:t>
      </w:r>
    </w:p>
    <w:p w14:paraId="6F6028E8" w14:textId="77777777" w:rsidR="00B96343" w:rsidRDefault="00B96343">
      <w:pPr>
        <w:rPr>
          <w:lang w:val="en-US"/>
        </w:rPr>
      </w:pPr>
    </w:p>
    <w:p w14:paraId="3CC31925" w14:textId="77777777" w:rsidR="000D10B1" w:rsidRDefault="000D10B1" w:rsidP="000D10B1">
      <w:pPr>
        <w:pStyle w:val="NormalWeb"/>
      </w:pPr>
      <w:r>
        <w:t xml:space="preserve">O artigo propõe uma </w:t>
      </w:r>
      <w:r>
        <w:rPr>
          <w:rStyle w:val="Strong"/>
          <w:rFonts w:eastAsiaTheme="majorEastAsia"/>
        </w:rPr>
        <w:t>extensão visual e conceitual</w:t>
      </w:r>
      <w:r>
        <w:t xml:space="preserve"> do </w:t>
      </w:r>
      <w:proofErr w:type="spellStart"/>
      <w:r>
        <w:rPr>
          <w:rStyle w:val="Emphasis"/>
          <w:rFonts w:eastAsiaTheme="majorEastAsia"/>
        </w:rPr>
        <w:t>resilience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triangle</w:t>
      </w:r>
      <w:proofErr w:type="spellEnd"/>
      <w:r>
        <w:t xml:space="preserve"> para representar </w:t>
      </w:r>
      <w:r>
        <w:rPr>
          <w:rStyle w:val="Strong"/>
          <w:rFonts w:eastAsiaTheme="majorEastAsia"/>
        </w:rPr>
        <w:t>múltiplas dimensões da resiliência</w:t>
      </w:r>
      <w:r>
        <w:t xml:space="preserve"> (TOSE: técnica, organizacional, social e económica) </w:t>
      </w:r>
      <w:r>
        <w:rPr>
          <w:rStyle w:val="Strong"/>
          <w:rFonts w:eastAsiaTheme="majorEastAsia"/>
        </w:rPr>
        <w:t>num único plano</w:t>
      </w:r>
      <w:r>
        <w:t xml:space="preserve">, com base em </w:t>
      </w:r>
      <w:r>
        <w:rPr>
          <w:rStyle w:val="Strong"/>
          <w:rFonts w:eastAsiaTheme="majorEastAsia"/>
        </w:rPr>
        <w:t>curvas de resiliência previstas (</w:t>
      </w:r>
      <w:proofErr w:type="spellStart"/>
      <w:r>
        <w:rPr>
          <w:rStyle w:val="Strong"/>
          <w:rFonts w:eastAsiaTheme="majorEastAsia"/>
        </w:rPr>
        <w:t>predicted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resilience</w:t>
      </w:r>
      <w:proofErr w:type="spellEnd"/>
      <w:r>
        <w:rPr>
          <w:rStyle w:val="Strong"/>
          <w:rFonts w:eastAsiaTheme="majorEastAsia"/>
        </w:rPr>
        <w:t>)</w:t>
      </w:r>
      <w:r>
        <w:t>.</w:t>
      </w:r>
    </w:p>
    <w:p w14:paraId="23A87291" w14:textId="77777777" w:rsidR="000D10B1" w:rsidRDefault="000D10B1" w:rsidP="000D10B1">
      <w:pPr>
        <w:pStyle w:val="NormalWeb"/>
      </w:pPr>
      <w:r>
        <w:t>Principais contributos:</w:t>
      </w:r>
    </w:p>
    <w:p w14:paraId="103FDB27" w14:textId="77777777" w:rsidR="000D10B1" w:rsidRDefault="000D10B1" w:rsidP="000D10B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Resiliência prevista (</w:t>
      </w:r>
      <w:proofErr w:type="spellStart"/>
      <w:r>
        <w:rPr>
          <w:rStyle w:val="Strong"/>
          <w:rFonts w:eastAsiaTheme="majorEastAsia"/>
        </w:rPr>
        <w:t>predicted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resilience</w:t>
      </w:r>
      <w:proofErr w:type="spellEnd"/>
      <w:r>
        <w:rPr>
          <w:rStyle w:val="Strong"/>
          <w:rFonts w:eastAsiaTheme="majorEastAsia"/>
        </w:rPr>
        <w:t>)</w:t>
      </w:r>
    </w:p>
    <w:p w14:paraId="7CC71CAA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Formaliza a resiliência como função de </w:t>
      </w:r>
      <w:r>
        <w:rPr>
          <w:rStyle w:val="Strong"/>
          <w:rFonts w:eastAsiaTheme="majorEastAsia"/>
        </w:rPr>
        <w:t>perda inicial de funcionalidade (X)</w:t>
      </w:r>
      <w:r>
        <w:t xml:space="preserve"> e </w:t>
      </w:r>
      <w:r>
        <w:rPr>
          <w:rStyle w:val="Strong"/>
          <w:rFonts w:eastAsiaTheme="majorEastAsia"/>
        </w:rPr>
        <w:t>tempo de recuperação (T)</w:t>
      </w:r>
      <w:r>
        <w:t xml:space="preserve">, permitindo </w:t>
      </w:r>
      <w:proofErr w:type="spellStart"/>
      <w:r>
        <w:rPr>
          <w:rStyle w:val="Strong"/>
          <w:rFonts w:eastAsiaTheme="majorEastAsia"/>
        </w:rPr>
        <w:t>trade-offs</w:t>
      </w:r>
      <w:proofErr w:type="spellEnd"/>
      <w:r>
        <w:rPr>
          <w:rStyle w:val="Strong"/>
          <w:rFonts w:eastAsiaTheme="majorEastAsia"/>
        </w:rPr>
        <w:t xml:space="preserve"> X–T</w:t>
      </w:r>
      <w:r>
        <w:t xml:space="preserve"> sobre </w:t>
      </w:r>
      <w:r>
        <w:rPr>
          <w:rStyle w:val="Strong"/>
          <w:rFonts w:eastAsiaTheme="majorEastAsia"/>
        </w:rPr>
        <w:t xml:space="preserve">curvas </w:t>
      </w:r>
      <w:proofErr w:type="spellStart"/>
      <w:r>
        <w:rPr>
          <w:rStyle w:val="Strong"/>
          <w:rFonts w:eastAsiaTheme="majorEastAsia"/>
        </w:rPr>
        <w:t>iso</w:t>
      </w:r>
      <w:proofErr w:type="spellEnd"/>
      <w:r>
        <w:rPr>
          <w:rStyle w:val="Strong"/>
          <w:rFonts w:eastAsiaTheme="majorEastAsia"/>
        </w:rPr>
        <w:t>-resiliência</w:t>
      </w:r>
      <w:r>
        <w:t>.</w:t>
      </w:r>
    </w:p>
    <w:p w14:paraId="7DA39A1E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Consolida e operacionaliza ideias de </w:t>
      </w:r>
      <w:proofErr w:type="spellStart"/>
      <w:r>
        <w:t>Bruneau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(2003) e </w:t>
      </w:r>
      <w:proofErr w:type="spellStart"/>
      <w:r>
        <w:t>Cimellaro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(2010).</w:t>
      </w:r>
    </w:p>
    <w:p w14:paraId="085C748D" w14:textId="77777777" w:rsidR="000D10B1" w:rsidRDefault="000D10B1" w:rsidP="000D10B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Representação multidimensional (TOSE)</w:t>
      </w:r>
    </w:p>
    <w:p w14:paraId="5DEFFE3E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Propõe </w:t>
      </w:r>
      <w:r>
        <w:rPr>
          <w:rStyle w:val="Strong"/>
          <w:rFonts w:eastAsiaTheme="majorEastAsia"/>
        </w:rPr>
        <w:t>plotar simultaneamente</w:t>
      </w:r>
      <w:r>
        <w:t xml:space="preserve"> as dimensões técnica, organizacional, social e económica, facilitando </w:t>
      </w:r>
      <w:r>
        <w:rPr>
          <w:rStyle w:val="Strong"/>
          <w:rFonts w:eastAsiaTheme="majorEastAsia"/>
        </w:rPr>
        <w:t>comparação e diagnóstico</w:t>
      </w:r>
      <w:r>
        <w:t xml:space="preserve"> entre dimensões.</w:t>
      </w:r>
    </w:p>
    <w:p w14:paraId="5AF97321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Reconhece explicitamente a </w:t>
      </w:r>
      <w:r>
        <w:rPr>
          <w:rStyle w:val="Strong"/>
          <w:rFonts w:eastAsiaTheme="majorEastAsia"/>
        </w:rPr>
        <w:t>dificuldade de quantificar</w:t>
      </w:r>
      <w:r>
        <w:t xml:space="preserve"> dimensões sociais/económicas (uso de indicadores/</w:t>
      </w:r>
      <w:proofErr w:type="spellStart"/>
      <w:r>
        <w:t>proxies</w:t>
      </w:r>
      <w:proofErr w:type="spellEnd"/>
      <w:r>
        <w:t>).</w:t>
      </w:r>
    </w:p>
    <w:p w14:paraId="2EC29454" w14:textId="77777777" w:rsidR="000D10B1" w:rsidRDefault="000D10B1" w:rsidP="000D10B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Normalização por preferências do decisor</w:t>
      </w:r>
    </w:p>
    <w:p w14:paraId="79C11E19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Introduz fator de ajuste (α) para </w:t>
      </w:r>
      <w:r>
        <w:rPr>
          <w:rStyle w:val="Strong"/>
          <w:rFonts w:eastAsiaTheme="majorEastAsia"/>
        </w:rPr>
        <w:t>ponderar dimensões</w:t>
      </w:r>
      <w:r>
        <w:t xml:space="preserve"> conforme a </w:t>
      </w:r>
      <w:proofErr w:type="spellStart"/>
      <w:r>
        <w:t>percepção</w:t>
      </w:r>
      <w:proofErr w:type="spellEnd"/>
      <w:r>
        <w:t xml:space="preserve"> do decisor, preservando a razão X/T.</w:t>
      </w:r>
    </w:p>
    <w:p w14:paraId="00AC9F25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Útil para </w:t>
      </w:r>
      <w:r>
        <w:rPr>
          <w:rStyle w:val="Strong"/>
          <w:rFonts w:eastAsiaTheme="majorEastAsia"/>
        </w:rPr>
        <w:t>apoio à decisão</w:t>
      </w:r>
      <w:r>
        <w:t>, não para definição física de desempenho.</w:t>
      </w:r>
    </w:p>
    <w:p w14:paraId="7961FDDE" w14:textId="77777777" w:rsidR="000D10B1" w:rsidRDefault="000D10B1" w:rsidP="000D10B1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Limitações assumidas</w:t>
      </w:r>
    </w:p>
    <w:p w14:paraId="3F552D07" w14:textId="77777777" w:rsidR="000D10B1" w:rsidRDefault="000D10B1" w:rsidP="000D10B1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Não define</w:t>
      </w:r>
      <w:r>
        <w:t xml:space="preserve"> métricas físicas específicas para infraestruturas elétricas;</w:t>
      </w:r>
    </w:p>
    <w:p w14:paraId="41AD42D4" w14:textId="77777777" w:rsidR="000D10B1" w:rsidRDefault="000D10B1" w:rsidP="000D10B1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Não modela</w:t>
      </w:r>
      <w:r>
        <w:t xml:space="preserve"> mecanismos de falha, clima extremo ou recuperação técnica detalhada;</w:t>
      </w:r>
    </w:p>
    <w:p w14:paraId="2EE99E53" w14:textId="77777777" w:rsidR="000D10B1" w:rsidRDefault="000D10B1" w:rsidP="000D10B1">
      <w:pPr>
        <w:pStyle w:val="NormalWeb"/>
        <w:numPr>
          <w:ilvl w:val="1"/>
          <w:numId w:val="1"/>
        </w:numPr>
      </w:pPr>
      <w:r>
        <w:t xml:space="preserve">Forte ênfase em </w:t>
      </w:r>
      <w:r>
        <w:rPr>
          <w:rStyle w:val="Strong"/>
          <w:rFonts w:eastAsiaTheme="majorEastAsia"/>
        </w:rPr>
        <w:t>visualização e decisão</w:t>
      </w:r>
      <w:r>
        <w:t>, não em engenharia de potência.</w:t>
      </w:r>
    </w:p>
    <w:p w14:paraId="14DDD8AC" w14:textId="77777777" w:rsidR="000D10B1" w:rsidRPr="000D10B1" w:rsidRDefault="000D10B1"/>
    <w:sectPr w:rsidR="000D10B1" w:rsidRPr="000D10B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C3370"/>
    <w:multiLevelType w:val="multilevel"/>
    <w:tmpl w:val="3EC4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67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43"/>
    <w:rsid w:val="000131F2"/>
    <w:rsid w:val="00050A60"/>
    <w:rsid w:val="0007293B"/>
    <w:rsid w:val="0008424C"/>
    <w:rsid w:val="00096FFB"/>
    <w:rsid w:val="000C5A52"/>
    <w:rsid w:val="000C625D"/>
    <w:rsid w:val="000D10B1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96343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C12C0"/>
  <w15:chartTrackingRefBased/>
  <w15:docId w15:val="{F569D897-916F-40E9-A7C8-7DD9269F3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4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4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4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4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4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96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4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963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0B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D10B1"/>
    <w:rPr>
      <w:b/>
      <w:bCs/>
    </w:rPr>
  </w:style>
  <w:style w:type="character" w:styleId="Emphasis">
    <w:name w:val="Emphasis"/>
    <w:basedOn w:val="DefaultParagraphFont"/>
    <w:uiPriority w:val="20"/>
    <w:qFormat/>
    <w:rsid w:val="000D10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2025-12-31T18:28:00Z</dcterms:created>
  <dcterms:modified xsi:type="dcterms:W3CDTF">2025-12-31T18:29:00Z</dcterms:modified>
</cp:coreProperties>
</file>