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79E4AE" w14:textId="76D65CC8" w:rsidR="00AC5231" w:rsidRDefault="004B5CFE">
      <w:pPr>
        <w:rPr>
          <w:lang w:val="en-US"/>
        </w:rPr>
      </w:pPr>
      <w:r w:rsidRPr="004B5CFE">
        <w:rPr>
          <w:lang w:val="en-US"/>
        </w:rPr>
        <w:t>2015 Methods for Analysis and Quantification of Power System Resilience-IEEE</w:t>
      </w:r>
    </w:p>
    <w:p w14:paraId="0E94E084" w14:textId="77777777" w:rsidR="004B5CFE" w:rsidRDefault="004B5CFE">
      <w:pPr>
        <w:rPr>
          <w:lang w:val="en-US"/>
        </w:rPr>
      </w:pPr>
    </w:p>
    <w:p w14:paraId="54D3A971" w14:textId="77777777" w:rsidR="008F2648" w:rsidRPr="008F2648" w:rsidRDefault="008F2648" w:rsidP="008F2648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8F2648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1. Natureza e importância do trabalho</w:t>
      </w:r>
    </w:p>
    <w:p w14:paraId="57184411" w14:textId="77777777" w:rsidR="008F2648" w:rsidRPr="008F2648" w:rsidRDefault="008F2648" w:rsidP="008F2648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F264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Este artigo </w:t>
      </w:r>
      <w:r w:rsidRPr="008F264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não é um estudo isolado</w:t>
      </w:r>
      <w:r w:rsidRPr="008F264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mas a </w:t>
      </w:r>
      <w:r w:rsidRPr="008F264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síntese oficial da IEEE </w:t>
      </w:r>
      <w:proofErr w:type="spellStart"/>
      <w:r w:rsidRPr="008F264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Power</w:t>
      </w:r>
      <w:proofErr w:type="spellEnd"/>
      <w:r w:rsidRPr="008F264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&amp; </w:t>
      </w:r>
      <w:proofErr w:type="spellStart"/>
      <w:r w:rsidRPr="008F264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Energy</w:t>
      </w:r>
      <w:proofErr w:type="spellEnd"/>
      <w:r w:rsidRPr="008F264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8F264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Society</w:t>
      </w:r>
      <w:proofErr w:type="spellEnd"/>
      <w:r w:rsidRPr="008F264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sobre </w:t>
      </w:r>
      <w:r w:rsidRPr="008F264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definição, análise e quantificação da resiliência em sistemas elétricos</w:t>
      </w:r>
      <w:r w:rsidRPr="008F264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. É, na prática, </w:t>
      </w:r>
      <w:r w:rsidRPr="008F264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o documento de referência normativo-técnico</w:t>
      </w:r>
      <w:r w:rsidRPr="008F264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da literatura até 2015.</w:t>
      </w:r>
    </w:p>
    <w:p w14:paraId="58F82F38" w14:textId="77777777" w:rsidR="008F2648" w:rsidRPr="008F2648" w:rsidRDefault="008F2648" w:rsidP="008F2648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F264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Para uma tese sobre </w:t>
      </w:r>
      <w:r w:rsidRPr="008F264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resiliência de linhas de transmissão</w:t>
      </w:r>
      <w:r w:rsidRPr="008F264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este trabalho é </w:t>
      </w:r>
      <w:r w:rsidRPr="008F264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obrigatório</w:t>
      </w:r>
      <w:r w:rsidRPr="008F264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44385887" w14:textId="77777777" w:rsidR="008F2648" w:rsidRPr="008F2648" w:rsidRDefault="008F2648" w:rsidP="008F2648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F264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44A913CF">
          <v:rect id="_x0000_i1025" style="width:0;height:1.5pt" o:hralign="center" o:hrstd="t" o:hr="t" fillcolor="#a0a0a0" stroked="f"/>
        </w:pict>
      </w:r>
    </w:p>
    <w:p w14:paraId="40A8FD13" w14:textId="77777777" w:rsidR="008F2648" w:rsidRPr="008F2648" w:rsidRDefault="008F2648" w:rsidP="008F2648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8F2648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2. Contribuições técnicas centrais</w:t>
      </w:r>
    </w:p>
    <w:p w14:paraId="2E018710" w14:textId="77777777" w:rsidR="008F2648" w:rsidRPr="008F2648" w:rsidRDefault="008F2648" w:rsidP="008F2648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8F2648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2.1 Resiliência como conceito distinto</w:t>
      </w:r>
    </w:p>
    <w:p w14:paraId="0BA73D65" w14:textId="77777777" w:rsidR="008F2648" w:rsidRPr="008F2648" w:rsidRDefault="008F2648" w:rsidP="008F2648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F264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artigo estabelece de forma inequívoca que:</w:t>
      </w:r>
    </w:p>
    <w:p w14:paraId="29EAF13B" w14:textId="77777777" w:rsidR="008F2648" w:rsidRPr="008F2648" w:rsidRDefault="008F2648" w:rsidP="008F2648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F264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Confiabilidade</w:t>
      </w:r>
      <w:r w:rsidRPr="008F264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→ eventos frequentes, baixo impacto (HPLI);</w:t>
      </w:r>
    </w:p>
    <w:p w14:paraId="35353E59" w14:textId="77777777" w:rsidR="008F2648" w:rsidRPr="008F2648" w:rsidRDefault="008F2648" w:rsidP="008F2648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F264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Resiliência</w:t>
      </w:r>
      <w:r w:rsidRPr="008F264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→ eventos raros, alto impacto (HILP);</w:t>
      </w:r>
    </w:p>
    <w:p w14:paraId="56A5B4F9" w14:textId="77777777" w:rsidR="008F2648" w:rsidRPr="008F2648" w:rsidRDefault="008F2648" w:rsidP="008F2648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F264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Robustez</w:t>
      </w:r>
      <w:r w:rsidRPr="008F264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→ propriedade passiva do sistema;</w:t>
      </w:r>
    </w:p>
    <w:p w14:paraId="2E1C89BA" w14:textId="77777777" w:rsidR="008F2648" w:rsidRPr="008F2648" w:rsidRDefault="008F2648" w:rsidP="008F2648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F264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Resiliência</w:t>
      </w:r>
      <w:r w:rsidRPr="008F264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→ inclui </w:t>
      </w:r>
      <w:r w:rsidRPr="008F264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resposta ativa, recuperação e aprendizagem</w:t>
      </w:r>
      <w:r w:rsidRPr="008F264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17DC732C" w14:textId="77777777" w:rsidR="008F2648" w:rsidRPr="008F2648" w:rsidRDefault="008F2648" w:rsidP="008F2648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F264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Essa distinção é </w:t>
      </w:r>
      <w:r w:rsidRPr="008F264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fundamental</w:t>
      </w:r>
      <w:r w:rsidRPr="008F264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para legitimar o seu índice como algo </w:t>
      </w:r>
      <w:r w:rsidRPr="008F264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novo</w:t>
      </w:r>
      <w:r w:rsidRPr="008F264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e não uma variação de SAIDI/SAIFI ou LOLE/EUE.</w:t>
      </w:r>
    </w:p>
    <w:p w14:paraId="7F3B2736" w14:textId="77777777" w:rsidR="008F2648" w:rsidRPr="008F2648" w:rsidRDefault="008F2648" w:rsidP="008F2648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F264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2569BB7A">
          <v:rect id="_x0000_i1026" style="width:0;height:1.5pt" o:hralign="center" o:hrstd="t" o:hr="t" fillcolor="#a0a0a0" stroked="f"/>
        </w:pict>
      </w:r>
    </w:p>
    <w:p w14:paraId="1B5C46B8" w14:textId="77777777" w:rsidR="008F2648" w:rsidRPr="008F2648" w:rsidRDefault="008F2648" w:rsidP="008F2648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8F2648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2.2 Definição formal de resiliência (IEEE PES)</w:t>
      </w:r>
    </w:p>
    <w:p w14:paraId="3E11BD50" w14:textId="77777777" w:rsidR="008F2648" w:rsidRPr="008F2648" w:rsidRDefault="008F2648" w:rsidP="008F2648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r w:rsidRPr="008F2648">
        <w:rPr>
          <w:rFonts w:eastAsia="Times New Roman" w:cs="Times New Roman"/>
          <w:i/>
          <w:iCs/>
          <w:kern w:val="0"/>
          <w:sz w:val="24"/>
          <w:szCs w:val="24"/>
          <w:lang w:val="en-US" w:eastAsia="pt-PT"/>
          <w14:ligatures w14:val="none"/>
        </w:rPr>
        <w:t>“Power system resilience is the ability to limit the extent, system impact, and duration of degradation in order to sustain critical services following an extraordinary event…”</w:t>
      </w:r>
    </w:p>
    <w:p w14:paraId="49986FF1" w14:textId="77777777" w:rsidR="008F2648" w:rsidRPr="008F2648" w:rsidRDefault="008F2648" w:rsidP="008F2648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F264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Inclui explicitamente:</w:t>
      </w:r>
    </w:p>
    <w:p w14:paraId="780B4E22" w14:textId="77777777" w:rsidR="008F2648" w:rsidRPr="008F2648" w:rsidRDefault="008F2648" w:rsidP="008F2648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F264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antecipar</w:t>
      </w:r>
      <w:r w:rsidRPr="008F264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</w:t>
      </w:r>
    </w:p>
    <w:p w14:paraId="64C16988" w14:textId="77777777" w:rsidR="008F2648" w:rsidRPr="008F2648" w:rsidRDefault="008F2648" w:rsidP="008F2648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F264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absorver</w:t>
      </w:r>
      <w:r w:rsidRPr="008F264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</w:t>
      </w:r>
    </w:p>
    <w:p w14:paraId="6AFA77EC" w14:textId="77777777" w:rsidR="008F2648" w:rsidRPr="008F2648" w:rsidRDefault="008F2648" w:rsidP="008F2648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F264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recuperar rapidamente</w:t>
      </w:r>
      <w:r w:rsidRPr="008F264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</w:t>
      </w:r>
    </w:p>
    <w:p w14:paraId="25D779B2" w14:textId="77777777" w:rsidR="008F2648" w:rsidRPr="008F2648" w:rsidRDefault="008F2648" w:rsidP="008F2648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F264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adaptar e aprender</w:t>
      </w:r>
      <w:r w:rsidRPr="008F264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566456F0" w14:textId="77777777" w:rsidR="008F2648" w:rsidRPr="008F2648" w:rsidRDefault="008F2648" w:rsidP="008F2648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F2648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👉</w:t>
      </w:r>
      <w:r w:rsidRPr="008F264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Esta definição pode (e deve) ser </w:t>
      </w:r>
      <w:r w:rsidRPr="008F264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citada literalmente</w:t>
      </w:r>
      <w:r w:rsidRPr="008F264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no enquadramento teórico da sua tese.</w:t>
      </w:r>
    </w:p>
    <w:p w14:paraId="626814A5" w14:textId="77777777" w:rsidR="008F2648" w:rsidRPr="008F2648" w:rsidRDefault="008F2648" w:rsidP="008F2648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F264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6449F18A">
          <v:rect id="_x0000_i1027" style="width:0;height:1.5pt" o:hralign="center" o:hrstd="t" o:hr="t" fillcolor="#a0a0a0" stroked="f"/>
        </w:pict>
      </w:r>
    </w:p>
    <w:p w14:paraId="4DECE784" w14:textId="77777777" w:rsidR="008F2648" w:rsidRPr="008F2648" w:rsidRDefault="008F2648" w:rsidP="008F2648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8F2648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2.3 Estrutura temporal da resiliência</w:t>
      </w:r>
    </w:p>
    <w:p w14:paraId="147A8A2C" w14:textId="77777777" w:rsidR="008F2648" w:rsidRPr="008F2648" w:rsidRDefault="008F2648" w:rsidP="008F2648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F264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O artigo formaliza a resiliência em </w:t>
      </w:r>
      <w:r w:rsidRPr="008F264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três fases temporais</w:t>
      </w:r>
      <w:r w:rsidRPr="008F264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:</w:t>
      </w:r>
    </w:p>
    <w:p w14:paraId="3C137DF2" w14:textId="77777777" w:rsidR="008F2648" w:rsidRPr="008F2648" w:rsidRDefault="008F2648" w:rsidP="008F2648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F264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lastRenderedPageBreak/>
        <w:t>Pré-evento</w:t>
      </w:r>
      <w:r w:rsidRPr="008F264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(planeamento e prevenção),</w:t>
      </w:r>
    </w:p>
    <w:p w14:paraId="52D37D16" w14:textId="77777777" w:rsidR="008F2648" w:rsidRPr="008F2648" w:rsidRDefault="008F2648" w:rsidP="008F2648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F264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Durante o evento</w:t>
      </w:r>
      <w:r w:rsidRPr="008F264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(absorção, adaptação, contenção),</w:t>
      </w:r>
    </w:p>
    <w:p w14:paraId="16729C79" w14:textId="77777777" w:rsidR="008F2648" w:rsidRPr="008F2648" w:rsidRDefault="008F2648" w:rsidP="008F2648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F264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Pós-evento</w:t>
      </w:r>
      <w:r w:rsidRPr="008F264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(restauração, recuperação e melhoria).</w:t>
      </w:r>
    </w:p>
    <w:p w14:paraId="45E97B83" w14:textId="77777777" w:rsidR="008F2648" w:rsidRPr="008F2648" w:rsidRDefault="008F2648" w:rsidP="008F2648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F264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A </w:t>
      </w:r>
      <w:r w:rsidRPr="008F264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Figura 2</w:t>
      </w:r>
      <w:r w:rsidRPr="008F264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(curva de desempenho vs. tempo) é um </w:t>
      </w:r>
      <w:r w:rsidRPr="008F264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pilar conceitual</w:t>
      </w:r>
      <w:r w:rsidRPr="008F264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para qualquer índice baseado em:</w:t>
      </w:r>
    </w:p>
    <w:p w14:paraId="29343B37" w14:textId="77777777" w:rsidR="008F2648" w:rsidRPr="008F2648" w:rsidRDefault="008F2648" w:rsidP="008F2648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F264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profundidade da degradação,</w:t>
      </w:r>
    </w:p>
    <w:p w14:paraId="53D072AA" w14:textId="77777777" w:rsidR="008F2648" w:rsidRPr="008F2648" w:rsidRDefault="008F2648" w:rsidP="008F2648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F264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tempo de recuperação,</w:t>
      </w:r>
    </w:p>
    <w:p w14:paraId="7ECBBABF" w14:textId="77777777" w:rsidR="008F2648" w:rsidRPr="008F2648" w:rsidRDefault="008F2648" w:rsidP="008F2648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F264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área sob a curva de perda de serviço.</w:t>
      </w:r>
    </w:p>
    <w:p w14:paraId="68C82D2B" w14:textId="77777777" w:rsidR="008F2648" w:rsidRPr="008F2648" w:rsidRDefault="008F2648" w:rsidP="008F2648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F264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03C41A25">
          <v:rect id="_x0000_i1028" style="width:0;height:1.5pt" o:hralign="center" o:hrstd="t" o:hr="t" fillcolor="#a0a0a0" stroked="f"/>
        </w:pict>
      </w:r>
    </w:p>
    <w:p w14:paraId="6279A728" w14:textId="77777777" w:rsidR="008F2648" w:rsidRPr="008F2648" w:rsidRDefault="008F2648" w:rsidP="008F2648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8F2648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2.4 Métodos de quantificação</w:t>
      </w:r>
    </w:p>
    <w:p w14:paraId="700E8FE1" w14:textId="77777777" w:rsidR="008F2648" w:rsidRPr="008F2648" w:rsidRDefault="008F2648" w:rsidP="008F2648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F264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O artigo compila e classifica </w:t>
      </w:r>
      <w:r w:rsidRPr="008F264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todos os métodos relevantes até 2015</w:t>
      </w:r>
      <w:r w:rsidRPr="008F264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incluindo:</w:t>
      </w:r>
    </w:p>
    <w:p w14:paraId="79B2AF95" w14:textId="77777777" w:rsidR="008F2648" w:rsidRPr="008F2648" w:rsidRDefault="008F2648" w:rsidP="008F2648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F264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curvas de resiliência</w:t>
      </w:r>
      <w:r w:rsidRPr="008F264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(degradação × tempo),</w:t>
      </w:r>
    </w:p>
    <w:p w14:paraId="5706E947" w14:textId="77777777" w:rsidR="008F2648" w:rsidRPr="008F2648" w:rsidRDefault="008F2648" w:rsidP="008F2648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F264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métricas baseadas em </w:t>
      </w:r>
      <w:r w:rsidRPr="008F264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EUE, carga não suprida, clientes afetados</w:t>
      </w:r>
      <w:r w:rsidRPr="008F264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</w:t>
      </w:r>
    </w:p>
    <w:p w14:paraId="3F303643" w14:textId="77777777" w:rsidR="008F2648" w:rsidRPr="008F2648" w:rsidRDefault="008F2648" w:rsidP="008F2648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F264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simulação Monte Carlo</w:t>
      </w:r>
      <w:r w:rsidRPr="008F264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para eventos extremos,</w:t>
      </w:r>
    </w:p>
    <w:p w14:paraId="379E90A4" w14:textId="77777777" w:rsidR="008F2648" w:rsidRPr="008F2648" w:rsidRDefault="008F2648" w:rsidP="008F2648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F264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curvas de fragilidade</w:t>
      </w:r>
      <w:r w:rsidRPr="008F264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para linhas e equipamentos,</w:t>
      </w:r>
    </w:p>
    <w:p w14:paraId="591FB76C" w14:textId="77777777" w:rsidR="008F2648" w:rsidRPr="008F2648" w:rsidRDefault="008F2648" w:rsidP="008F2648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F264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análise de </w:t>
      </w:r>
      <w:r w:rsidRPr="008F264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cascatas em redes de transmissão</w:t>
      </w:r>
      <w:r w:rsidRPr="008F264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</w:t>
      </w:r>
    </w:p>
    <w:p w14:paraId="30CC8DE4" w14:textId="77777777" w:rsidR="008F2648" w:rsidRPr="008F2648" w:rsidRDefault="008F2648" w:rsidP="008F2648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F264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métricas extraídas de </w:t>
      </w:r>
      <w:r w:rsidRPr="008F264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dados reais de blackout</w:t>
      </w:r>
      <w:r w:rsidRPr="008F264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(TADS, GADS).</w:t>
      </w:r>
    </w:p>
    <w:p w14:paraId="326C2DA2" w14:textId="77777777" w:rsidR="008F2648" w:rsidRPr="008F2648" w:rsidRDefault="008F2648" w:rsidP="008F2648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F2648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⚠</w:t>
      </w:r>
      <w:proofErr w:type="gramStart"/>
      <w:r w:rsidRPr="008F2648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️</w:t>
      </w:r>
      <w:r w:rsidRPr="008F264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Crucial</w:t>
      </w:r>
      <w:proofErr w:type="gramEnd"/>
      <w:r w:rsidRPr="008F264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: </w:t>
      </w:r>
      <w:r w:rsidRPr="008F264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não propõe um índice único</w:t>
      </w:r>
      <w:r w:rsidRPr="008F264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mas afirma explicitamente a necessidade de </w:t>
      </w:r>
      <w:r w:rsidRPr="008F264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novas métricas integradoras</w:t>
      </w:r>
      <w:r w:rsidRPr="008F264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7B1F7677" w14:textId="77777777" w:rsidR="008F2648" w:rsidRPr="008F2648" w:rsidRDefault="008F2648" w:rsidP="008F2648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F264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152BBD35">
          <v:rect id="_x0000_i1029" style="width:0;height:1.5pt" o:hralign="center" o:hrstd="t" o:hr="t" fillcolor="#a0a0a0" stroked="f"/>
        </w:pict>
      </w:r>
    </w:p>
    <w:p w14:paraId="0110B28A" w14:textId="77777777" w:rsidR="008F2648" w:rsidRPr="008F2648" w:rsidRDefault="008F2648" w:rsidP="008F2648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8F2648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2.5 Lacunas explicitadas pela própria IEEE</w:t>
      </w:r>
    </w:p>
    <w:p w14:paraId="789DFC9F" w14:textId="77777777" w:rsidR="008F2648" w:rsidRPr="008F2648" w:rsidRDefault="008F2648" w:rsidP="008F2648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F264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artigo reconhece:</w:t>
      </w:r>
    </w:p>
    <w:p w14:paraId="5FF14B35" w14:textId="77777777" w:rsidR="008F2648" w:rsidRPr="008F2648" w:rsidRDefault="008F2648" w:rsidP="008F2648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F264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ausência de </w:t>
      </w:r>
      <w:r w:rsidRPr="008F264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índices simples, transparentes e comparáveis</w:t>
      </w:r>
      <w:r w:rsidRPr="008F264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46DF27C4" w14:textId="77777777" w:rsidR="008F2648" w:rsidRPr="008F2648" w:rsidRDefault="008F2648" w:rsidP="008F2648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F264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dificuldade de integração clima → falha → impacto sistêmico;</w:t>
      </w:r>
    </w:p>
    <w:p w14:paraId="7A05592D" w14:textId="77777777" w:rsidR="008F2648" w:rsidRPr="008F2648" w:rsidRDefault="008F2648" w:rsidP="008F2648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F264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excesso de métricas fragmentadas;</w:t>
      </w:r>
    </w:p>
    <w:p w14:paraId="3A3AFE6C" w14:textId="77777777" w:rsidR="008F2648" w:rsidRPr="008F2648" w:rsidRDefault="008F2648" w:rsidP="008F2648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F264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necessidade de novos </w:t>
      </w:r>
      <w:proofErr w:type="spellStart"/>
      <w:r w:rsidRPr="008F264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KPIs</w:t>
      </w:r>
      <w:proofErr w:type="spellEnd"/>
      <w:r w:rsidRPr="008F264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de resiliência</w:t>
      </w:r>
      <w:r w:rsidRPr="008F264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043F3E71" w14:textId="77777777" w:rsidR="008F2648" w:rsidRPr="008F2648" w:rsidRDefault="008F2648" w:rsidP="008F2648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F2648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👉</w:t>
      </w:r>
      <w:r w:rsidRPr="008F264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Isto </w:t>
      </w:r>
      <w:r w:rsidRPr="008F264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legitima diretamente a sua tese</w:t>
      </w:r>
      <w:r w:rsidRPr="008F264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094B3A4A" w14:textId="77777777" w:rsidR="008F2648" w:rsidRPr="008F2648" w:rsidRDefault="008F2648" w:rsidP="008F2648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F264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4A0663D5">
          <v:rect id="_x0000_i1030" style="width:0;height:1.5pt" o:hralign="center" o:hrstd="t" o:hr="t" fillcolor="#a0a0a0" stroked="f"/>
        </w:pict>
      </w:r>
    </w:p>
    <w:p w14:paraId="2607D611" w14:textId="77777777" w:rsidR="008F2648" w:rsidRPr="008F2648" w:rsidRDefault="008F2648" w:rsidP="008F2648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8F2648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3. Relevância direta para linhas de transmissão</w:t>
      </w:r>
    </w:p>
    <w:p w14:paraId="15AC11F6" w14:textId="77777777" w:rsidR="008F2648" w:rsidRPr="008F2648" w:rsidRDefault="008F2648" w:rsidP="008F2648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F264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trabalho trata explicitamente de:</w:t>
      </w:r>
    </w:p>
    <w:p w14:paraId="0539BE4C" w14:textId="77777777" w:rsidR="008F2648" w:rsidRPr="008F2648" w:rsidRDefault="008F2648" w:rsidP="008F2648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F264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falhas correlacionadas de linhas</w:t>
      </w:r>
      <w:r w:rsidRPr="008F264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</w:t>
      </w:r>
    </w:p>
    <w:p w14:paraId="1346185E" w14:textId="77777777" w:rsidR="008F2648" w:rsidRPr="008F2648" w:rsidRDefault="008F2648" w:rsidP="008F2648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F264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cascatas em transmissão</w:t>
      </w:r>
      <w:r w:rsidRPr="008F264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</w:t>
      </w:r>
    </w:p>
    <w:p w14:paraId="03218ED1" w14:textId="77777777" w:rsidR="008F2648" w:rsidRPr="008F2648" w:rsidRDefault="008F2648" w:rsidP="008F2648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F264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restauração de grandes áreas</w:t>
      </w:r>
      <w:r w:rsidRPr="008F264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</w:t>
      </w:r>
    </w:p>
    <w:p w14:paraId="39709209" w14:textId="77777777" w:rsidR="008F2648" w:rsidRPr="008F2648" w:rsidRDefault="008F2648" w:rsidP="008F2648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proofErr w:type="spellStart"/>
      <w:r w:rsidRPr="008F264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lastRenderedPageBreak/>
        <w:t>black-start</w:t>
      </w:r>
      <w:proofErr w:type="spellEnd"/>
      <w:r w:rsidRPr="008F264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e recomposição da rede</w:t>
      </w:r>
      <w:r w:rsidRPr="008F264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</w:t>
      </w:r>
    </w:p>
    <w:p w14:paraId="2E9F4042" w14:textId="77777777" w:rsidR="008F2648" w:rsidRPr="008F2648" w:rsidRDefault="008F2648" w:rsidP="008F2648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F264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dependência de clima extremo.</w:t>
      </w:r>
    </w:p>
    <w:p w14:paraId="2E70FE6B" w14:textId="77777777" w:rsidR="008F2648" w:rsidRPr="008F2648" w:rsidRDefault="008F2648" w:rsidP="008F2648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F264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Ou seja: </w:t>
      </w:r>
      <w:r w:rsidRPr="008F264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o contexto técnico da sua tese está todo aqui</w:t>
      </w:r>
      <w:r w:rsidRPr="008F264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mesmo que o índice final ainda não exista.</w:t>
      </w:r>
    </w:p>
    <w:p w14:paraId="3FDD0B90" w14:textId="77777777" w:rsidR="008F2648" w:rsidRPr="008F2648" w:rsidRDefault="008F2648" w:rsidP="008F2648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F264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7230CA74">
          <v:rect id="_x0000_i1031" style="width:0;height:1.5pt" o:hralign="center" o:hrstd="t" o:hr="t" fillcolor="#a0a0a0" stroked="f"/>
        </w:pict>
      </w:r>
    </w:p>
    <w:p w14:paraId="1E117219" w14:textId="77777777" w:rsidR="008F2648" w:rsidRPr="008F2648" w:rsidRDefault="008F2648" w:rsidP="008F2648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8F2648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4. Limitação (oportunidade científica)</w:t>
      </w:r>
    </w:p>
    <w:p w14:paraId="1E52FA4F" w14:textId="77777777" w:rsidR="008F2648" w:rsidRPr="008F2648" w:rsidRDefault="008F2648" w:rsidP="008F2648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F264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Documento </w:t>
      </w:r>
      <w:r w:rsidRPr="008F264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extenso, complexo e pouco operacional</w:t>
      </w:r>
      <w:r w:rsidRPr="008F264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para uso direto por engenheiros de campo.</w:t>
      </w:r>
    </w:p>
    <w:p w14:paraId="70595847" w14:textId="77777777" w:rsidR="008F2648" w:rsidRPr="008F2648" w:rsidRDefault="008F2648" w:rsidP="008F2648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F264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Não oferece um </w:t>
      </w:r>
      <w:r w:rsidRPr="008F264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índice fechado, normalizado e simples</w:t>
      </w:r>
      <w:r w:rsidRPr="008F264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2E9C82BF" w14:textId="77777777" w:rsidR="008F2648" w:rsidRPr="008F2648" w:rsidRDefault="008F2648" w:rsidP="008F2648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F2648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➡</w:t>
      </w:r>
      <w:proofErr w:type="gramStart"/>
      <w:r w:rsidRPr="008F2648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️</w:t>
      </w:r>
      <w:r w:rsidRPr="008F264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Esta</w:t>
      </w:r>
      <w:proofErr w:type="gramEnd"/>
      <w:r w:rsidRPr="008F264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é exatamente a </w:t>
      </w:r>
      <w:r w:rsidRPr="008F264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lacuna que o seu doutoramento pretende preencher</w:t>
      </w:r>
      <w:r w:rsidRPr="008F264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47809954" w14:textId="77777777" w:rsidR="004B5CFE" w:rsidRPr="008F2648" w:rsidRDefault="004B5CFE"/>
    <w:sectPr w:rsidR="004B5CFE" w:rsidRPr="008F2648" w:rsidSect="00B7282F">
      <w:pgSz w:w="11906" w:h="16838" w:code="9"/>
      <w:pgMar w:top="1440" w:right="1457" w:bottom="1355" w:left="1797" w:header="720" w:footer="68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E24A2"/>
    <w:multiLevelType w:val="multilevel"/>
    <w:tmpl w:val="4A4E1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82465B"/>
    <w:multiLevelType w:val="multilevel"/>
    <w:tmpl w:val="C62E7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9A52C6"/>
    <w:multiLevelType w:val="multilevel"/>
    <w:tmpl w:val="8CECB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8C4C00"/>
    <w:multiLevelType w:val="multilevel"/>
    <w:tmpl w:val="B7E0C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E9507A"/>
    <w:multiLevelType w:val="multilevel"/>
    <w:tmpl w:val="474EF3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403457D"/>
    <w:multiLevelType w:val="multilevel"/>
    <w:tmpl w:val="2D323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7C704D"/>
    <w:multiLevelType w:val="multilevel"/>
    <w:tmpl w:val="389C1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46D6EF8"/>
    <w:multiLevelType w:val="multilevel"/>
    <w:tmpl w:val="CAD83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98215808">
    <w:abstractNumId w:val="6"/>
  </w:num>
  <w:num w:numId="2" w16cid:durableId="1944485853">
    <w:abstractNumId w:val="0"/>
  </w:num>
  <w:num w:numId="3" w16cid:durableId="268659957">
    <w:abstractNumId w:val="4"/>
  </w:num>
  <w:num w:numId="4" w16cid:durableId="241763007">
    <w:abstractNumId w:val="7"/>
  </w:num>
  <w:num w:numId="5" w16cid:durableId="1177185457">
    <w:abstractNumId w:val="3"/>
  </w:num>
  <w:num w:numId="6" w16cid:durableId="1643535920">
    <w:abstractNumId w:val="2"/>
  </w:num>
  <w:num w:numId="7" w16cid:durableId="1147167640">
    <w:abstractNumId w:val="5"/>
  </w:num>
  <w:num w:numId="8" w16cid:durableId="17037046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5CFE"/>
    <w:rsid w:val="000131F2"/>
    <w:rsid w:val="00050A60"/>
    <w:rsid w:val="0007293B"/>
    <w:rsid w:val="0008424C"/>
    <w:rsid w:val="00096FFB"/>
    <w:rsid w:val="000C5A52"/>
    <w:rsid w:val="000C625D"/>
    <w:rsid w:val="000D45BD"/>
    <w:rsid w:val="00172112"/>
    <w:rsid w:val="00172264"/>
    <w:rsid w:val="00196796"/>
    <w:rsid w:val="001F4610"/>
    <w:rsid w:val="0022366E"/>
    <w:rsid w:val="0024739D"/>
    <w:rsid w:val="00285BB1"/>
    <w:rsid w:val="002A63F1"/>
    <w:rsid w:val="002F61AF"/>
    <w:rsid w:val="00347332"/>
    <w:rsid w:val="00386732"/>
    <w:rsid w:val="00393441"/>
    <w:rsid w:val="0039444F"/>
    <w:rsid w:val="003F704C"/>
    <w:rsid w:val="004234AF"/>
    <w:rsid w:val="00423B9B"/>
    <w:rsid w:val="00435A17"/>
    <w:rsid w:val="004B5BB7"/>
    <w:rsid w:val="004B5CFE"/>
    <w:rsid w:val="004E20B1"/>
    <w:rsid w:val="00502614"/>
    <w:rsid w:val="005272F0"/>
    <w:rsid w:val="0055062B"/>
    <w:rsid w:val="00595B01"/>
    <w:rsid w:val="005C7A7F"/>
    <w:rsid w:val="0061413D"/>
    <w:rsid w:val="006363A1"/>
    <w:rsid w:val="006B4413"/>
    <w:rsid w:val="006E78DB"/>
    <w:rsid w:val="00744A15"/>
    <w:rsid w:val="00785F46"/>
    <w:rsid w:val="007E0455"/>
    <w:rsid w:val="007E69F0"/>
    <w:rsid w:val="00804B85"/>
    <w:rsid w:val="008226B2"/>
    <w:rsid w:val="00863FDB"/>
    <w:rsid w:val="008C0D5E"/>
    <w:rsid w:val="008F2648"/>
    <w:rsid w:val="009B0300"/>
    <w:rsid w:val="00A04542"/>
    <w:rsid w:val="00A74270"/>
    <w:rsid w:val="00A773DD"/>
    <w:rsid w:val="00A91291"/>
    <w:rsid w:val="00A94B20"/>
    <w:rsid w:val="00AA4524"/>
    <w:rsid w:val="00AC5231"/>
    <w:rsid w:val="00AD743E"/>
    <w:rsid w:val="00B023F4"/>
    <w:rsid w:val="00B30ED7"/>
    <w:rsid w:val="00B7282F"/>
    <w:rsid w:val="00B753F9"/>
    <w:rsid w:val="00B7708D"/>
    <w:rsid w:val="00B811CD"/>
    <w:rsid w:val="00B873AE"/>
    <w:rsid w:val="00BC1242"/>
    <w:rsid w:val="00BD2C19"/>
    <w:rsid w:val="00BF51C6"/>
    <w:rsid w:val="00C03A12"/>
    <w:rsid w:val="00CC6B35"/>
    <w:rsid w:val="00CE4C5C"/>
    <w:rsid w:val="00D25A09"/>
    <w:rsid w:val="00D36EA1"/>
    <w:rsid w:val="00D63D8E"/>
    <w:rsid w:val="00E26197"/>
    <w:rsid w:val="00E2772A"/>
    <w:rsid w:val="00E5575A"/>
    <w:rsid w:val="00ED59D0"/>
    <w:rsid w:val="00EF273B"/>
    <w:rsid w:val="00F27993"/>
    <w:rsid w:val="00F7611F"/>
    <w:rsid w:val="00F77278"/>
    <w:rsid w:val="00FE0A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CD6802"/>
  <w15:chartTrackingRefBased/>
  <w15:docId w15:val="{B5DB4C8E-A580-4BB2-B5FD-BC1A7EC6DC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23F4"/>
    <w:pPr>
      <w:spacing w:after="0" w:line="240" w:lineRule="auto"/>
    </w:pPr>
    <w:rPr>
      <w:rFonts w:ascii="Times New Roman" w:hAnsi="Times New Roman"/>
      <w:kern w:val="2"/>
    </w:rPr>
  </w:style>
  <w:style w:type="paragraph" w:styleId="Heading1">
    <w:name w:val="heading 1"/>
    <w:basedOn w:val="Normal"/>
    <w:next w:val="Normal"/>
    <w:link w:val="Heading1Char"/>
    <w:uiPriority w:val="9"/>
    <w:qFormat/>
    <w:rsid w:val="00B7708D"/>
    <w:pPr>
      <w:keepNext/>
      <w:keepLines/>
      <w:spacing w:before="480"/>
      <w:outlineLvl w:val="0"/>
    </w:pPr>
    <w:rPr>
      <w:rFonts w:eastAsiaTheme="majorEastAsia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7708D"/>
    <w:pPr>
      <w:keepNext/>
      <w:keepLines/>
      <w:spacing w:before="200"/>
      <w:outlineLvl w:val="1"/>
    </w:pPr>
    <w:rPr>
      <w:rFonts w:eastAsiaTheme="majorEastAsia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7708D"/>
    <w:pPr>
      <w:keepNext/>
      <w:keepLines/>
      <w:spacing w:before="200"/>
      <w:outlineLvl w:val="2"/>
    </w:pPr>
    <w:rPr>
      <w:rFonts w:eastAsiaTheme="majorEastAsia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708D"/>
    <w:pPr>
      <w:keepNext/>
      <w:keepLines/>
      <w:spacing w:before="200"/>
      <w:outlineLvl w:val="3"/>
    </w:pPr>
    <w:rPr>
      <w:rFonts w:eastAsiaTheme="majorEastAsia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5CF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5CFE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5CFE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5CFE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5CFE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708D"/>
    <w:rPr>
      <w:rFonts w:ascii="Times New Roman" w:eastAsiaTheme="majorEastAsia" w:hAnsi="Times New Roman" w:cstheme="majorBidi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B7708D"/>
    <w:rPr>
      <w:rFonts w:ascii="Times New Roman" w:eastAsiaTheme="majorEastAsia" w:hAnsi="Times New Roman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7708D"/>
    <w:rPr>
      <w:rFonts w:ascii="Times New Roman" w:eastAsiaTheme="majorEastAsia" w:hAnsi="Times New Roman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708D"/>
    <w:rPr>
      <w:rFonts w:ascii="Times New Roman" w:eastAsiaTheme="majorEastAsia" w:hAnsi="Times New Roman" w:cstheme="majorBidi"/>
      <w:b/>
      <w:bCs/>
      <w:i/>
      <w:iCs/>
    </w:rPr>
  </w:style>
  <w:style w:type="paragraph" w:styleId="Title">
    <w:name w:val="Title"/>
    <w:basedOn w:val="Normal"/>
    <w:next w:val="Normal"/>
    <w:link w:val="TitleChar"/>
    <w:uiPriority w:val="10"/>
    <w:qFormat/>
    <w:rsid w:val="00B7708D"/>
    <w:pPr>
      <w:pBdr>
        <w:bottom w:val="single" w:sz="8" w:space="4" w:color="auto"/>
      </w:pBdr>
      <w:spacing w:after="300"/>
      <w:contextualSpacing/>
    </w:pPr>
    <w:rPr>
      <w:rFonts w:eastAsiaTheme="majorEastAsia" w:cstheme="majorBidi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7708D"/>
    <w:rPr>
      <w:rFonts w:ascii="Times New Roman" w:eastAsiaTheme="majorEastAsia" w:hAnsi="Times New Roman" w:cstheme="majorBidi"/>
      <w:spacing w:val="5"/>
      <w:kern w:val="28"/>
      <w:sz w:val="3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708D"/>
    <w:pPr>
      <w:numPr>
        <w:ilvl w:val="1"/>
      </w:numPr>
    </w:pPr>
    <w:rPr>
      <w:rFonts w:eastAsiaTheme="majorEastAsia" w:cstheme="majorBidi"/>
      <w:i/>
      <w:iCs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7708D"/>
    <w:rPr>
      <w:rFonts w:ascii="Times New Roman" w:eastAsiaTheme="majorEastAsia" w:hAnsi="Times New Roman" w:cstheme="majorBidi"/>
      <w:i/>
      <w:iCs/>
      <w:spacing w:val="15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B7708D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B7708D"/>
    <w:rPr>
      <w:rFonts w:ascii="Times New Roman" w:hAnsi="Times New Roman"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5CFE"/>
    <w:rPr>
      <w:rFonts w:eastAsiaTheme="majorEastAsia" w:cstheme="majorBidi"/>
      <w:color w:val="0F4761" w:themeColor="accent1" w:themeShade="BF"/>
      <w:kern w:val="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5CFE"/>
    <w:rPr>
      <w:rFonts w:eastAsiaTheme="majorEastAsia" w:cstheme="majorBidi"/>
      <w:i/>
      <w:iCs/>
      <w:color w:val="595959" w:themeColor="text1" w:themeTint="A6"/>
      <w:kern w:val="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5CFE"/>
    <w:rPr>
      <w:rFonts w:eastAsiaTheme="majorEastAsia" w:cstheme="majorBidi"/>
      <w:color w:val="595959" w:themeColor="text1" w:themeTint="A6"/>
      <w:kern w:val="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5CFE"/>
    <w:rPr>
      <w:rFonts w:eastAsiaTheme="majorEastAsia" w:cstheme="majorBidi"/>
      <w:i/>
      <w:iCs/>
      <w:color w:val="272727" w:themeColor="text1" w:themeTint="D8"/>
      <w:kern w:val="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5CFE"/>
    <w:rPr>
      <w:rFonts w:eastAsiaTheme="majorEastAsia" w:cstheme="majorBidi"/>
      <w:color w:val="272727" w:themeColor="text1" w:themeTint="D8"/>
      <w:kern w:val="2"/>
    </w:rPr>
  </w:style>
  <w:style w:type="paragraph" w:styleId="ListParagraph">
    <w:name w:val="List Paragraph"/>
    <w:basedOn w:val="Normal"/>
    <w:uiPriority w:val="34"/>
    <w:qFormat/>
    <w:rsid w:val="004B5C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5CF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5C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5CFE"/>
    <w:rPr>
      <w:rFonts w:ascii="Times New Roman" w:hAnsi="Times New Roman"/>
      <w:i/>
      <w:iCs/>
      <w:color w:val="0F4761" w:themeColor="accent1" w:themeShade="BF"/>
      <w:kern w:val="2"/>
    </w:rPr>
  </w:style>
  <w:style w:type="character" w:styleId="IntenseReference">
    <w:name w:val="Intense Reference"/>
    <w:basedOn w:val="DefaultParagraphFont"/>
    <w:uiPriority w:val="32"/>
    <w:qFormat/>
    <w:rsid w:val="004B5CF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F2648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pt-PT"/>
      <w14:ligatures w14:val="none"/>
    </w:rPr>
  </w:style>
  <w:style w:type="character" w:styleId="Strong">
    <w:name w:val="Strong"/>
    <w:basedOn w:val="DefaultParagraphFont"/>
    <w:uiPriority w:val="22"/>
    <w:qFormat/>
    <w:rsid w:val="008F2648"/>
    <w:rPr>
      <w:b/>
      <w:bCs/>
    </w:rPr>
  </w:style>
  <w:style w:type="character" w:styleId="Emphasis">
    <w:name w:val="Emphasis"/>
    <w:basedOn w:val="DefaultParagraphFont"/>
    <w:uiPriority w:val="20"/>
    <w:qFormat/>
    <w:rsid w:val="008F2648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495</Words>
  <Characters>2678</Characters>
  <Application>Microsoft Office Word</Application>
  <DocSecurity>0</DocSecurity>
  <Lines>22</Lines>
  <Paragraphs>6</Paragraphs>
  <ScaleCrop>false</ScaleCrop>
  <Company/>
  <LinksUpToDate>false</LinksUpToDate>
  <CharactersWithSpaces>3167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Oliveira</dc:creator>
  <cp:keywords/>
  <dc:description/>
  <cp:lastModifiedBy>Paulo Oliveira</cp:lastModifiedBy>
  <cp:revision>2</cp:revision>
  <dcterms:created xsi:type="dcterms:W3CDTF">2026-01-01T12:27:00Z</dcterms:created>
  <dcterms:modified xsi:type="dcterms:W3CDTF">2026-01-01T12:28:00Z</dcterms:modified>
</cp:coreProperties>
</file>