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80FB" w14:textId="77777777" w:rsidR="008113B1" w:rsidRDefault="008113B1" w:rsidP="008113B1">
      <w:proofErr w:type="spellStart"/>
      <w:r>
        <w:t>Título</w:t>
      </w:r>
      <w:proofErr w:type="spellEnd"/>
      <w:r>
        <w:t>: Availability Assessment of Oil and Gas Processing Plants Operating Under Dynamic Arctic Weather Conditions</w:t>
      </w:r>
    </w:p>
    <w:p w14:paraId="42D920C8" w14:textId="77777777" w:rsidR="008113B1" w:rsidRDefault="008113B1" w:rsidP="008113B1"/>
    <w:p w14:paraId="12E5BD42" w14:textId="77777777" w:rsidR="008113B1" w:rsidRDefault="008113B1" w:rsidP="008113B1">
      <w:proofErr w:type="spellStart"/>
      <w:r>
        <w:t>Autores</w:t>
      </w:r>
      <w:proofErr w:type="spellEnd"/>
      <w:r>
        <w:t xml:space="preserve">: W. Khan, I. A. Karimi, M. H. F. </w:t>
      </w:r>
      <w:proofErr w:type="spellStart"/>
      <w:r>
        <w:t>Zarghami</w:t>
      </w:r>
      <w:proofErr w:type="spellEnd"/>
    </w:p>
    <w:p w14:paraId="005B6823" w14:textId="77777777" w:rsidR="008113B1" w:rsidRDefault="008113B1" w:rsidP="008113B1"/>
    <w:p w14:paraId="129A3691" w14:textId="77777777" w:rsidR="008113B1" w:rsidRDefault="008113B1" w:rsidP="008113B1">
      <w:proofErr w:type="spellStart"/>
      <w:r>
        <w:t>Afiliações</w:t>
      </w:r>
      <w:proofErr w:type="spellEnd"/>
      <w:r>
        <w:t>: Department of Chemical and Biomolecular Engineering, National University of Singapore</w:t>
      </w:r>
    </w:p>
    <w:p w14:paraId="7611BB79" w14:textId="77777777" w:rsidR="008113B1" w:rsidRDefault="008113B1" w:rsidP="008113B1"/>
    <w:p w14:paraId="412C04E2" w14:textId="4D372A73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Resumo do Abstract</w:t>
      </w:r>
    </w:p>
    <w:p w14:paraId="50C43262" w14:textId="77777777" w:rsidR="008113B1" w:rsidRDefault="008113B1" w:rsidP="008113B1">
      <w:pPr>
        <w:rPr>
          <w:lang w:val="pt-BR"/>
        </w:rPr>
      </w:pPr>
      <w:r w:rsidRPr="008113B1">
        <w:rPr>
          <w:lang w:val="pt-BR"/>
        </w:rPr>
        <w:t>O artigo apresenta uma metodologia quantitativa para avaliação da disponibilidade de plantas de processamento de petróleo e gás sob condições climáticas adversas, com foco no ambiente Ártico. O modelo propõe a utilização de fatores de correção dependentes do clima e uma modelagem dinâmica baseada em Monte Carlo, com suporte em estratégias de manutenção corretiva e preventiva. O conceito de idade virtual é usado para capturar o impacto acumulado de falhas, considerando variáveis ambientais como temperatura, vento e gelo. O estudo destaca que o clima extremo influencia diretamente as taxas de falha e reparo, afetando a confiabilidade operacional das plantas.</w:t>
      </w:r>
    </w:p>
    <w:p w14:paraId="1C59DBE2" w14:textId="77777777" w:rsidR="008113B1" w:rsidRPr="008113B1" w:rsidRDefault="008113B1" w:rsidP="008113B1">
      <w:pPr>
        <w:rPr>
          <w:lang w:val="pt-BR"/>
        </w:rPr>
      </w:pPr>
    </w:p>
    <w:p w14:paraId="11CDC31B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1. Introdução</w:t>
      </w:r>
    </w:p>
    <w:p w14:paraId="1DC28CB2" w14:textId="77777777" w:rsidR="008113B1" w:rsidRDefault="008113B1" w:rsidP="008113B1">
      <w:pPr>
        <w:rPr>
          <w:lang w:val="pt-BR"/>
        </w:rPr>
      </w:pPr>
      <w:r w:rsidRPr="008113B1">
        <w:rPr>
          <w:lang w:val="pt-BR"/>
        </w:rPr>
        <w:t>O artigo enfatiza os desafios de operação contínua em regiões árticas, onde fatores climáticos extremos reduzem a confiabilidade dos equipamentos e limitam as ações de manutenção. Destaca-se a necessidade de modelos que considerem a influência dinâmica e não estacionária do clima, indo além de abordagens estáticas de disponibilidade.</w:t>
      </w:r>
    </w:p>
    <w:p w14:paraId="65A3FED8" w14:textId="77777777" w:rsidR="008113B1" w:rsidRPr="008113B1" w:rsidRDefault="008113B1" w:rsidP="008113B1">
      <w:pPr>
        <w:rPr>
          <w:lang w:val="pt-BR"/>
        </w:rPr>
      </w:pPr>
    </w:p>
    <w:p w14:paraId="4B9C50BF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2. Metodologia</w:t>
      </w:r>
    </w:p>
    <w:p w14:paraId="46D27F2F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A avaliação é baseada em simulações de Monte Carlo que integram:</w:t>
      </w:r>
    </w:p>
    <w:p w14:paraId="14661913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- Modelagem climática estocástica com séries sintéticas horárias de temperatura, vento e gelo;</w:t>
      </w:r>
    </w:p>
    <w:p w14:paraId="2BDCB011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- Cálculo das taxas de falha e reparo como funções não lineares dessas variáveis;</w:t>
      </w:r>
    </w:p>
    <w:p w14:paraId="4C5B3E90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- Aplicação de fatores de correção climática (multiplicativos) sobre as taxas nominais;</w:t>
      </w:r>
    </w:p>
    <w:p w14:paraId="637BF19A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- Modelo de idade virtual para atualização do estado dos equipamentos conforme ciclos de falha e reparo;</w:t>
      </w:r>
    </w:p>
    <w:p w14:paraId="24F0923D" w14:textId="77777777" w:rsidR="008113B1" w:rsidRDefault="008113B1" w:rsidP="008113B1">
      <w:pPr>
        <w:rPr>
          <w:lang w:val="pt-BR"/>
        </w:rPr>
      </w:pPr>
      <w:r w:rsidRPr="008113B1">
        <w:rPr>
          <w:lang w:val="pt-BR"/>
        </w:rPr>
        <w:t>- Integração de políticas de manutenção corretiva e preventiva (estratégias híbridas).</w:t>
      </w:r>
    </w:p>
    <w:p w14:paraId="18657197" w14:textId="77777777" w:rsidR="008113B1" w:rsidRPr="008113B1" w:rsidRDefault="008113B1" w:rsidP="008113B1">
      <w:pPr>
        <w:rPr>
          <w:lang w:val="pt-BR"/>
        </w:rPr>
      </w:pPr>
    </w:p>
    <w:p w14:paraId="3C26FA37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3. Resultados</w:t>
      </w:r>
    </w:p>
    <w:p w14:paraId="3E59D178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O estudo demonstra que a disponibilidade dos sistemas varia significativamente com as condições climáticas. Os principais achados incluem:</w:t>
      </w:r>
    </w:p>
    <w:p w14:paraId="16C5B8FF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- Quedas bruscas de temperatura e ventos fortes resultam em aumento das taxas de falha em até 40%;</w:t>
      </w:r>
    </w:p>
    <w:p w14:paraId="3A56BE4B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- O tempo médio de reparo dobra em condições de gelo extremo;</w:t>
      </w:r>
    </w:p>
    <w:p w14:paraId="2CCF0ACE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lastRenderedPageBreak/>
        <w:t>- Políticas de manutenção híbridas (preventiva + corretiva) melhoram a disponibilidade em 15–20% em relação à manutenção puramente corretiva;</w:t>
      </w:r>
    </w:p>
    <w:p w14:paraId="1DDE4639" w14:textId="77777777" w:rsidR="008113B1" w:rsidRDefault="008113B1" w:rsidP="008113B1">
      <w:pPr>
        <w:rPr>
          <w:lang w:val="pt-BR"/>
        </w:rPr>
      </w:pPr>
      <w:r w:rsidRPr="008113B1">
        <w:rPr>
          <w:lang w:val="pt-BR"/>
        </w:rPr>
        <w:t>- A modelagem com idade virtual permite capturar o envelhecimento acelerado dos equipamentos sob clima adverso, com impacto direto na estratégia de reposição e inspeção.</w:t>
      </w:r>
    </w:p>
    <w:p w14:paraId="1359AA72" w14:textId="77777777" w:rsidR="008113B1" w:rsidRPr="008113B1" w:rsidRDefault="008113B1" w:rsidP="008113B1">
      <w:pPr>
        <w:rPr>
          <w:lang w:val="pt-BR"/>
        </w:rPr>
      </w:pPr>
    </w:p>
    <w:p w14:paraId="7338B3D3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4. Discussão</w:t>
      </w:r>
    </w:p>
    <w:p w14:paraId="61578B8E" w14:textId="77777777" w:rsidR="008113B1" w:rsidRDefault="008113B1" w:rsidP="008113B1">
      <w:pPr>
        <w:rPr>
          <w:lang w:val="pt-BR"/>
        </w:rPr>
      </w:pPr>
      <w:r w:rsidRPr="008113B1">
        <w:rPr>
          <w:lang w:val="pt-BR"/>
        </w:rPr>
        <w:t>Os autores mostram que modelos baseados em tempo médio entre falhas (MTBF) estáticos são inadequados para ambientes altamente variáveis. A modelagem dinâmica, aliada ao uso de fatores dependentes do clima, permite análises mais realistas e adaptáveis. O conceito de idade virtual é fundamental para incorporar a degradação acumulativa e reflete melhor o comportamento real dos ativos sob múltiplos estresses.</w:t>
      </w:r>
    </w:p>
    <w:p w14:paraId="1D67BE2C" w14:textId="77777777" w:rsidR="008113B1" w:rsidRPr="008113B1" w:rsidRDefault="008113B1" w:rsidP="008113B1">
      <w:pPr>
        <w:rPr>
          <w:lang w:val="pt-BR"/>
        </w:rPr>
      </w:pPr>
    </w:p>
    <w:p w14:paraId="7691A19F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5. Conclusão Crítica</w:t>
      </w:r>
    </w:p>
    <w:p w14:paraId="4BF24533" w14:textId="77777777" w:rsidR="008113B1" w:rsidRDefault="008113B1" w:rsidP="008113B1">
      <w:pPr>
        <w:rPr>
          <w:lang w:val="pt-BR"/>
        </w:rPr>
      </w:pPr>
      <w:r w:rsidRPr="008113B1">
        <w:rPr>
          <w:lang w:val="pt-BR"/>
        </w:rPr>
        <w:t>O trabalho oferece uma metodologia robusta para aplicação em qualquer sistema técnico operando em ambiente climático extremo. Os conceitos são diretamente aplicáveis à análise de disponibilidade e resiliência de linhas de transmissão sob eventos como calor excessivo, ventos extremos e congelamento. A integração com simulações Monte Carlo e modelos adaptativos representa um avanço importante para engenharia de confiabilidade climática.</w:t>
      </w:r>
    </w:p>
    <w:p w14:paraId="077D7F21" w14:textId="77777777" w:rsidR="008113B1" w:rsidRPr="008113B1" w:rsidRDefault="008113B1" w:rsidP="008113B1">
      <w:pPr>
        <w:rPr>
          <w:lang w:val="pt-BR"/>
        </w:rPr>
      </w:pPr>
    </w:p>
    <w:p w14:paraId="3EC064BF" w14:textId="75E5C116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Resumo dos Achados Principais</w:t>
      </w:r>
    </w:p>
    <w:p w14:paraId="76FC48B6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- Fatores de correção climática alteram dinamicamente as taxas de falha e reparo</w:t>
      </w:r>
    </w:p>
    <w:p w14:paraId="477E6C5F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- Modelo de idade virtual capta o acúmulo de desgaste sob diferentes condições ambientais</w:t>
      </w:r>
    </w:p>
    <w:p w14:paraId="581054E6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- Políticas híbridas de manutenção superam abordagens puramente corretivas</w:t>
      </w:r>
    </w:p>
    <w:p w14:paraId="0595D3F9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- Simulações Monte Carlo são eficazes para capturar a variabilidade climática</w:t>
      </w:r>
    </w:p>
    <w:p w14:paraId="5FF1B7D2" w14:textId="77777777" w:rsidR="008113B1" w:rsidRDefault="008113B1" w:rsidP="008113B1">
      <w:pPr>
        <w:rPr>
          <w:lang w:val="pt-BR"/>
        </w:rPr>
      </w:pPr>
      <w:r w:rsidRPr="008113B1">
        <w:rPr>
          <w:lang w:val="pt-BR"/>
        </w:rPr>
        <w:t>- Resultados aplicáveis ao setor elétrico sob perspectiva de resiliência climática</w:t>
      </w:r>
    </w:p>
    <w:p w14:paraId="58FAE745" w14:textId="77777777" w:rsidR="008113B1" w:rsidRPr="008113B1" w:rsidRDefault="008113B1" w:rsidP="008113B1">
      <w:pPr>
        <w:rPr>
          <w:lang w:val="pt-BR"/>
        </w:rPr>
      </w:pPr>
    </w:p>
    <w:p w14:paraId="5725CE40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Descrição Técnica de Figuras, Gráficos e Tabelas</w:t>
      </w:r>
    </w:p>
    <w:p w14:paraId="60665AB8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• Fig. 1: Diagrama conceitual do modelo baseado em idade virtual e fatores ambientais;</w:t>
      </w:r>
    </w:p>
    <w:p w14:paraId="51B32D25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• Fig. 2–4: Séries de dados climáticos sintéticos (temperatura, vento, gelo);</w:t>
      </w:r>
    </w:p>
    <w:p w14:paraId="61D7B849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• Fig. 5: Evolução da idade virtual em função de falhas e clima;</w:t>
      </w:r>
    </w:p>
    <w:p w14:paraId="2BC5AC2D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• Fig. 6: Comparação entre disponibilidade sob diferentes políticas de manutenção;</w:t>
      </w:r>
    </w:p>
    <w:p w14:paraId="596B0427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• Tabela 1: Parâmetros estatísticos das séries climáticas geradas;</w:t>
      </w:r>
    </w:p>
    <w:p w14:paraId="798B22C8" w14:textId="77777777" w:rsidR="008113B1" w:rsidRPr="008113B1" w:rsidRDefault="008113B1" w:rsidP="008113B1">
      <w:pPr>
        <w:rPr>
          <w:lang w:val="pt-BR"/>
        </w:rPr>
      </w:pPr>
      <w:r w:rsidRPr="008113B1">
        <w:rPr>
          <w:lang w:val="pt-BR"/>
        </w:rPr>
        <w:t>• Tabela 2: Taxas de falha e reparo ajustadas por condições climáticas;</w:t>
      </w:r>
    </w:p>
    <w:p w14:paraId="69C251F5" w14:textId="77777777" w:rsidR="008113B1" w:rsidRDefault="008113B1" w:rsidP="008113B1">
      <w:pPr>
        <w:rPr>
          <w:lang w:val="pt-BR"/>
        </w:rPr>
      </w:pPr>
      <w:r w:rsidRPr="008113B1">
        <w:rPr>
          <w:lang w:val="pt-BR"/>
        </w:rPr>
        <w:t>• Tabela 3: Resultados de disponibilidade com diferentes estratégias operacionais.</w:t>
      </w:r>
    </w:p>
    <w:p w14:paraId="5A0679C2" w14:textId="77777777" w:rsidR="008113B1" w:rsidRPr="008113B1" w:rsidRDefault="008113B1" w:rsidP="008113B1">
      <w:pPr>
        <w:rPr>
          <w:lang w:val="pt-BR"/>
        </w:rPr>
      </w:pPr>
    </w:p>
    <w:sectPr w:rsidR="008113B1" w:rsidRPr="008113B1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B1"/>
    <w:rsid w:val="000131F2"/>
    <w:rsid w:val="00050A60"/>
    <w:rsid w:val="0007293B"/>
    <w:rsid w:val="0008424C"/>
    <w:rsid w:val="00096FFB"/>
    <w:rsid w:val="000C625D"/>
    <w:rsid w:val="000D45BD"/>
    <w:rsid w:val="00172112"/>
    <w:rsid w:val="00172264"/>
    <w:rsid w:val="00196796"/>
    <w:rsid w:val="0022366E"/>
    <w:rsid w:val="0024739D"/>
    <w:rsid w:val="00285BB1"/>
    <w:rsid w:val="00347332"/>
    <w:rsid w:val="00393441"/>
    <w:rsid w:val="0039444F"/>
    <w:rsid w:val="003F704C"/>
    <w:rsid w:val="004234AF"/>
    <w:rsid w:val="00423B9B"/>
    <w:rsid w:val="00435A17"/>
    <w:rsid w:val="004B5BB7"/>
    <w:rsid w:val="00502614"/>
    <w:rsid w:val="005272F0"/>
    <w:rsid w:val="00595B01"/>
    <w:rsid w:val="0061413D"/>
    <w:rsid w:val="00744A15"/>
    <w:rsid w:val="00785F46"/>
    <w:rsid w:val="007E0455"/>
    <w:rsid w:val="007E69F0"/>
    <w:rsid w:val="00804B85"/>
    <w:rsid w:val="008113B1"/>
    <w:rsid w:val="008226B2"/>
    <w:rsid w:val="008C0D5E"/>
    <w:rsid w:val="00A04542"/>
    <w:rsid w:val="00A74270"/>
    <w:rsid w:val="00A773DD"/>
    <w:rsid w:val="00A91291"/>
    <w:rsid w:val="00AA4524"/>
    <w:rsid w:val="00AC5231"/>
    <w:rsid w:val="00B753F9"/>
    <w:rsid w:val="00B7708D"/>
    <w:rsid w:val="00B811CD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5575A"/>
    <w:rsid w:val="00ED59D0"/>
    <w:rsid w:val="00EF273B"/>
    <w:rsid w:val="00F7611F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8435F"/>
  <w15:chartTrackingRefBased/>
  <w15:docId w15:val="{43398904-2901-4F28-8D51-F0BFFF30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13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13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13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13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13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7708D"/>
    <w:rPr>
      <w:rFonts w:ascii="Times New Roman" w:hAnsi="Times New Roman"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13B1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13B1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13B1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13B1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13B1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8113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13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1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13B1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RefernciaIntensa">
    <w:name w:val="Intense Reference"/>
    <w:basedOn w:val="Fontepargpadro"/>
    <w:uiPriority w:val="32"/>
    <w:qFormat/>
    <w:rsid w:val="00811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683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2025-05-10T16:32:00Z</dcterms:created>
  <dcterms:modified xsi:type="dcterms:W3CDTF">2025-05-10T16:33:00Z</dcterms:modified>
</cp:coreProperties>
</file>